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526"/>
        <w:gridCol w:w="3543"/>
        <w:gridCol w:w="284"/>
        <w:gridCol w:w="4536"/>
      </w:tblGrid>
      <w:tr w:rsidR="003476DD" w:rsidRPr="00BF0D71" w14:paraId="3B7422CC" w14:textId="77777777" w:rsidTr="00CC1389">
        <w:tc>
          <w:tcPr>
            <w:tcW w:w="9889" w:type="dxa"/>
            <w:gridSpan w:val="4"/>
            <w:shd w:val="clear" w:color="auto" w:fill="auto"/>
          </w:tcPr>
          <w:p w14:paraId="0FAEAECA" w14:textId="77777777" w:rsidR="003476DD" w:rsidRPr="00BF0D71" w:rsidRDefault="000A249C" w:rsidP="00D747DB">
            <w:pPr>
              <w:spacing w:line="240" w:lineRule="auto"/>
              <w:jc w:val="left"/>
              <w:rPr>
                <w:rFonts w:cs="Times New Roman Bold"/>
                <w:b/>
                <w:bCs/>
                <w:color w:val="808080"/>
                <w:sz w:val="28"/>
                <w:szCs w:val="28"/>
              </w:rPr>
            </w:pPr>
            <w:bookmarkStart w:id="0" w:name="Origine"/>
            <w:bookmarkEnd w:id="0"/>
            <w:r w:rsidRPr="00BF0D71">
              <w:rPr>
                <w:rFonts w:cs="Times New Roman Bold"/>
                <w:b/>
                <w:bCs/>
                <w:color w:val="808080"/>
                <w:sz w:val="28"/>
                <w:szCs w:val="28"/>
              </w:rPr>
              <w:t>Secrétariat général (SG)</w:t>
            </w:r>
          </w:p>
        </w:tc>
      </w:tr>
      <w:tr w:rsidR="003476DD" w:rsidRPr="00BF0D71" w14:paraId="32812B36" w14:textId="77777777" w:rsidTr="00CC1389">
        <w:tc>
          <w:tcPr>
            <w:tcW w:w="9889" w:type="dxa"/>
            <w:gridSpan w:val="4"/>
            <w:shd w:val="clear" w:color="auto" w:fill="auto"/>
          </w:tcPr>
          <w:p w14:paraId="7167B46A" w14:textId="77777777" w:rsidR="003476DD" w:rsidRPr="00BF0D71" w:rsidRDefault="003476DD" w:rsidP="00D747DB">
            <w:pPr>
              <w:spacing w:line="240" w:lineRule="auto"/>
              <w:jc w:val="left"/>
            </w:pPr>
          </w:p>
        </w:tc>
      </w:tr>
      <w:tr w:rsidR="003476DD" w:rsidRPr="00BF0D71" w14:paraId="678CD2BD" w14:textId="77777777" w:rsidTr="00CC1389">
        <w:tc>
          <w:tcPr>
            <w:tcW w:w="5353" w:type="dxa"/>
            <w:gridSpan w:val="3"/>
            <w:shd w:val="clear" w:color="auto" w:fill="auto"/>
          </w:tcPr>
          <w:p w14:paraId="20639541" w14:textId="77777777" w:rsidR="003476DD" w:rsidRPr="00BF0D71" w:rsidRDefault="003476DD" w:rsidP="00D747DB">
            <w:pPr>
              <w:spacing w:line="240" w:lineRule="auto"/>
              <w:jc w:val="left"/>
            </w:pPr>
          </w:p>
        </w:tc>
        <w:tc>
          <w:tcPr>
            <w:tcW w:w="4536" w:type="dxa"/>
            <w:shd w:val="clear" w:color="auto" w:fill="auto"/>
          </w:tcPr>
          <w:p w14:paraId="2761A1E7" w14:textId="77777777" w:rsidR="003476DD" w:rsidRPr="00BF0D71" w:rsidRDefault="000A249C" w:rsidP="00D747DB">
            <w:pPr>
              <w:spacing w:line="240" w:lineRule="auto"/>
              <w:ind w:right="57"/>
              <w:jc w:val="left"/>
            </w:pPr>
            <w:r w:rsidRPr="00BF0D71">
              <w:t xml:space="preserve">Genève, le </w:t>
            </w:r>
            <w:sdt>
              <w:sdtPr>
                <w:rPr>
                  <w:rFonts w:cs="Arial"/>
                </w:rPr>
                <w:alias w:val="Date"/>
                <w:tag w:val="Date"/>
                <w:id w:val="-1536891932"/>
                <w:placeholder>
                  <w:docPart w:val="0E91E1F4E630405D87ED20F3F7AB3E34"/>
                </w:placeholder>
                <w:date w:fullDate="2020-05-14T00:00:00Z">
                  <w:dateFormat w:val="d MMMM yyyy"/>
                  <w:lid w:val="fr-FR"/>
                  <w:storeMappedDataAs w:val="date"/>
                  <w:calendar w:val="gregorian"/>
                </w:date>
              </w:sdtPr>
              <w:sdtEndPr/>
              <w:sdtContent>
                <w:r w:rsidR="006B3F27" w:rsidRPr="00BF0D71">
                  <w:rPr>
                    <w:rFonts w:cs="Arial"/>
                  </w:rPr>
                  <w:t>14 mai</w:t>
                </w:r>
                <w:r w:rsidR="00D55CE4" w:rsidRPr="00BF0D71">
                  <w:rPr>
                    <w:rFonts w:cs="Arial"/>
                  </w:rPr>
                  <w:t xml:space="preserve"> 20</w:t>
                </w:r>
                <w:r w:rsidR="006B3F27" w:rsidRPr="00BF0D71">
                  <w:rPr>
                    <w:rFonts w:cs="Arial"/>
                  </w:rPr>
                  <w:t>20</w:t>
                </w:r>
              </w:sdtContent>
            </w:sdt>
          </w:p>
        </w:tc>
      </w:tr>
      <w:tr w:rsidR="006B3F27" w:rsidRPr="00BF0D71" w14:paraId="48E43D8E"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207D82DD" w14:textId="77777777" w:rsidR="006B3F27" w:rsidRPr="00BF0D71" w:rsidRDefault="006B3F27" w:rsidP="00D747DB">
            <w:pPr>
              <w:spacing w:before="0" w:line="240" w:lineRule="auto"/>
              <w:jc w:val="left"/>
            </w:pPr>
            <w:r w:rsidRPr="00BF0D71">
              <w:t>Réf.:</w:t>
            </w:r>
          </w:p>
        </w:tc>
        <w:tc>
          <w:tcPr>
            <w:tcW w:w="3827" w:type="dxa"/>
            <w:gridSpan w:val="2"/>
            <w:tcBorders>
              <w:top w:val="nil"/>
              <w:left w:val="nil"/>
              <w:bottom w:val="nil"/>
              <w:right w:val="nil"/>
            </w:tcBorders>
            <w:shd w:val="clear" w:color="auto" w:fill="auto"/>
          </w:tcPr>
          <w:p w14:paraId="0A1228D6" w14:textId="77777777" w:rsidR="006B3F27" w:rsidRPr="00BF0D71" w:rsidRDefault="006B3F27" w:rsidP="00D747DB">
            <w:pPr>
              <w:spacing w:before="0" w:line="240" w:lineRule="auto"/>
              <w:jc w:val="left"/>
              <w:rPr>
                <w:b/>
                <w:bCs/>
              </w:rPr>
            </w:pPr>
            <w:bookmarkStart w:id="1" w:name="lt_pId015"/>
            <w:r w:rsidRPr="00BF0D71">
              <w:rPr>
                <w:b/>
                <w:bCs/>
              </w:rPr>
              <w:t>DM-20/100</w:t>
            </w:r>
            <w:bookmarkEnd w:id="1"/>
            <w:r w:rsidRPr="00BF0D71">
              <w:rPr>
                <w:b/>
                <w:bCs/>
              </w:rPr>
              <w:t>5</w:t>
            </w:r>
          </w:p>
        </w:tc>
        <w:tc>
          <w:tcPr>
            <w:tcW w:w="4536" w:type="dxa"/>
            <w:vMerge w:val="restart"/>
            <w:tcBorders>
              <w:top w:val="nil"/>
              <w:left w:val="nil"/>
              <w:right w:val="nil"/>
            </w:tcBorders>
            <w:shd w:val="clear" w:color="auto" w:fill="auto"/>
          </w:tcPr>
          <w:p w14:paraId="75B55755" w14:textId="77777777" w:rsidR="006B3F27" w:rsidRPr="00BF0D71" w:rsidRDefault="006B3F27" w:rsidP="005A4850">
            <w:pPr>
              <w:spacing w:before="480" w:line="240" w:lineRule="auto"/>
            </w:pPr>
            <w:r w:rsidRPr="00BF0D71">
              <w:rPr>
                <w:color w:val="000000"/>
              </w:rPr>
              <w:t>Aux États Membres du Conseil de l'UIT</w:t>
            </w:r>
          </w:p>
        </w:tc>
      </w:tr>
      <w:tr w:rsidR="006B3F27" w:rsidRPr="00BF0D71" w14:paraId="25EF3EF0"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771A5D27" w14:textId="77777777" w:rsidR="006B3F27" w:rsidRPr="00BF0D71" w:rsidRDefault="006B3F27" w:rsidP="00D747DB">
            <w:pPr>
              <w:spacing w:before="0" w:line="240" w:lineRule="auto"/>
              <w:jc w:val="left"/>
              <w:rPr>
                <w:iCs/>
                <w:color w:val="FFFFFF" w:themeColor="background1"/>
              </w:rPr>
            </w:pPr>
            <w:r w:rsidRPr="00BF0D71">
              <w:rPr>
                <w:iCs/>
              </w:rPr>
              <w:t>Contact:</w:t>
            </w:r>
          </w:p>
        </w:tc>
        <w:tc>
          <w:tcPr>
            <w:tcW w:w="3543" w:type="dxa"/>
            <w:tcBorders>
              <w:top w:val="nil"/>
              <w:left w:val="nil"/>
              <w:bottom w:val="nil"/>
              <w:right w:val="nil"/>
            </w:tcBorders>
            <w:shd w:val="clear" w:color="auto" w:fill="auto"/>
          </w:tcPr>
          <w:p w14:paraId="4974A8F0" w14:textId="77777777" w:rsidR="006B3F27" w:rsidRPr="00BF0D71" w:rsidRDefault="006B3F27" w:rsidP="00D747DB">
            <w:pPr>
              <w:spacing w:before="0" w:line="240" w:lineRule="auto"/>
              <w:jc w:val="left"/>
            </w:pPr>
            <w:bookmarkStart w:id="2" w:name="lt_pId018"/>
            <w:r w:rsidRPr="00BF0D71">
              <w:t>Mme Béatrice Pluchon</w:t>
            </w:r>
            <w:bookmarkEnd w:id="2"/>
          </w:p>
        </w:tc>
        <w:tc>
          <w:tcPr>
            <w:tcW w:w="284" w:type="dxa"/>
            <w:tcBorders>
              <w:top w:val="nil"/>
              <w:left w:val="nil"/>
              <w:bottom w:val="nil"/>
              <w:right w:val="nil"/>
            </w:tcBorders>
            <w:shd w:val="clear" w:color="auto" w:fill="auto"/>
          </w:tcPr>
          <w:p w14:paraId="1B81DE20" w14:textId="77777777" w:rsidR="006B3F27" w:rsidRPr="00BF0D71" w:rsidRDefault="006B3F27" w:rsidP="00D747DB">
            <w:pPr>
              <w:spacing w:before="0" w:line="240" w:lineRule="auto"/>
            </w:pPr>
          </w:p>
        </w:tc>
        <w:tc>
          <w:tcPr>
            <w:tcW w:w="4536" w:type="dxa"/>
            <w:vMerge/>
            <w:tcBorders>
              <w:left w:val="nil"/>
              <w:right w:val="nil"/>
            </w:tcBorders>
            <w:shd w:val="clear" w:color="auto" w:fill="auto"/>
          </w:tcPr>
          <w:p w14:paraId="60332A6B" w14:textId="77777777" w:rsidR="006B3F27" w:rsidRPr="00BF0D71" w:rsidRDefault="006B3F27" w:rsidP="00D747DB">
            <w:pPr>
              <w:spacing w:before="240" w:line="240" w:lineRule="auto"/>
              <w:rPr>
                <w:color w:val="000000"/>
              </w:rPr>
            </w:pPr>
          </w:p>
        </w:tc>
      </w:tr>
      <w:tr w:rsidR="006B3F27" w:rsidRPr="00BF0D71" w14:paraId="403A12C0"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64E3E86" w14:textId="77777777" w:rsidR="006B3F27" w:rsidRPr="00BF0D71" w:rsidRDefault="006B3F27" w:rsidP="00D747DB">
            <w:pPr>
              <w:spacing w:before="0" w:line="240" w:lineRule="auto"/>
              <w:jc w:val="left"/>
              <w:rPr>
                <w:iCs/>
                <w:color w:val="FFFFFF" w:themeColor="background1"/>
              </w:rPr>
            </w:pPr>
            <w:r w:rsidRPr="00BF0D71">
              <w:rPr>
                <w:iCs/>
              </w:rPr>
              <w:t>Télécopie:</w:t>
            </w:r>
          </w:p>
        </w:tc>
        <w:tc>
          <w:tcPr>
            <w:tcW w:w="3543" w:type="dxa"/>
            <w:tcBorders>
              <w:top w:val="nil"/>
              <w:left w:val="nil"/>
              <w:bottom w:val="nil"/>
              <w:right w:val="nil"/>
            </w:tcBorders>
            <w:shd w:val="clear" w:color="auto" w:fill="auto"/>
          </w:tcPr>
          <w:p w14:paraId="62C18381" w14:textId="77777777" w:rsidR="006B3F27" w:rsidRPr="00BF0D71" w:rsidRDefault="006B3F27" w:rsidP="00D747DB">
            <w:pPr>
              <w:spacing w:before="0" w:line="240" w:lineRule="auto"/>
              <w:jc w:val="left"/>
            </w:pPr>
            <w:r w:rsidRPr="00BF0D71">
              <w:t>+41 22 730 6266</w:t>
            </w:r>
          </w:p>
        </w:tc>
        <w:tc>
          <w:tcPr>
            <w:tcW w:w="284" w:type="dxa"/>
            <w:tcBorders>
              <w:top w:val="nil"/>
              <w:left w:val="nil"/>
              <w:bottom w:val="nil"/>
              <w:right w:val="nil"/>
            </w:tcBorders>
            <w:shd w:val="clear" w:color="auto" w:fill="auto"/>
          </w:tcPr>
          <w:p w14:paraId="34DECA20" w14:textId="77777777" w:rsidR="006B3F27" w:rsidRPr="00BF0D71" w:rsidRDefault="006B3F27" w:rsidP="00D747DB">
            <w:pPr>
              <w:spacing w:before="0" w:line="240" w:lineRule="auto"/>
            </w:pPr>
          </w:p>
        </w:tc>
        <w:tc>
          <w:tcPr>
            <w:tcW w:w="4536" w:type="dxa"/>
            <w:vMerge/>
            <w:tcBorders>
              <w:left w:val="nil"/>
              <w:right w:val="nil"/>
            </w:tcBorders>
            <w:shd w:val="clear" w:color="auto" w:fill="auto"/>
          </w:tcPr>
          <w:p w14:paraId="61FCF46E" w14:textId="77777777" w:rsidR="006B3F27" w:rsidRPr="00BF0D71" w:rsidRDefault="006B3F27" w:rsidP="00D747DB">
            <w:pPr>
              <w:spacing w:before="0" w:line="240" w:lineRule="auto"/>
            </w:pPr>
          </w:p>
        </w:tc>
      </w:tr>
      <w:tr w:rsidR="006B3F27" w:rsidRPr="00BF0D71" w14:paraId="69D5CBA2" w14:textId="77777777" w:rsidTr="00CC13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EEE3415" w14:textId="77777777" w:rsidR="006B3F27" w:rsidRPr="00BF0D71" w:rsidRDefault="006B3F27" w:rsidP="00D747DB">
            <w:pPr>
              <w:spacing w:before="0" w:line="240" w:lineRule="auto"/>
              <w:jc w:val="left"/>
              <w:rPr>
                <w:iCs/>
                <w:color w:val="FFFFFF" w:themeColor="background1"/>
              </w:rPr>
            </w:pPr>
            <w:r w:rsidRPr="00BF0D71">
              <w:t>Courriel</w:t>
            </w:r>
            <w:r w:rsidRPr="00BF0D71">
              <w:rPr>
                <w:iCs/>
              </w:rPr>
              <w:t>:</w:t>
            </w:r>
          </w:p>
        </w:tc>
        <w:tc>
          <w:tcPr>
            <w:tcW w:w="3543" w:type="dxa"/>
            <w:tcBorders>
              <w:top w:val="nil"/>
              <w:left w:val="nil"/>
              <w:bottom w:val="nil"/>
              <w:right w:val="nil"/>
            </w:tcBorders>
            <w:shd w:val="clear" w:color="auto" w:fill="auto"/>
          </w:tcPr>
          <w:p w14:paraId="6350C56B" w14:textId="77777777" w:rsidR="006B3F27" w:rsidRPr="00BF0D71" w:rsidRDefault="002C6631" w:rsidP="00D747DB">
            <w:pPr>
              <w:spacing w:before="0" w:line="240" w:lineRule="auto"/>
              <w:jc w:val="left"/>
            </w:pPr>
            <w:hyperlink r:id="rId8" w:history="1">
              <w:bookmarkStart w:id="3" w:name="lt_pId022"/>
              <w:r w:rsidR="006B3F27" w:rsidRPr="00BF0D71">
                <w:rPr>
                  <w:rStyle w:val="Hyperlink"/>
                </w:rPr>
                <w:t>gbs@itu.int</w:t>
              </w:r>
              <w:bookmarkEnd w:id="3"/>
            </w:hyperlink>
          </w:p>
        </w:tc>
        <w:tc>
          <w:tcPr>
            <w:tcW w:w="284" w:type="dxa"/>
            <w:tcBorders>
              <w:top w:val="nil"/>
              <w:left w:val="nil"/>
              <w:bottom w:val="nil"/>
              <w:right w:val="nil"/>
            </w:tcBorders>
            <w:shd w:val="clear" w:color="auto" w:fill="auto"/>
          </w:tcPr>
          <w:p w14:paraId="2CB29820" w14:textId="77777777" w:rsidR="006B3F27" w:rsidRPr="00BF0D71" w:rsidRDefault="006B3F27" w:rsidP="00D747DB">
            <w:pPr>
              <w:spacing w:before="0" w:line="240" w:lineRule="auto"/>
            </w:pPr>
          </w:p>
        </w:tc>
        <w:tc>
          <w:tcPr>
            <w:tcW w:w="4536" w:type="dxa"/>
            <w:vMerge/>
            <w:tcBorders>
              <w:left w:val="nil"/>
              <w:bottom w:val="nil"/>
              <w:right w:val="nil"/>
            </w:tcBorders>
            <w:shd w:val="clear" w:color="auto" w:fill="auto"/>
          </w:tcPr>
          <w:p w14:paraId="5A82DFEF" w14:textId="77777777" w:rsidR="006B3F27" w:rsidRPr="00BF0D71" w:rsidRDefault="006B3F27" w:rsidP="00D747DB">
            <w:pPr>
              <w:spacing w:before="0" w:line="240" w:lineRule="auto"/>
            </w:pPr>
          </w:p>
        </w:tc>
      </w:tr>
      <w:tr w:rsidR="003476DD" w:rsidRPr="00BF0D71" w14:paraId="1961C108" w14:textId="77777777" w:rsidTr="0000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49F1F0B3" w14:textId="77777777" w:rsidR="003476DD" w:rsidRPr="00BF0D71" w:rsidRDefault="003476DD" w:rsidP="00D747DB">
            <w:pPr>
              <w:spacing w:before="0" w:line="240" w:lineRule="auto"/>
              <w:jc w:val="left"/>
              <w:rPr>
                <w:iCs/>
              </w:rPr>
            </w:pPr>
          </w:p>
        </w:tc>
        <w:tc>
          <w:tcPr>
            <w:tcW w:w="8363" w:type="dxa"/>
            <w:gridSpan w:val="3"/>
            <w:tcBorders>
              <w:top w:val="nil"/>
              <w:left w:val="nil"/>
              <w:bottom w:val="nil"/>
              <w:right w:val="nil"/>
            </w:tcBorders>
            <w:shd w:val="clear" w:color="auto" w:fill="auto"/>
          </w:tcPr>
          <w:p w14:paraId="61ABDD9D" w14:textId="77777777" w:rsidR="003476DD" w:rsidRPr="00BF0D71" w:rsidRDefault="003476DD" w:rsidP="00D747DB">
            <w:pPr>
              <w:spacing w:before="0" w:line="240" w:lineRule="auto"/>
              <w:jc w:val="left"/>
              <w:rPr>
                <w:iCs/>
              </w:rPr>
            </w:pPr>
          </w:p>
        </w:tc>
      </w:tr>
      <w:tr w:rsidR="00757B2B" w:rsidRPr="00BF0D71" w14:paraId="20895BA2" w14:textId="77777777" w:rsidTr="0000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56370016" w14:textId="77777777" w:rsidR="00757B2B" w:rsidRPr="00BF0D71" w:rsidRDefault="000A249C" w:rsidP="00D747DB">
            <w:pPr>
              <w:spacing w:before="120" w:line="240" w:lineRule="auto"/>
              <w:jc w:val="left"/>
              <w:rPr>
                <w:color w:val="000000"/>
              </w:rPr>
            </w:pPr>
            <w:r w:rsidRPr="00BF0D71">
              <w:rPr>
                <w:color w:val="000000"/>
              </w:rPr>
              <w:t>Objet:</w:t>
            </w:r>
          </w:p>
        </w:tc>
        <w:tc>
          <w:tcPr>
            <w:tcW w:w="8363" w:type="dxa"/>
            <w:gridSpan w:val="3"/>
            <w:tcBorders>
              <w:top w:val="nil"/>
              <w:left w:val="nil"/>
              <w:bottom w:val="nil"/>
              <w:right w:val="nil"/>
            </w:tcBorders>
            <w:shd w:val="clear" w:color="auto" w:fill="auto"/>
          </w:tcPr>
          <w:p w14:paraId="170B1DF7" w14:textId="7AD25E59" w:rsidR="00757B2B" w:rsidRPr="00BF0D71" w:rsidRDefault="006B3F27" w:rsidP="00D747DB">
            <w:pPr>
              <w:spacing w:before="120" w:line="240" w:lineRule="auto"/>
              <w:jc w:val="left"/>
              <w:rPr>
                <w:b/>
                <w:bCs/>
                <w:color w:val="000000"/>
              </w:rPr>
            </w:pPr>
            <w:r w:rsidRPr="00BF0D71">
              <w:rPr>
                <w:b/>
                <w:bCs/>
                <w:color w:val="000000"/>
              </w:rPr>
              <w:t>Organi</w:t>
            </w:r>
            <w:r w:rsidR="00D05364" w:rsidRPr="00BF0D71">
              <w:rPr>
                <w:b/>
                <w:bCs/>
                <w:color w:val="000000"/>
              </w:rPr>
              <w:t>s</w:t>
            </w:r>
            <w:r w:rsidRPr="00BF0D71">
              <w:rPr>
                <w:b/>
                <w:bCs/>
                <w:color w:val="000000"/>
              </w:rPr>
              <w:t>ation</w:t>
            </w:r>
            <w:r w:rsidR="008A6E3D" w:rsidRPr="00BF0D71">
              <w:rPr>
                <w:b/>
                <w:bCs/>
                <w:color w:val="000000"/>
              </w:rPr>
              <w:t xml:space="preserve"> </w:t>
            </w:r>
            <w:r w:rsidR="00D05364" w:rsidRPr="00BF0D71">
              <w:rPr>
                <w:b/>
                <w:bCs/>
                <w:color w:val="000000"/>
              </w:rPr>
              <w:t>d</w:t>
            </w:r>
            <w:r w:rsidR="00712969" w:rsidRPr="00BF0D71">
              <w:rPr>
                <w:b/>
                <w:bCs/>
                <w:color w:val="000000"/>
              </w:rPr>
              <w:t>'</w:t>
            </w:r>
            <w:r w:rsidR="00D05364" w:rsidRPr="00BF0D71">
              <w:rPr>
                <w:b/>
                <w:bCs/>
                <w:color w:val="000000"/>
              </w:rPr>
              <w:t xml:space="preserve">une </w:t>
            </w:r>
            <w:r w:rsidR="00747C88" w:rsidRPr="00BF0D71">
              <w:rPr>
                <w:b/>
                <w:bCs/>
                <w:color w:val="000000"/>
              </w:rPr>
              <w:t>consultation</w:t>
            </w:r>
            <w:r w:rsidR="00D05364" w:rsidRPr="00BF0D71">
              <w:rPr>
                <w:b/>
                <w:bCs/>
                <w:color w:val="000000"/>
              </w:rPr>
              <w:t xml:space="preserve"> virtuelle des Conseillers</w:t>
            </w:r>
          </w:p>
        </w:tc>
      </w:tr>
    </w:tbl>
    <w:p w14:paraId="508D1397" w14:textId="77777777" w:rsidR="00AF3325" w:rsidRPr="00BF0D71" w:rsidRDefault="000A249C" w:rsidP="00D747DB">
      <w:pPr>
        <w:pStyle w:val="Normalaftertitle0"/>
        <w:spacing w:before="240"/>
        <w:rPr>
          <w:rFonts w:asciiTheme="minorHAnsi" w:hAnsiTheme="minorHAnsi"/>
          <w:sz w:val="22"/>
          <w:szCs w:val="22"/>
          <w:lang w:val="fr-FR"/>
        </w:rPr>
      </w:pPr>
      <w:bookmarkStart w:id="4" w:name="CurrentLocation"/>
      <w:bookmarkEnd w:id="4"/>
      <w:r w:rsidRPr="00BF0D71">
        <w:rPr>
          <w:rFonts w:asciiTheme="minorHAnsi" w:hAnsiTheme="minorHAnsi"/>
          <w:sz w:val="22"/>
          <w:szCs w:val="22"/>
          <w:lang w:val="fr-FR"/>
        </w:rPr>
        <w:t>Madame, Monsieur,</w:t>
      </w:r>
    </w:p>
    <w:p w14:paraId="4F357B78" w14:textId="1B210FFF" w:rsidR="00EA15B3" w:rsidRPr="00BF0D71" w:rsidRDefault="00D05364" w:rsidP="00D747DB">
      <w:pPr>
        <w:spacing w:line="240" w:lineRule="auto"/>
      </w:pPr>
      <w:r w:rsidRPr="00BF0D71">
        <w:t xml:space="preserve">Par la </w:t>
      </w:r>
      <w:r w:rsidR="00510C3D" w:rsidRPr="00BF0D71">
        <w:t>L</w:t>
      </w:r>
      <w:r w:rsidRPr="00BF0D71">
        <w:t>ettre circulaire</w:t>
      </w:r>
      <w:r w:rsidRPr="00BF0D71">
        <w:rPr>
          <w:b/>
          <w:bCs/>
        </w:rPr>
        <w:t xml:space="preserve"> </w:t>
      </w:r>
      <w:hyperlink r:id="rId9" w:history="1">
        <w:r w:rsidRPr="00BF0D71">
          <w:rPr>
            <w:rStyle w:val="Hyperlink"/>
          </w:rPr>
          <w:t>DM-20/100</w:t>
        </w:r>
        <w:r w:rsidR="00712969" w:rsidRPr="00BF0D71">
          <w:rPr>
            <w:rStyle w:val="Hyperlink"/>
          </w:rPr>
          <w:t>4</w:t>
        </w:r>
      </w:hyperlink>
      <w:r w:rsidRPr="00BF0D71">
        <w:t>,</w:t>
      </w:r>
      <w:r w:rsidRPr="00BF0D71">
        <w:rPr>
          <w:b/>
          <w:bCs/>
        </w:rPr>
        <w:t xml:space="preserve"> </w:t>
      </w:r>
      <w:r w:rsidRPr="00BF0D71">
        <w:rPr>
          <w:bCs/>
        </w:rPr>
        <w:t>le Secrétaire général a procédé à une consultation</w:t>
      </w:r>
      <w:r w:rsidR="008A6E3D" w:rsidRPr="00BF0D71">
        <w:t xml:space="preserve"> </w:t>
      </w:r>
      <w:r w:rsidR="006B3F27" w:rsidRPr="00BF0D71">
        <w:t xml:space="preserve">informelle </w:t>
      </w:r>
      <w:r w:rsidR="00747C88" w:rsidRPr="00BF0D71">
        <w:t xml:space="preserve">auprès </w:t>
      </w:r>
      <w:r w:rsidR="006B3F27" w:rsidRPr="00BF0D71">
        <w:t>des États Membres du Conseil au sujet d'une proposition visant à organiser une réunion virtuelle de la session de</w:t>
      </w:r>
      <w:r w:rsidR="005E6F4B" w:rsidRPr="00BF0D71">
        <w:t> </w:t>
      </w:r>
      <w:r w:rsidR="006B3F27" w:rsidRPr="00BF0D71">
        <w:t>2020 du Conseil (9-19 juin 2020).</w:t>
      </w:r>
    </w:p>
    <w:p w14:paraId="51CE8ED9" w14:textId="7C282085" w:rsidR="00F723FD" w:rsidRPr="00BF0D71" w:rsidRDefault="00D05364" w:rsidP="00D747DB">
      <w:pPr>
        <w:spacing w:line="240" w:lineRule="auto"/>
        <w:jc w:val="left"/>
      </w:pPr>
      <w:r w:rsidRPr="00BF0D71">
        <w:t>Un résumé général des réponses à</w:t>
      </w:r>
      <w:r w:rsidR="008A6E3D" w:rsidRPr="00BF0D71">
        <w:t xml:space="preserve"> </w:t>
      </w:r>
      <w:r w:rsidRPr="00BF0D71">
        <w:t>cette</w:t>
      </w:r>
      <w:r w:rsidR="008A6E3D" w:rsidRPr="00BF0D71">
        <w:t xml:space="preserve"> </w:t>
      </w:r>
      <w:r w:rsidRPr="00BF0D71">
        <w:t>consultation figure dans</w:t>
      </w:r>
      <w:r w:rsidR="008A6E3D" w:rsidRPr="00BF0D71">
        <w:t xml:space="preserve"> </w:t>
      </w:r>
      <w:r w:rsidRPr="00BF0D71">
        <w:t>l</w:t>
      </w:r>
      <w:r w:rsidR="00712969" w:rsidRPr="00BF0D71">
        <w:t>'</w:t>
      </w:r>
      <w:hyperlink w:anchor="Annexe1" w:history="1">
        <w:r w:rsidR="00A3794C" w:rsidRPr="00BF0D71">
          <w:rPr>
            <w:rStyle w:val="Hyperlink"/>
          </w:rPr>
          <w:t>Annexe</w:t>
        </w:r>
        <w:r w:rsidR="008A6E3D" w:rsidRPr="00BF0D71">
          <w:rPr>
            <w:rStyle w:val="Hyperlink"/>
          </w:rPr>
          <w:t xml:space="preserve"> </w:t>
        </w:r>
        <w:r w:rsidR="00F723FD" w:rsidRPr="00BF0D71">
          <w:rPr>
            <w:rStyle w:val="Hyperlink"/>
          </w:rPr>
          <w:t>1</w:t>
        </w:r>
      </w:hyperlink>
      <w:r w:rsidR="00F723FD" w:rsidRPr="00BF0D71">
        <w:t>.</w:t>
      </w:r>
    </w:p>
    <w:p w14:paraId="7C4AF604" w14:textId="112E7BB3" w:rsidR="00F723FD" w:rsidRPr="00BF0D71" w:rsidRDefault="00D05364" w:rsidP="00D747DB">
      <w:pPr>
        <w:spacing w:line="240" w:lineRule="auto"/>
        <w:jc w:val="left"/>
      </w:pPr>
      <w:r w:rsidRPr="00BF0D71">
        <w:t>Je tiens également à vous remercier d</w:t>
      </w:r>
      <w:r w:rsidR="00712969" w:rsidRPr="00BF0D71">
        <w:t>'</w:t>
      </w:r>
      <w:r w:rsidRPr="00BF0D71">
        <w:t xml:space="preserve">avoir participé à </w:t>
      </w:r>
      <w:r w:rsidR="00174BD1" w:rsidRPr="00BF0D71">
        <w:t>l</w:t>
      </w:r>
      <w:r w:rsidR="00712969" w:rsidRPr="00BF0D71">
        <w:t>'</w:t>
      </w:r>
      <w:r w:rsidR="00174BD1" w:rsidRPr="00BF0D71">
        <w:t>essai</w:t>
      </w:r>
      <w:r w:rsidR="008A6E3D" w:rsidRPr="00BF0D71">
        <w:t xml:space="preserve"> </w:t>
      </w:r>
      <w:r w:rsidRPr="00BF0D71">
        <w:t>technique qui a eu lieu le 8 mai.</w:t>
      </w:r>
      <w:r w:rsidR="00152A1D" w:rsidRPr="00BF0D71">
        <w:t xml:space="preserve"> Je vous prie </w:t>
      </w:r>
      <w:r w:rsidR="00152A1D" w:rsidRPr="00BF0D71">
        <w:rPr>
          <w:bCs/>
        </w:rPr>
        <w:t>de bien vouloir trouver</w:t>
      </w:r>
      <w:r w:rsidR="008A6E3D" w:rsidRPr="00BF0D71">
        <w:t xml:space="preserve"> </w:t>
      </w:r>
      <w:r w:rsidR="00152A1D" w:rsidRPr="00BF0D71">
        <w:t>dans l</w:t>
      </w:r>
      <w:r w:rsidR="00712969" w:rsidRPr="00BF0D71">
        <w:t>'</w:t>
      </w:r>
      <w:hyperlink w:anchor="Annexe2" w:history="1">
        <w:r w:rsidR="00A3794C" w:rsidRPr="00BF0D71">
          <w:rPr>
            <w:rStyle w:val="Hyperlink"/>
          </w:rPr>
          <w:t>Annexe</w:t>
        </w:r>
        <w:r w:rsidR="008A6E3D" w:rsidRPr="00BF0D71">
          <w:rPr>
            <w:rStyle w:val="Hyperlink"/>
          </w:rPr>
          <w:t xml:space="preserve"> </w:t>
        </w:r>
        <w:r w:rsidR="00152A1D" w:rsidRPr="00BF0D71">
          <w:rPr>
            <w:rStyle w:val="Hyperlink"/>
          </w:rPr>
          <w:t>2</w:t>
        </w:r>
      </w:hyperlink>
      <w:r w:rsidR="00152A1D" w:rsidRPr="00BF0D71">
        <w:t xml:space="preserve"> un rapport</w:t>
      </w:r>
      <w:r w:rsidR="008A6E3D" w:rsidRPr="00BF0D71">
        <w:t xml:space="preserve"> </w:t>
      </w:r>
      <w:r w:rsidR="00152A1D" w:rsidRPr="00BF0D71">
        <w:t>informel</w:t>
      </w:r>
      <w:r w:rsidR="008A6E3D" w:rsidRPr="00BF0D71">
        <w:t xml:space="preserve"> </w:t>
      </w:r>
      <w:r w:rsidR="00510C3D" w:rsidRPr="00BF0D71">
        <w:t>relatif à</w:t>
      </w:r>
      <w:r w:rsidR="00152A1D" w:rsidRPr="00BF0D71">
        <w:t xml:space="preserve"> cet</w:t>
      </w:r>
      <w:r w:rsidR="00174BD1" w:rsidRPr="00BF0D71">
        <w:t xml:space="preserve"> essai</w:t>
      </w:r>
      <w:r w:rsidR="008A6E3D" w:rsidRPr="00BF0D71">
        <w:t>.</w:t>
      </w:r>
      <w:r w:rsidR="008A6E3D" w:rsidRPr="00BF0D71">
        <w:rPr>
          <w:rFonts w:ascii="Arial" w:hAnsi="Arial" w:cs="Arial"/>
          <w:color w:val="4D5156"/>
          <w:sz w:val="13"/>
          <w:szCs w:val="13"/>
          <w:shd w:val="clear" w:color="auto" w:fill="FFFFFF"/>
        </w:rPr>
        <w:t xml:space="preserve"> </w:t>
      </w:r>
      <w:r w:rsidR="00152A1D" w:rsidRPr="00BF0D71">
        <w:t>Le secrétariat a dûment</w:t>
      </w:r>
      <w:r w:rsidR="008A6E3D" w:rsidRPr="00BF0D71">
        <w:t xml:space="preserve"> </w:t>
      </w:r>
      <w:r w:rsidR="00152A1D" w:rsidRPr="00BF0D71">
        <w:t>pris note des problèmes rencontrés et fera tout ce qui est en son pouvoir pour les résoudre</w:t>
      </w:r>
      <w:r w:rsidR="00F723FD" w:rsidRPr="00BF0D71">
        <w:t>.</w:t>
      </w:r>
    </w:p>
    <w:p w14:paraId="62CCF9D4" w14:textId="1D895F0C" w:rsidR="00F723FD" w:rsidRPr="00BF0D71" w:rsidRDefault="00152A1D" w:rsidP="00D747DB">
      <w:pPr>
        <w:spacing w:line="240" w:lineRule="auto"/>
        <w:jc w:val="left"/>
      </w:pPr>
      <w:r w:rsidRPr="00BF0D71">
        <w:t xml:space="preserve">Compte tenu des réponses reçues à la suite de la consultation informelle, </w:t>
      </w:r>
      <w:r w:rsidR="008A045D" w:rsidRPr="00BF0D71">
        <w:t>et en vue de la préparation d</w:t>
      </w:r>
      <w:r w:rsidR="00712969" w:rsidRPr="00BF0D71">
        <w:t>'</w:t>
      </w:r>
      <w:r w:rsidR="008A045D" w:rsidRPr="00BF0D71">
        <w:t>une réunion physique de la session de 2020 du Conseil qui</w:t>
      </w:r>
      <w:r w:rsidR="00A3794C" w:rsidRPr="00BF0D71">
        <w:t xml:space="preserve"> </w:t>
      </w:r>
      <w:r w:rsidR="00D747DB" w:rsidRPr="00BF0D71">
        <w:t xml:space="preserve">– </w:t>
      </w:r>
      <w:r w:rsidR="008A045D" w:rsidRPr="00BF0D71">
        <w:t>il faut l'espérer</w:t>
      </w:r>
      <w:r w:rsidR="00A3794C" w:rsidRPr="00BF0D71">
        <w:t xml:space="preserve"> </w:t>
      </w:r>
      <w:r w:rsidR="00D747DB" w:rsidRPr="00BF0D71">
        <w:t xml:space="preserve">– </w:t>
      </w:r>
      <w:r w:rsidR="008A045D" w:rsidRPr="00BF0D71">
        <w:t xml:space="preserve">pourra se tenir </w:t>
      </w:r>
      <w:r w:rsidR="00FE537D" w:rsidRPr="00BF0D71">
        <w:t>d</w:t>
      </w:r>
      <w:r w:rsidR="00712969" w:rsidRPr="00BF0D71">
        <w:t>'</w:t>
      </w:r>
      <w:r w:rsidR="00FE537D" w:rsidRPr="00BF0D71">
        <w:t xml:space="preserve">ici </w:t>
      </w:r>
      <w:r w:rsidR="008A045D" w:rsidRPr="00BF0D71">
        <w:t xml:space="preserve">la fin de 2020, et après avoir poursuivi les discussions avec les États Membres au sujet des problèmes </w:t>
      </w:r>
      <w:r w:rsidR="00DA5CA6" w:rsidRPr="00BF0D71">
        <w:t>qu</w:t>
      </w:r>
      <w:r w:rsidR="00712969" w:rsidRPr="00BF0D71">
        <w:t>'</w:t>
      </w:r>
      <w:r w:rsidR="00DA5CA6" w:rsidRPr="00BF0D71">
        <w:t>ils ont soulevés</w:t>
      </w:r>
      <w:r w:rsidR="008A6E3D" w:rsidRPr="00BF0D71">
        <w:t xml:space="preserve"> </w:t>
      </w:r>
      <w:r w:rsidR="008A045D" w:rsidRPr="00BF0D71">
        <w:t>ainsi que des conditions</w:t>
      </w:r>
      <w:r w:rsidR="00DA5CA6" w:rsidRPr="00BF0D71">
        <w:t xml:space="preserve"> qu</w:t>
      </w:r>
      <w:r w:rsidR="00712969" w:rsidRPr="00BF0D71">
        <w:t>'</w:t>
      </w:r>
      <w:r w:rsidR="00DA5CA6" w:rsidRPr="00BF0D71">
        <w:t>ils ont formulées</w:t>
      </w:r>
      <w:r w:rsidR="008A045D" w:rsidRPr="00BF0D71">
        <w:t xml:space="preserve">, je propose </w:t>
      </w:r>
      <w:r w:rsidR="001B7139" w:rsidRPr="00BF0D71">
        <w:t>qu</w:t>
      </w:r>
      <w:r w:rsidR="00712969" w:rsidRPr="00BF0D71">
        <w:t>'</w:t>
      </w:r>
      <w:r w:rsidR="001B7139" w:rsidRPr="00BF0D71">
        <w:t>une</w:t>
      </w:r>
      <w:r w:rsidR="008A6E3D" w:rsidRPr="00BF0D71">
        <w:t xml:space="preserve"> </w:t>
      </w:r>
      <w:r w:rsidR="008A045D" w:rsidRPr="00BF0D71">
        <w:t>consultation virtuelle des Conseillers</w:t>
      </w:r>
      <w:r w:rsidR="002072AF" w:rsidRPr="00BF0D71">
        <w:t xml:space="preserve"> </w:t>
      </w:r>
      <w:r w:rsidR="001B7139" w:rsidRPr="00BF0D71">
        <w:t xml:space="preserve">se tienne </w:t>
      </w:r>
      <w:r w:rsidR="002072AF" w:rsidRPr="00BF0D71">
        <w:t xml:space="preserve">de façon organisée, conformément à </w:t>
      </w:r>
      <w:r w:rsidR="008A045D" w:rsidRPr="00BF0D71">
        <w:t>l</w:t>
      </w:r>
      <w:r w:rsidR="00712969" w:rsidRPr="00BF0D71">
        <w:t>'</w:t>
      </w:r>
      <w:r w:rsidR="00F723FD" w:rsidRPr="00BF0D71">
        <w:t xml:space="preserve">Article 3.1 </w:t>
      </w:r>
      <w:r w:rsidR="002E4095" w:rsidRPr="00BF0D71">
        <w:t xml:space="preserve">du Règlement intérieur du Conseil. Cette consultation virtuelle sera organisée </w:t>
      </w:r>
      <w:r w:rsidR="00510C3D" w:rsidRPr="00BF0D71">
        <w:t xml:space="preserve">selon les modalités </w:t>
      </w:r>
      <w:r w:rsidR="002E4095" w:rsidRPr="00BF0D71">
        <w:t>indiqué</w:t>
      </w:r>
      <w:r w:rsidR="00510C3D" w:rsidRPr="00BF0D71">
        <w:t>es</w:t>
      </w:r>
      <w:r w:rsidR="002E4095" w:rsidRPr="00BF0D71">
        <w:t xml:space="preserve"> dans</w:t>
      </w:r>
      <w:r w:rsidR="008A6E3D" w:rsidRPr="00BF0D71">
        <w:t xml:space="preserve"> </w:t>
      </w:r>
      <w:r w:rsidR="002E4095" w:rsidRPr="00BF0D71">
        <w:t>l</w:t>
      </w:r>
      <w:r w:rsidR="00712969" w:rsidRPr="00BF0D71">
        <w:t>'</w:t>
      </w:r>
      <w:hyperlink w:anchor="Annexe3" w:history="1">
        <w:r w:rsidR="00A3794C" w:rsidRPr="00BF0D71">
          <w:rPr>
            <w:rStyle w:val="Hyperlink"/>
          </w:rPr>
          <w:t>Annexe</w:t>
        </w:r>
        <w:r w:rsidR="008A6E3D" w:rsidRPr="00BF0D71">
          <w:rPr>
            <w:rStyle w:val="Hyperlink"/>
          </w:rPr>
          <w:t xml:space="preserve"> </w:t>
        </w:r>
        <w:r w:rsidR="00F723FD" w:rsidRPr="00BF0D71">
          <w:rPr>
            <w:rStyle w:val="Hyperlink"/>
          </w:rPr>
          <w:t>3</w:t>
        </w:r>
      </w:hyperlink>
      <w:r w:rsidR="00F723FD" w:rsidRPr="00BF0D71">
        <w:t>.</w:t>
      </w:r>
    </w:p>
    <w:p w14:paraId="47EC069C" w14:textId="1B177667" w:rsidR="00F723FD" w:rsidRPr="00BF0D71" w:rsidRDefault="009F69E4" w:rsidP="00D747DB">
      <w:pPr>
        <w:spacing w:line="240" w:lineRule="auto"/>
        <w:jc w:val="left"/>
      </w:pPr>
      <w:r w:rsidRPr="00BF0D71">
        <w:t>Je vous invite à</w:t>
      </w:r>
      <w:r w:rsidR="00510C3D" w:rsidRPr="00BF0D71">
        <w:t xml:space="preserve"> vous reporter à</w:t>
      </w:r>
      <w:r w:rsidR="008A6E3D" w:rsidRPr="00BF0D71">
        <w:t xml:space="preserve"> </w:t>
      </w:r>
      <w:bookmarkStart w:id="5" w:name="_Hlk40204564"/>
      <w:r w:rsidRPr="00BF0D71">
        <w:t>l</w:t>
      </w:r>
      <w:r w:rsidR="00712969" w:rsidRPr="00BF0D71">
        <w:t>'</w:t>
      </w:r>
      <w:hyperlink w:anchor="Annexe4" w:history="1">
        <w:r w:rsidR="00A3794C" w:rsidRPr="00BF0D71">
          <w:rPr>
            <w:rStyle w:val="Hyperlink"/>
          </w:rPr>
          <w:t>Annexe</w:t>
        </w:r>
        <w:r w:rsidR="008A6E3D" w:rsidRPr="00BF0D71">
          <w:rPr>
            <w:rStyle w:val="Hyperlink"/>
          </w:rPr>
          <w:t xml:space="preserve"> </w:t>
        </w:r>
        <w:r w:rsidR="00F723FD" w:rsidRPr="00BF0D71">
          <w:rPr>
            <w:rStyle w:val="Hyperlink"/>
          </w:rPr>
          <w:t>4</w:t>
        </w:r>
      </w:hyperlink>
      <w:r w:rsidR="00510C3D" w:rsidRPr="00BF0D71">
        <w:t xml:space="preserve"> pour consulter</w:t>
      </w:r>
      <w:r w:rsidR="008A6E3D" w:rsidRPr="00BF0D71">
        <w:t xml:space="preserve"> </w:t>
      </w:r>
      <w:r w:rsidRPr="00BF0D71">
        <w:t>les points que le secrétariat considère comme urgents et qui devraient être examinés à l</w:t>
      </w:r>
      <w:r w:rsidR="00712969" w:rsidRPr="00BF0D71">
        <w:t>'</w:t>
      </w:r>
      <w:r w:rsidRPr="00BF0D71">
        <w:t>occasion de la consultation virtuelle</w:t>
      </w:r>
      <w:r w:rsidR="008A6E3D" w:rsidRPr="00BF0D71">
        <w:t>,</w:t>
      </w:r>
      <w:r w:rsidRPr="00BF0D71">
        <w:t xml:space="preserve"> ainsi que la liste des points que le secrétariat propose d</w:t>
      </w:r>
      <w:r w:rsidR="00712969" w:rsidRPr="00BF0D71">
        <w:t>'</w:t>
      </w:r>
      <w:r w:rsidRPr="00BF0D71">
        <w:t>étudier lors de la prochaine session physique.</w:t>
      </w:r>
      <w:r w:rsidR="008A6E3D" w:rsidRPr="00BF0D71">
        <w:t xml:space="preserve"> </w:t>
      </w:r>
      <w:r w:rsidRPr="00BF0D71">
        <w:t>Les États Membres devraient faire savoir</w:t>
      </w:r>
      <w:r w:rsidR="00510C3D" w:rsidRPr="00BF0D71">
        <w:t xml:space="preserve"> </w:t>
      </w:r>
      <w:r w:rsidRPr="00BF0D71">
        <w:rPr>
          <w:b/>
          <w:bCs/>
        </w:rPr>
        <w:t>avant le 22 mai</w:t>
      </w:r>
      <w:r w:rsidR="00510C3D" w:rsidRPr="00BF0D71">
        <w:t xml:space="preserve"> </w:t>
      </w:r>
      <w:r w:rsidRPr="00BF0D71">
        <w:t>s</w:t>
      </w:r>
      <w:r w:rsidR="00712969" w:rsidRPr="00BF0D71">
        <w:t>'</w:t>
      </w:r>
      <w:r w:rsidRPr="00BF0D71">
        <w:t>ils souhaitent ou non qu</w:t>
      </w:r>
      <w:r w:rsidR="00712969" w:rsidRPr="00BF0D71">
        <w:t>'</w:t>
      </w:r>
      <w:r w:rsidRPr="00BF0D71">
        <w:t>un</w:t>
      </w:r>
      <w:r w:rsidR="004A7CE3" w:rsidRPr="00BF0D71">
        <w:t>e question particulière</w:t>
      </w:r>
      <w:r w:rsidR="008A6E3D" w:rsidRPr="00BF0D71">
        <w:t xml:space="preserve"> </w:t>
      </w:r>
      <w:r w:rsidRPr="00BF0D71">
        <w:t>soit examiné</w:t>
      </w:r>
      <w:r w:rsidR="004A7CE3" w:rsidRPr="00BF0D71">
        <w:t>e</w:t>
      </w:r>
      <w:r w:rsidR="008A6E3D" w:rsidRPr="00BF0D71">
        <w:t xml:space="preserve"> </w:t>
      </w:r>
      <w:r w:rsidRPr="00BF0D71">
        <w:t>pendant la consultation virtuelle</w:t>
      </w:r>
      <w:r w:rsidR="00F723FD" w:rsidRPr="00BF0D71">
        <w:t>.</w:t>
      </w:r>
      <w:r w:rsidR="008A6E3D" w:rsidRPr="00BF0D71">
        <w:t xml:space="preserve"> </w:t>
      </w:r>
      <w:r w:rsidRPr="00BF0D71">
        <w:t xml:space="preserve">En fonction des réponses </w:t>
      </w:r>
      <w:r w:rsidR="00510C3D" w:rsidRPr="00BF0D71">
        <w:t xml:space="preserve">qui seront </w:t>
      </w:r>
      <w:r w:rsidRPr="00BF0D71">
        <w:t>reçues de la part des États Membres du Conseil</w:t>
      </w:r>
      <w:r w:rsidR="008A6E3D" w:rsidRPr="00BF0D71">
        <w:t>,</w:t>
      </w:r>
      <w:r w:rsidRPr="00BF0D71">
        <w:t xml:space="preserve"> un projet d</w:t>
      </w:r>
      <w:r w:rsidR="00712969" w:rsidRPr="00BF0D71">
        <w:t>'</w:t>
      </w:r>
      <w:r w:rsidRPr="00BF0D71">
        <w:t xml:space="preserve">ordre du jour et </w:t>
      </w:r>
      <w:r w:rsidR="001B7139" w:rsidRPr="00BF0D71">
        <w:t>de</w:t>
      </w:r>
      <w:r w:rsidRPr="00BF0D71">
        <w:t xml:space="preserve"> programme de gestion du temps de la consultation virtuelle sera communiqué dès que possible</w:t>
      </w:r>
      <w:r w:rsidR="00D747DB" w:rsidRPr="00BF0D71">
        <w:t>.</w:t>
      </w:r>
    </w:p>
    <w:bookmarkEnd w:id="5"/>
    <w:p w14:paraId="73A41890" w14:textId="77777777" w:rsidR="0022549B" w:rsidRDefault="0022549B" w:rsidP="00D747DB">
      <w:pPr>
        <w:spacing w:line="240" w:lineRule="auto"/>
      </w:pPr>
    </w:p>
    <w:p w14:paraId="71683F02" w14:textId="07BD6387" w:rsidR="0022549B" w:rsidRDefault="0022549B" w:rsidP="0022549B">
      <w:pPr>
        <w:spacing w:line="240" w:lineRule="auto"/>
        <w:jc w:val="right"/>
      </w:pPr>
      <w:r>
        <w:t>…/…</w:t>
      </w:r>
    </w:p>
    <w:p w14:paraId="0A8D3C4D" w14:textId="794F471E" w:rsidR="00F723FD" w:rsidRPr="00BF0D71" w:rsidRDefault="00F723FD" w:rsidP="00D747DB">
      <w:pPr>
        <w:spacing w:line="240" w:lineRule="auto"/>
      </w:pPr>
      <w:r w:rsidRPr="00BF0D71">
        <w:br w:type="page"/>
      </w:r>
    </w:p>
    <w:p w14:paraId="674F039A" w14:textId="1442886C" w:rsidR="00F723FD" w:rsidRPr="00BF0D71" w:rsidRDefault="002537B1" w:rsidP="00D747DB">
      <w:pPr>
        <w:spacing w:line="240" w:lineRule="auto"/>
        <w:jc w:val="left"/>
      </w:pPr>
      <w:r w:rsidRPr="00BF0D71">
        <w:lastRenderedPageBreak/>
        <w:t>J</w:t>
      </w:r>
      <w:r w:rsidR="00712969" w:rsidRPr="00BF0D71">
        <w:t>'</w:t>
      </w:r>
      <w:r w:rsidRPr="00BF0D71">
        <w:t>espère que vous serez en mesure d</w:t>
      </w:r>
      <w:r w:rsidR="00712969" w:rsidRPr="00BF0D71">
        <w:t>'</w:t>
      </w:r>
      <w:r w:rsidRPr="00BF0D71">
        <w:t>accepter</w:t>
      </w:r>
      <w:r w:rsidR="008A6E3D" w:rsidRPr="00BF0D71">
        <w:t xml:space="preserve"> </w:t>
      </w:r>
      <w:r w:rsidR="00510C3D" w:rsidRPr="00BF0D71">
        <w:t>l</w:t>
      </w:r>
      <w:r w:rsidR="00712969" w:rsidRPr="00BF0D71">
        <w:t>'</w:t>
      </w:r>
      <w:r w:rsidRPr="00BF0D71">
        <w:t>organisation</w:t>
      </w:r>
      <w:r w:rsidR="00510C3D" w:rsidRPr="00BF0D71">
        <w:t xml:space="preserve"> proposée dans la présente </w:t>
      </w:r>
      <w:r w:rsidR="001B7139" w:rsidRPr="00BF0D71">
        <w:t>L</w:t>
      </w:r>
      <w:r w:rsidR="00510C3D" w:rsidRPr="00BF0D71">
        <w:t>ettre</w:t>
      </w:r>
      <w:r w:rsidR="008A6E3D" w:rsidRPr="00BF0D71">
        <w:t>.</w:t>
      </w:r>
      <w:r w:rsidRPr="00BF0D71">
        <w:t xml:space="preserve"> Si vous souhaitez formuler des commentaires sur ce sujet, veuillez en informer dès que possible le Secrétaire</w:t>
      </w:r>
      <w:r w:rsidR="00D747DB" w:rsidRPr="00BF0D71">
        <w:t> </w:t>
      </w:r>
      <w:r w:rsidRPr="00BF0D71">
        <w:t>général.</w:t>
      </w:r>
    </w:p>
    <w:p w14:paraId="5D4A1C89" w14:textId="069B9F2C" w:rsidR="00F723FD" w:rsidRPr="00BF0D71" w:rsidRDefault="001B7139" w:rsidP="00D747DB">
      <w:pPr>
        <w:spacing w:line="240" w:lineRule="auto"/>
        <w:jc w:val="left"/>
      </w:pPr>
      <w:r w:rsidRPr="00BF0D71">
        <w:t>Nous</w:t>
      </w:r>
      <w:r w:rsidR="00F723FD" w:rsidRPr="00BF0D71">
        <w:t xml:space="preserve"> compt</w:t>
      </w:r>
      <w:r w:rsidRPr="00BF0D71">
        <w:t>ons</w:t>
      </w:r>
      <w:r w:rsidR="00F723FD" w:rsidRPr="00BF0D71">
        <w:t xml:space="preserve"> sur</w:t>
      </w:r>
      <w:r w:rsidR="008A6E3D" w:rsidRPr="00BF0D71">
        <w:t xml:space="preserve"> </w:t>
      </w:r>
      <w:r w:rsidR="00F723FD" w:rsidRPr="00BF0D71">
        <w:t>votre coopération et votre bonne volonté pour faire en sorte que la</w:t>
      </w:r>
      <w:r w:rsidR="008A6E3D" w:rsidRPr="00BF0D71">
        <w:t xml:space="preserve"> </w:t>
      </w:r>
      <w:r w:rsidR="00510C3D" w:rsidRPr="00BF0D71">
        <w:t>consultation</w:t>
      </w:r>
      <w:r w:rsidR="008A6E3D" w:rsidRPr="00BF0D71">
        <w:t xml:space="preserve"> </w:t>
      </w:r>
      <w:r w:rsidR="00F723FD" w:rsidRPr="00BF0D71">
        <w:t>virtuelle soit aussi constructive que possible.</w:t>
      </w:r>
    </w:p>
    <w:p w14:paraId="7F359BB1" w14:textId="77777777" w:rsidR="00F723FD" w:rsidRPr="00BF0D71" w:rsidRDefault="00F723FD" w:rsidP="00D747DB">
      <w:pPr>
        <w:spacing w:before="480" w:after="480" w:line="240" w:lineRule="auto"/>
        <w:jc w:val="left"/>
        <w:rPr>
          <w:i/>
          <w:iCs/>
        </w:rPr>
      </w:pPr>
      <w:r w:rsidRPr="00BF0D71">
        <w:rPr>
          <w:i/>
          <w:iCs/>
        </w:rPr>
        <w:t>(signé)</w:t>
      </w:r>
    </w:p>
    <w:p w14:paraId="46A2D308" w14:textId="6B79AF0F" w:rsidR="000A249C" w:rsidRPr="00BF0D71" w:rsidRDefault="005E6F4B" w:rsidP="00FB6A68">
      <w:pPr>
        <w:jc w:val="left"/>
      </w:pPr>
      <w:r w:rsidRPr="00BF0D71">
        <w:t>M.</w:t>
      </w:r>
      <w:r w:rsidR="00F723FD" w:rsidRPr="00BF0D71">
        <w:t xml:space="preserve"> Elsayed Azzouz</w:t>
      </w:r>
      <w:r w:rsidR="00F723FD" w:rsidRPr="00BF0D71">
        <w:br/>
      </w:r>
      <w:r w:rsidR="00A3794C" w:rsidRPr="00BF0D71">
        <w:t>Président du Conseil</w:t>
      </w:r>
    </w:p>
    <w:p w14:paraId="6F86ABF3" w14:textId="0C6EFBD3" w:rsidR="00F723FD" w:rsidRPr="00BF0D71" w:rsidRDefault="00A3794C" w:rsidP="003A4DF2">
      <w:pPr>
        <w:spacing w:before="2880" w:after="120" w:line="240" w:lineRule="auto"/>
        <w:rPr>
          <w:b/>
          <w:bCs/>
        </w:rPr>
      </w:pPr>
      <w:bookmarkStart w:id="6" w:name="Signature"/>
      <w:bookmarkEnd w:id="6"/>
      <w:r w:rsidRPr="00BF0D71">
        <w:rPr>
          <w:b/>
          <w:bCs/>
        </w:rPr>
        <w:t>Annexe</w:t>
      </w:r>
      <w:r w:rsidR="00F723FD" w:rsidRPr="00BF0D71">
        <w:rPr>
          <w:b/>
          <w:bCs/>
        </w:rPr>
        <w:t>s: 5</w:t>
      </w:r>
    </w:p>
    <w:p w14:paraId="1C7F8583" w14:textId="6D053B76" w:rsidR="00F723FD" w:rsidRPr="00BF0D71" w:rsidRDefault="002C6631" w:rsidP="003A4DF2">
      <w:pPr>
        <w:tabs>
          <w:tab w:val="clear" w:pos="794"/>
          <w:tab w:val="clear" w:pos="1191"/>
          <w:tab w:val="clear" w:pos="1588"/>
          <w:tab w:val="clear" w:pos="1985"/>
        </w:tabs>
        <w:spacing w:before="0" w:line="240" w:lineRule="auto"/>
        <w:ind w:left="1276" w:hanging="1276"/>
        <w:jc w:val="left"/>
      </w:pPr>
      <w:hyperlink w:anchor="Annexe1" w:history="1">
        <w:r w:rsidR="00A3794C" w:rsidRPr="00BF0D71">
          <w:rPr>
            <w:rStyle w:val="Hyperlink"/>
          </w:rPr>
          <w:t>Annexe</w:t>
        </w:r>
        <w:r w:rsidR="008A6E3D" w:rsidRPr="00BF0D71">
          <w:rPr>
            <w:rStyle w:val="Hyperlink"/>
          </w:rPr>
          <w:t xml:space="preserve"> </w:t>
        </w:r>
        <w:r w:rsidR="00F723FD" w:rsidRPr="00BF0D71">
          <w:rPr>
            <w:rStyle w:val="Hyperlink"/>
          </w:rPr>
          <w:t>1</w:t>
        </w:r>
      </w:hyperlink>
      <w:r w:rsidR="00D747DB" w:rsidRPr="00BF0D71">
        <w:tab/>
      </w:r>
      <w:r w:rsidR="00A3794C" w:rsidRPr="00BF0D71">
        <w:t xml:space="preserve">Résumé des réponses à la </w:t>
      </w:r>
      <w:r w:rsidR="00A3794C" w:rsidRPr="00BF0D71">
        <w:rPr>
          <w:bCs/>
        </w:rPr>
        <w:t>consultation</w:t>
      </w:r>
      <w:r w:rsidR="008A6E3D" w:rsidRPr="00BF0D71">
        <w:t xml:space="preserve"> </w:t>
      </w:r>
      <w:r w:rsidR="00A3794C" w:rsidRPr="00BF0D71">
        <w:t xml:space="preserve">informelle </w:t>
      </w:r>
      <w:r w:rsidR="001B7139" w:rsidRPr="00BF0D71">
        <w:t>menée par le Secrétaire général</w:t>
      </w:r>
      <w:r w:rsidR="008A6E3D" w:rsidRPr="00BF0D71">
        <w:t xml:space="preserve"> </w:t>
      </w:r>
      <w:r w:rsidR="001B7139" w:rsidRPr="00BF0D71">
        <w:t xml:space="preserve">auprès </w:t>
      </w:r>
      <w:r w:rsidR="00A3794C" w:rsidRPr="00BF0D71">
        <w:t>des</w:t>
      </w:r>
      <w:r w:rsidR="00D747DB" w:rsidRPr="00BF0D71">
        <w:t xml:space="preserve"> </w:t>
      </w:r>
      <w:r w:rsidR="00A3794C" w:rsidRPr="00BF0D71">
        <w:t>États Membres du Conseil au sujet d'une proposition visant à organiser une réunion virtuelle</w:t>
      </w:r>
      <w:r w:rsidR="00D747DB" w:rsidRPr="00BF0D71">
        <w:t xml:space="preserve"> </w:t>
      </w:r>
      <w:r w:rsidR="00A3794C" w:rsidRPr="00BF0D71">
        <w:t>de la session de 2020 du Conseil</w:t>
      </w:r>
    </w:p>
    <w:p w14:paraId="6331AC5C" w14:textId="0AC49F01" w:rsidR="00F723FD" w:rsidRPr="00BF0D71" w:rsidRDefault="002C6631" w:rsidP="003A4DF2">
      <w:pPr>
        <w:tabs>
          <w:tab w:val="clear" w:pos="794"/>
          <w:tab w:val="clear" w:pos="1191"/>
          <w:tab w:val="clear" w:pos="1588"/>
          <w:tab w:val="clear" w:pos="1985"/>
          <w:tab w:val="left" w:pos="1276"/>
        </w:tabs>
        <w:spacing w:before="0" w:line="240" w:lineRule="auto"/>
        <w:jc w:val="left"/>
      </w:pPr>
      <w:hyperlink w:anchor="Annexe2" w:history="1">
        <w:r w:rsidR="00A3794C" w:rsidRPr="00BF0D71">
          <w:rPr>
            <w:rStyle w:val="Hyperlink"/>
          </w:rPr>
          <w:t>Annexe</w:t>
        </w:r>
        <w:r w:rsidR="008A6E3D" w:rsidRPr="00BF0D71">
          <w:rPr>
            <w:rStyle w:val="Hyperlink"/>
          </w:rPr>
          <w:t xml:space="preserve"> </w:t>
        </w:r>
        <w:r w:rsidR="00F723FD" w:rsidRPr="00BF0D71">
          <w:rPr>
            <w:rStyle w:val="Hyperlink"/>
          </w:rPr>
          <w:t>2</w:t>
        </w:r>
      </w:hyperlink>
      <w:r w:rsidR="00D747DB" w:rsidRPr="00BF0D71">
        <w:tab/>
      </w:r>
      <w:r w:rsidR="00A3794C" w:rsidRPr="00BF0D71">
        <w:t>Rapport</w:t>
      </w:r>
      <w:r w:rsidR="008A6E3D" w:rsidRPr="00BF0D71">
        <w:t xml:space="preserve"> </w:t>
      </w:r>
      <w:r w:rsidR="005755B5" w:rsidRPr="00BF0D71">
        <w:t>relatif à</w:t>
      </w:r>
      <w:r w:rsidR="008A6E3D" w:rsidRPr="00BF0D71">
        <w:t xml:space="preserve"> </w:t>
      </w:r>
      <w:r w:rsidR="00510C3D" w:rsidRPr="00BF0D71">
        <w:t>l</w:t>
      </w:r>
      <w:r w:rsidR="00712969" w:rsidRPr="00BF0D71">
        <w:t>'</w:t>
      </w:r>
      <w:r w:rsidR="00510C3D" w:rsidRPr="00BF0D71">
        <w:t>essai</w:t>
      </w:r>
      <w:r w:rsidR="00A3794C" w:rsidRPr="00BF0D71">
        <w:t xml:space="preserve"> technique organisé</w:t>
      </w:r>
      <w:r w:rsidR="008A6E3D" w:rsidRPr="00BF0D71">
        <w:t xml:space="preserve"> </w:t>
      </w:r>
      <w:r w:rsidR="00A3794C" w:rsidRPr="00BF0D71">
        <w:t>le 8 mai 2020</w:t>
      </w:r>
    </w:p>
    <w:p w14:paraId="03AE20FD" w14:textId="62DD4056" w:rsidR="002072AF" w:rsidRPr="00BF0D71" w:rsidRDefault="002C6631" w:rsidP="003A4DF2">
      <w:pPr>
        <w:tabs>
          <w:tab w:val="clear" w:pos="794"/>
          <w:tab w:val="clear" w:pos="1191"/>
          <w:tab w:val="clear" w:pos="1588"/>
          <w:tab w:val="clear" w:pos="1985"/>
          <w:tab w:val="left" w:pos="1276"/>
        </w:tabs>
        <w:spacing w:before="0" w:line="240" w:lineRule="auto"/>
        <w:jc w:val="left"/>
      </w:pPr>
      <w:hyperlink w:anchor="Annexe3" w:history="1">
        <w:r w:rsidR="002072AF" w:rsidRPr="00BF0D71">
          <w:rPr>
            <w:rStyle w:val="Hyperlink"/>
          </w:rPr>
          <w:t>Annexe</w:t>
        </w:r>
        <w:r w:rsidR="008A6E3D" w:rsidRPr="00BF0D71">
          <w:rPr>
            <w:rStyle w:val="Hyperlink"/>
          </w:rPr>
          <w:t xml:space="preserve"> </w:t>
        </w:r>
        <w:r w:rsidR="002072AF" w:rsidRPr="00BF0D71">
          <w:rPr>
            <w:rStyle w:val="Hyperlink"/>
          </w:rPr>
          <w:t>3</w:t>
        </w:r>
      </w:hyperlink>
      <w:r w:rsidR="00D747DB" w:rsidRPr="00BF0D71">
        <w:tab/>
      </w:r>
      <w:r w:rsidR="002072AF" w:rsidRPr="00BF0D71">
        <w:t>Proposition d'organisation de la consultation virtuelle des Conseillers</w:t>
      </w:r>
    </w:p>
    <w:p w14:paraId="4A343C09" w14:textId="2D98CB70" w:rsidR="002072AF" w:rsidRPr="00BF0D71" w:rsidRDefault="002C6631" w:rsidP="003A4DF2">
      <w:pPr>
        <w:tabs>
          <w:tab w:val="clear" w:pos="794"/>
          <w:tab w:val="clear" w:pos="1191"/>
          <w:tab w:val="clear" w:pos="1588"/>
          <w:tab w:val="clear" w:pos="1985"/>
          <w:tab w:val="left" w:pos="1276"/>
        </w:tabs>
        <w:spacing w:before="0" w:line="240" w:lineRule="auto"/>
        <w:jc w:val="left"/>
      </w:pPr>
      <w:hyperlink w:anchor="Annexe4" w:history="1">
        <w:r w:rsidR="002072AF" w:rsidRPr="00BF0D71">
          <w:rPr>
            <w:rStyle w:val="Hyperlink"/>
          </w:rPr>
          <w:t>Annexe</w:t>
        </w:r>
        <w:r w:rsidR="008A6E3D" w:rsidRPr="00BF0D71">
          <w:rPr>
            <w:rStyle w:val="Hyperlink"/>
          </w:rPr>
          <w:t xml:space="preserve"> </w:t>
        </w:r>
        <w:r w:rsidR="002072AF" w:rsidRPr="00BF0D71">
          <w:rPr>
            <w:rStyle w:val="Hyperlink"/>
          </w:rPr>
          <w:t>4</w:t>
        </w:r>
      </w:hyperlink>
      <w:r w:rsidR="00D747DB" w:rsidRPr="00BF0D71">
        <w:tab/>
      </w:r>
      <w:r w:rsidR="00510C3D" w:rsidRPr="00BF0D71">
        <w:t>Liste proposée</w:t>
      </w:r>
      <w:r w:rsidR="008A6E3D" w:rsidRPr="00BF0D71">
        <w:t xml:space="preserve"> </w:t>
      </w:r>
      <w:r w:rsidR="002072AF" w:rsidRPr="00BF0D71">
        <w:t>des points du projet d'ordre du jour de la consultation virtuelle des Conseillers</w:t>
      </w:r>
    </w:p>
    <w:p w14:paraId="1A6322E3" w14:textId="3C4320FA" w:rsidR="00EA15B3" w:rsidRPr="00BF0D71" w:rsidRDefault="002C6631" w:rsidP="003A4DF2">
      <w:pPr>
        <w:tabs>
          <w:tab w:val="clear" w:pos="794"/>
          <w:tab w:val="clear" w:pos="1191"/>
          <w:tab w:val="clear" w:pos="1588"/>
          <w:tab w:val="clear" w:pos="1985"/>
          <w:tab w:val="left" w:pos="1276"/>
        </w:tabs>
        <w:spacing w:before="0" w:line="240" w:lineRule="auto"/>
        <w:jc w:val="left"/>
      </w:pPr>
      <w:hyperlink w:anchor="Annexe5" w:history="1">
        <w:r w:rsidR="002072AF" w:rsidRPr="00BF0D71">
          <w:rPr>
            <w:rStyle w:val="Hyperlink"/>
          </w:rPr>
          <w:t>Annexe</w:t>
        </w:r>
        <w:r w:rsidR="008A6E3D" w:rsidRPr="00BF0D71">
          <w:rPr>
            <w:rStyle w:val="Hyperlink"/>
          </w:rPr>
          <w:t xml:space="preserve"> </w:t>
        </w:r>
        <w:r w:rsidR="002072AF" w:rsidRPr="00BF0D71">
          <w:rPr>
            <w:rStyle w:val="Hyperlink"/>
          </w:rPr>
          <w:t>5</w:t>
        </w:r>
      </w:hyperlink>
      <w:r w:rsidR="00D747DB" w:rsidRPr="00BF0D71">
        <w:tab/>
      </w:r>
      <w:r w:rsidR="002072AF" w:rsidRPr="00BF0D71">
        <w:t xml:space="preserve">Modèle pour les contributions des </w:t>
      </w:r>
      <w:r w:rsidR="00D747DB" w:rsidRPr="00BF0D71">
        <w:t>États</w:t>
      </w:r>
      <w:r w:rsidR="002072AF" w:rsidRPr="00BF0D71">
        <w:t xml:space="preserve"> Membres</w:t>
      </w:r>
    </w:p>
    <w:p w14:paraId="683E1CE1" w14:textId="77777777" w:rsidR="00F723FD" w:rsidRPr="00BF0D71" w:rsidRDefault="00F723FD" w:rsidP="00D82A91">
      <w:pPr>
        <w:spacing w:line="240" w:lineRule="auto"/>
        <w:jc w:val="left"/>
      </w:pPr>
      <w:r w:rsidRPr="00BF0D71">
        <w:br w:type="page"/>
      </w:r>
    </w:p>
    <w:p w14:paraId="31E6C958" w14:textId="77777777" w:rsidR="003B49D6" w:rsidRPr="00BF0D71" w:rsidRDefault="003B49D6" w:rsidP="00D747DB">
      <w:pPr>
        <w:pStyle w:val="AnnexNoTitle"/>
        <w:spacing w:line="240" w:lineRule="auto"/>
      </w:pPr>
      <w:bookmarkStart w:id="7" w:name="Annexe1"/>
      <w:bookmarkEnd w:id="7"/>
      <w:r w:rsidRPr="00BF0D71">
        <w:lastRenderedPageBreak/>
        <w:t>ANNEXE 1</w:t>
      </w:r>
    </w:p>
    <w:p w14:paraId="7DC6F421" w14:textId="4EE36D63" w:rsidR="00F723FD" w:rsidRPr="00BF0D71" w:rsidRDefault="00A3794C" w:rsidP="00D747DB">
      <w:pPr>
        <w:pStyle w:val="AnnexNoTitle"/>
        <w:spacing w:before="360" w:line="240" w:lineRule="auto"/>
      </w:pPr>
      <w:bookmarkStart w:id="8" w:name="_Hlk40202133"/>
      <w:r w:rsidRPr="00BF0D71">
        <w:t xml:space="preserve">Résumé des réponses à la </w:t>
      </w:r>
      <w:r w:rsidRPr="00BF0D71">
        <w:rPr>
          <w:bCs/>
        </w:rPr>
        <w:t>consultation</w:t>
      </w:r>
      <w:r w:rsidR="008A6E3D" w:rsidRPr="00BF0D71">
        <w:t xml:space="preserve"> </w:t>
      </w:r>
      <w:r w:rsidRPr="00BF0D71">
        <w:t xml:space="preserve">informelle </w:t>
      </w:r>
      <w:r w:rsidR="00DA5CA6" w:rsidRPr="00BF0D71">
        <w:t>menée par le Secrétaire général</w:t>
      </w:r>
      <w:r w:rsidR="008A6E3D" w:rsidRPr="00BF0D71">
        <w:t xml:space="preserve"> </w:t>
      </w:r>
      <w:r w:rsidR="00DA5CA6" w:rsidRPr="00BF0D71">
        <w:t>auprès des</w:t>
      </w:r>
      <w:r w:rsidR="008A6E3D" w:rsidRPr="00BF0D71">
        <w:t xml:space="preserve"> </w:t>
      </w:r>
      <w:r w:rsidRPr="00BF0D71">
        <w:t>États Membres du Conseil</w:t>
      </w:r>
      <w:r w:rsidR="008A6E3D" w:rsidRPr="00BF0D71">
        <w:t xml:space="preserve"> </w:t>
      </w:r>
      <w:r w:rsidRPr="00BF0D71">
        <w:t xml:space="preserve">au sujet d'une proposition visant à organiser une </w:t>
      </w:r>
      <w:r w:rsidR="00D82A91" w:rsidRPr="00BF0D71">
        <w:br/>
      </w:r>
      <w:r w:rsidRPr="00BF0D71">
        <w:t>réunion virtuelle de la session de 2020 du Conseil</w:t>
      </w:r>
      <w:bookmarkEnd w:id="8"/>
      <w:r w:rsidR="008A6E3D" w:rsidRPr="00BF0D71">
        <w:t xml:space="preserve"> </w:t>
      </w:r>
      <w:r w:rsidR="003B49D6" w:rsidRPr="00BF0D71">
        <w:t>(DM</w:t>
      </w:r>
      <w:r w:rsidR="003B49D6" w:rsidRPr="00BF0D71">
        <w:noBreakHyphen/>
        <w:t>20/1004)</w:t>
      </w:r>
    </w:p>
    <w:p w14:paraId="54909AE9" w14:textId="1B2F7979" w:rsidR="003B49D6" w:rsidRPr="00BF0D71" w:rsidRDefault="003B49D6" w:rsidP="00D82A91">
      <w:pPr>
        <w:pStyle w:val="enumlev1"/>
        <w:spacing w:before="360" w:line="240" w:lineRule="auto"/>
        <w:jc w:val="left"/>
      </w:pPr>
      <w:r w:rsidRPr="00BF0D71">
        <w:t>•</w:t>
      </w:r>
      <w:r w:rsidRPr="00BF0D71">
        <w:tab/>
        <w:t xml:space="preserve">36 </w:t>
      </w:r>
      <w:r w:rsidR="00D82A91" w:rsidRPr="00BF0D71">
        <w:t>É</w:t>
      </w:r>
      <w:r w:rsidR="00A3794C" w:rsidRPr="00BF0D71">
        <w:t>tats Membres du Conseil ont répondu à la consultatio</w:t>
      </w:r>
      <w:r w:rsidR="00D82A91" w:rsidRPr="00BF0D71">
        <w:t>n.</w:t>
      </w:r>
    </w:p>
    <w:p w14:paraId="4A93BF7A" w14:textId="7C542796" w:rsidR="003B49D6" w:rsidRPr="00BF0D71" w:rsidRDefault="003B49D6" w:rsidP="00D82A91">
      <w:pPr>
        <w:pStyle w:val="enumlev1"/>
        <w:spacing w:line="240" w:lineRule="auto"/>
        <w:jc w:val="left"/>
      </w:pPr>
      <w:r w:rsidRPr="00BF0D71">
        <w:t>•</w:t>
      </w:r>
      <w:r w:rsidRPr="00BF0D71">
        <w:tab/>
      </w:r>
      <w:r w:rsidR="00A3794C" w:rsidRPr="00BF0D71">
        <w:t>Un grand nombre d</w:t>
      </w:r>
      <w:r w:rsidR="00712969" w:rsidRPr="00BF0D71">
        <w:t>'</w:t>
      </w:r>
      <w:r w:rsidR="00D82A91" w:rsidRPr="00BF0D71">
        <w:t>États</w:t>
      </w:r>
      <w:r w:rsidR="00A3794C" w:rsidRPr="00BF0D71">
        <w:t xml:space="preserve"> Membres ont appuyé</w:t>
      </w:r>
      <w:r w:rsidR="008A6E3D" w:rsidRPr="00BF0D71">
        <w:t xml:space="preserve"> </w:t>
      </w:r>
      <w:r w:rsidR="00A3794C" w:rsidRPr="00BF0D71">
        <w:t>l</w:t>
      </w:r>
      <w:r w:rsidR="00712969" w:rsidRPr="00BF0D71">
        <w:t>'</w:t>
      </w:r>
      <w:r w:rsidRPr="00BF0D71">
        <w:t xml:space="preserve">option 1: </w:t>
      </w:r>
      <w:r w:rsidR="005E6F4B" w:rsidRPr="00BF0D71">
        <w:t>o</w:t>
      </w:r>
      <w:r w:rsidR="00B5204C" w:rsidRPr="00BF0D71">
        <w:t>rganisation en juin 2020 d'une réunion virtuelle de la session de 2020 et tenue d'une réunion physique raccourcie de la session de 2020 du Conseil d'ici la fin de l'année, si la situation le permet, étant entendu que pour toute décision urgente qui serait identifiée par la réunion virtuelle et ne peut être retardée pour une période indéterminée, un accord formel par correspondance serait appliqué.</w:t>
      </w:r>
    </w:p>
    <w:p w14:paraId="21257534" w14:textId="44323F9E" w:rsidR="00B5204C" w:rsidRPr="00BF0D71" w:rsidRDefault="00B5204C" w:rsidP="00D82A91">
      <w:pPr>
        <w:pStyle w:val="enumlev1"/>
        <w:spacing w:line="240" w:lineRule="auto"/>
        <w:jc w:val="left"/>
      </w:pPr>
      <w:r w:rsidRPr="00BF0D71">
        <w:t>•</w:t>
      </w:r>
      <w:r w:rsidRPr="00BF0D71">
        <w:tab/>
      </w:r>
      <w:r w:rsidR="00A3794C" w:rsidRPr="00BF0D71">
        <w:t>Un</w:t>
      </w:r>
      <w:r w:rsidRPr="00BF0D71">
        <w:t xml:space="preserve"> </w:t>
      </w:r>
      <w:r w:rsidR="00D82A91" w:rsidRPr="00BF0D71">
        <w:t>État</w:t>
      </w:r>
      <w:r w:rsidR="00A3794C" w:rsidRPr="00BF0D71">
        <w:t xml:space="preserve"> Membre</w:t>
      </w:r>
      <w:r w:rsidR="002072AF" w:rsidRPr="00BF0D71">
        <w:t xml:space="preserve"> préférerait qu</w:t>
      </w:r>
      <w:r w:rsidR="00712969" w:rsidRPr="00BF0D71">
        <w:t>'</w:t>
      </w:r>
      <w:r w:rsidR="002072AF" w:rsidRPr="00BF0D71">
        <w:t xml:space="preserve">aucune </w:t>
      </w:r>
      <w:r w:rsidR="00A3794C" w:rsidRPr="00BF0D71">
        <w:t>réunion virtuelle</w:t>
      </w:r>
      <w:r w:rsidR="008A6E3D" w:rsidRPr="00BF0D71">
        <w:t xml:space="preserve"> </w:t>
      </w:r>
      <w:r w:rsidR="002072AF" w:rsidRPr="00BF0D71">
        <w:t>du Conseil de l</w:t>
      </w:r>
      <w:r w:rsidR="00712969" w:rsidRPr="00BF0D71">
        <w:t>'</w:t>
      </w:r>
      <w:r w:rsidR="002072AF" w:rsidRPr="00BF0D71">
        <w:t>UIT ne soit organisée</w:t>
      </w:r>
      <w:r w:rsidR="00A3794C" w:rsidRPr="00BF0D71">
        <w:t xml:space="preserve"> </w:t>
      </w:r>
      <w:r w:rsidR="002072AF" w:rsidRPr="00BF0D71">
        <w:t xml:space="preserve">en juin 2020 </w:t>
      </w:r>
      <w:r w:rsidR="00CE0CE1" w:rsidRPr="00BF0D71">
        <w:t xml:space="preserve">et suggère </w:t>
      </w:r>
      <w:r w:rsidR="00DA5CA6" w:rsidRPr="00BF0D71">
        <w:t>de convoquer</w:t>
      </w:r>
      <w:r w:rsidR="00CE0CE1" w:rsidRPr="00BF0D71">
        <w:t xml:space="preserve"> la session</w:t>
      </w:r>
      <w:r w:rsidR="008A6E3D" w:rsidRPr="00BF0D71">
        <w:t xml:space="preserve"> </w:t>
      </w:r>
      <w:r w:rsidR="00CE0CE1" w:rsidRPr="00BF0D71">
        <w:t>à une date ultérieure, lorsque la situation épidémiologique permettra de tenir une réunion physique conformément au Règlement intérieur du Conseil.</w:t>
      </w:r>
    </w:p>
    <w:p w14:paraId="350E031D" w14:textId="2C888A48" w:rsidR="00B5204C" w:rsidRPr="00BF0D71" w:rsidRDefault="00B5204C" w:rsidP="00D82A91">
      <w:pPr>
        <w:pStyle w:val="enumlev1"/>
        <w:spacing w:line="240" w:lineRule="auto"/>
        <w:jc w:val="left"/>
      </w:pPr>
      <w:r w:rsidRPr="00BF0D71">
        <w:t>•</w:t>
      </w:r>
      <w:r w:rsidRPr="00BF0D71">
        <w:tab/>
      </w:r>
      <w:r w:rsidR="00954E4E" w:rsidRPr="00BF0D71">
        <w:t>Plusieurs</w:t>
      </w:r>
      <w:r w:rsidRPr="00BF0D71">
        <w:t xml:space="preserve"> </w:t>
      </w:r>
      <w:r w:rsidR="00EA5DAB" w:rsidRPr="00BF0D71">
        <w:t>É</w:t>
      </w:r>
      <w:r w:rsidR="00A3794C" w:rsidRPr="00BF0D71">
        <w:t>tats Membres</w:t>
      </w:r>
      <w:r w:rsidR="00954E4E" w:rsidRPr="00BF0D71">
        <w:t xml:space="preserve"> ont appuyé l</w:t>
      </w:r>
      <w:r w:rsidR="00712969" w:rsidRPr="00BF0D71">
        <w:t>'</w:t>
      </w:r>
      <w:r w:rsidR="00954E4E" w:rsidRPr="00BF0D71">
        <w:t>option</w:t>
      </w:r>
      <w:r w:rsidRPr="00BF0D71">
        <w:t xml:space="preserve"> 1</w:t>
      </w:r>
      <w:r w:rsidR="00954E4E" w:rsidRPr="00BF0D71">
        <w:t>,</w:t>
      </w:r>
      <w:r w:rsidR="008A6E3D" w:rsidRPr="00BF0D71">
        <w:t xml:space="preserve"> </w:t>
      </w:r>
      <w:r w:rsidR="00954E4E" w:rsidRPr="00BF0D71">
        <w:t>sous réserve de certaines conditions.</w:t>
      </w:r>
    </w:p>
    <w:p w14:paraId="759A445A" w14:textId="0D2DA82D" w:rsidR="00B5204C" w:rsidRPr="00BF0D71" w:rsidRDefault="00B5204C" w:rsidP="00D82A91">
      <w:pPr>
        <w:pStyle w:val="enumlev1"/>
        <w:spacing w:line="240" w:lineRule="auto"/>
        <w:jc w:val="left"/>
      </w:pPr>
      <w:r w:rsidRPr="00BF0D71">
        <w:t>•</w:t>
      </w:r>
      <w:r w:rsidRPr="00BF0D71">
        <w:tab/>
      </w:r>
      <w:r w:rsidR="00954E4E" w:rsidRPr="00BF0D71">
        <w:t>Ces conditions ont trait à la forme, à l</w:t>
      </w:r>
      <w:r w:rsidR="00712969" w:rsidRPr="00BF0D71">
        <w:t>'</w:t>
      </w:r>
      <w:r w:rsidR="00954E4E" w:rsidRPr="00BF0D71">
        <w:t>ordre du jour et à la durée de la réunion virtuelle, et sont brièvement présentées ci-dessous.</w:t>
      </w:r>
    </w:p>
    <w:p w14:paraId="3A3D2236" w14:textId="77777777" w:rsidR="00B5204C" w:rsidRPr="00BF0D71" w:rsidRDefault="00C62436" w:rsidP="00D82A91">
      <w:pPr>
        <w:spacing w:line="240" w:lineRule="auto"/>
        <w:jc w:val="left"/>
        <w:rPr>
          <w:u w:val="single"/>
        </w:rPr>
      </w:pPr>
      <w:r w:rsidRPr="00BF0D71">
        <w:rPr>
          <w:u w:val="single"/>
        </w:rPr>
        <w:t>Forme</w:t>
      </w:r>
      <w:r w:rsidR="00B5204C" w:rsidRPr="00BF0D71">
        <w:rPr>
          <w:u w:val="single"/>
        </w:rPr>
        <w:t>:</w:t>
      </w:r>
    </w:p>
    <w:p w14:paraId="565652A6" w14:textId="3CBAA49B" w:rsidR="00B5204C" w:rsidRPr="00BF0D71" w:rsidRDefault="00B5204C" w:rsidP="00D82A91">
      <w:pPr>
        <w:pStyle w:val="enumlev1"/>
        <w:spacing w:line="240" w:lineRule="auto"/>
        <w:jc w:val="left"/>
      </w:pPr>
      <w:r w:rsidRPr="00BF0D71">
        <w:t>•</w:t>
      </w:r>
      <w:r w:rsidRPr="00BF0D71">
        <w:tab/>
      </w:r>
      <w:r w:rsidR="00C62436" w:rsidRPr="00BF0D71">
        <w:t>La réunion virtuelle ne devrait pas être considérée comme une session du Conseil</w:t>
      </w:r>
      <w:r w:rsidR="00EA5DAB" w:rsidRPr="00BF0D71">
        <w:t>.</w:t>
      </w:r>
    </w:p>
    <w:p w14:paraId="48AD8CC3" w14:textId="26ADB806" w:rsidR="00B5204C" w:rsidRPr="00BF0D71" w:rsidRDefault="00B5204C" w:rsidP="00D82A91">
      <w:pPr>
        <w:pStyle w:val="enumlev1"/>
        <w:spacing w:line="240" w:lineRule="auto"/>
        <w:jc w:val="left"/>
      </w:pPr>
      <w:r w:rsidRPr="00BF0D71">
        <w:t>•</w:t>
      </w:r>
      <w:r w:rsidRPr="00BF0D71">
        <w:tab/>
      </w:r>
      <w:r w:rsidR="00C62436" w:rsidRPr="00BF0D71">
        <w:t>Elle devrait être dépourvue de caractère décisionnel</w:t>
      </w:r>
      <w:r w:rsidR="00EA5DAB" w:rsidRPr="00BF0D71">
        <w:t>.</w:t>
      </w:r>
    </w:p>
    <w:p w14:paraId="5ADD3059" w14:textId="5D62D0AC" w:rsidR="00B5204C" w:rsidRPr="00BF0D71" w:rsidRDefault="00B5204C" w:rsidP="00D82A91">
      <w:pPr>
        <w:pStyle w:val="enumlev1"/>
        <w:spacing w:line="240" w:lineRule="auto"/>
        <w:jc w:val="left"/>
      </w:pPr>
      <w:r w:rsidRPr="00BF0D71">
        <w:t>•</w:t>
      </w:r>
      <w:r w:rsidRPr="00BF0D71">
        <w:tab/>
      </w:r>
      <w:r w:rsidR="00C62436" w:rsidRPr="00BF0D71">
        <w:t>La réunion virtuelle devrait être considérée comme une consultation par correspondance, organisée conformément à l</w:t>
      </w:r>
      <w:r w:rsidR="00712969" w:rsidRPr="00BF0D71">
        <w:t>'</w:t>
      </w:r>
      <w:r w:rsidR="00510C3D" w:rsidRPr="00BF0D71">
        <w:t>A</w:t>
      </w:r>
      <w:r w:rsidR="00C62436" w:rsidRPr="00BF0D71">
        <w:t>rticle 3.1 du Règlement intérieur du Conseil</w:t>
      </w:r>
      <w:r w:rsidR="00EA5DAB" w:rsidRPr="00BF0D71">
        <w:t>.</w:t>
      </w:r>
    </w:p>
    <w:p w14:paraId="4F88D357" w14:textId="09483682" w:rsidR="00B5204C" w:rsidRPr="00BF0D71" w:rsidRDefault="004406FA" w:rsidP="00D82A91">
      <w:pPr>
        <w:spacing w:line="240" w:lineRule="auto"/>
        <w:jc w:val="left"/>
        <w:rPr>
          <w:u w:val="single"/>
        </w:rPr>
      </w:pPr>
      <w:r w:rsidRPr="00BF0D71">
        <w:rPr>
          <w:u w:val="single"/>
        </w:rPr>
        <w:t>Durée</w:t>
      </w:r>
      <w:r w:rsidR="00B5204C" w:rsidRPr="00BF0D71">
        <w:rPr>
          <w:u w:val="single"/>
        </w:rPr>
        <w:t>:</w:t>
      </w:r>
    </w:p>
    <w:p w14:paraId="4F2085A6" w14:textId="32EC4501" w:rsidR="00B5204C" w:rsidRPr="00BF0D71" w:rsidRDefault="00D747DB" w:rsidP="00D82A91">
      <w:pPr>
        <w:pStyle w:val="enumlev1"/>
        <w:spacing w:line="240" w:lineRule="auto"/>
        <w:jc w:val="left"/>
      </w:pPr>
      <w:r w:rsidRPr="00BF0D71">
        <w:t>•</w:t>
      </w:r>
      <w:r w:rsidRPr="00BF0D71">
        <w:tab/>
      </w:r>
      <w:r w:rsidR="004406FA" w:rsidRPr="00BF0D71">
        <w:t>La réunion devrait être raccourcie</w:t>
      </w:r>
      <w:r w:rsidR="00EA5DAB" w:rsidRPr="00BF0D71">
        <w:t>.</w:t>
      </w:r>
    </w:p>
    <w:p w14:paraId="2DB4115D" w14:textId="2D200E22" w:rsidR="00B5204C" w:rsidRPr="00BF0D71" w:rsidRDefault="00D747DB" w:rsidP="00D82A91">
      <w:pPr>
        <w:pStyle w:val="enumlev1"/>
        <w:spacing w:line="240" w:lineRule="auto"/>
        <w:jc w:val="left"/>
      </w:pPr>
      <w:r w:rsidRPr="00BF0D71">
        <w:t>•</w:t>
      </w:r>
      <w:r w:rsidRPr="00BF0D71">
        <w:tab/>
      </w:r>
      <w:r w:rsidR="004406FA" w:rsidRPr="00BF0D71">
        <w:t xml:space="preserve">Sa durée </w:t>
      </w:r>
      <w:r w:rsidR="00510C3D" w:rsidRPr="00BF0D71">
        <w:t>n</w:t>
      </w:r>
      <w:r w:rsidR="004406FA" w:rsidRPr="00BF0D71">
        <w:t>e devrait pas dépasser 5 jours</w:t>
      </w:r>
      <w:r w:rsidR="00EA5DAB" w:rsidRPr="00BF0D71">
        <w:t>.</w:t>
      </w:r>
    </w:p>
    <w:p w14:paraId="700AF160" w14:textId="41CAEEDD" w:rsidR="00B5204C" w:rsidRPr="00BF0D71" w:rsidRDefault="00D747DB" w:rsidP="00D82A91">
      <w:pPr>
        <w:pStyle w:val="enumlev1"/>
        <w:spacing w:line="240" w:lineRule="auto"/>
        <w:jc w:val="left"/>
      </w:pPr>
      <w:r w:rsidRPr="00BF0D71">
        <w:t>•</w:t>
      </w:r>
      <w:r w:rsidRPr="00BF0D71">
        <w:tab/>
        <w:t>L</w:t>
      </w:r>
      <w:r w:rsidR="009140CA" w:rsidRPr="00BF0D71">
        <w:t xml:space="preserve">e calendrier de la réunion devrait être </w:t>
      </w:r>
      <w:r w:rsidRPr="00BF0D71">
        <w:t>resserré</w:t>
      </w:r>
      <w:r w:rsidR="00EA5DAB" w:rsidRPr="00BF0D71">
        <w:t>.</w:t>
      </w:r>
    </w:p>
    <w:p w14:paraId="6EDAF2D9" w14:textId="1BBDC444" w:rsidR="00B5204C" w:rsidRPr="00BF0D71" w:rsidRDefault="00D747DB" w:rsidP="00D82A91">
      <w:pPr>
        <w:pStyle w:val="enumlev1"/>
        <w:spacing w:line="240" w:lineRule="auto"/>
        <w:jc w:val="left"/>
      </w:pPr>
      <w:r w:rsidRPr="00BF0D71">
        <w:t>•</w:t>
      </w:r>
      <w:r w:rsidRPr="00BF0D71">
        <w:tab/>
      </w:r>
      <w:r w:rsidR="00E90908" w:rsidRPr="00BF0D71">
        <w:t xml:space="preserve">La réunion </w:t>
      </w:r>
      <w:r w:rsidR="00510C3D" w:rsidRPr="00BF0D71">
        <w:t>devra se tenir</w:t>
      </w:r>
      <w:r w:rsidR="00E90908" w:rsidRPr="00BF0D71">
        <w:t xml:space="preserve"> chaque jour selon l'horaire strict suivant: 12 heures-15 heures (heure de Genève) et ne pourra être prolongée</w:t>
      </w:r>
      <w:r w:rsidR="008A6E3D" w:rsidRPr="00BF0D71">
        <w:t>.</w:t>
      </w:r>
    </w:p>
    <w:p w14:paraId="60A35C27" w14:textId="6B9B2A3C" w:rsidR="00B5204C" w:rsidRPr="00BF0D71" w:rsidRDefault="00E90908" w:rsidP="00D82A91">
      <w:pPr>
        <w:spacing w:line="240" w:lineRule="auto"/>
        <w:jc w:val="left"/>
        <w:rPr>
          <w:u w:val="single"/>
        </w:rPr>
      </w:pPr>
      <w:r w:rsidRPr="00BF0D71">
        <w:rPr>
          <w:u w:val="single"/>
        </w:rPr>
        <w:t>Projet d</w:t>
      </w:r>
      <w:r w:rsidR="00712969" w:rsidRPr="00BF0D71">
        <w:rPr>
          <w:u w:val="single"/>
        </w:rPr>
        <w:t>'</w:t>
      </w:r>
      <w:r w:rsidRPr="00BF0D71">
        <w:rPr>
          <w:u w:val="single"/>
        </w:rPr>
        <w:t>ordre du jour</w:t>
      </w:r>
      <w:r w:rsidR="008A6E3D" w:rsidRPr="00BF0D71">
        <w:rPr>
          <w:u w:val="single"/>
        </w:rPr>
        <w:t>:</w:t>
      </w:r>
    </w:p>
    <w:p w14:paraId="76131E9A" w14:textId="3AB02194" w:rsidR="00B5204C" w:rsidRPr="00BF0D71" w:rsidRDefault="00174BD1" w:rsidP="00D82A91">
      <w:pPr>
        <w:spacing w:line="240" w:lineRule="auto"/>
        <w:jc w:val="left"/>
      </w:pPr>
      <w:r w:rsidRPr="00BF0D71">
        <w:t>Il conviendrait que l</w:t>
      </w:r>
      <w:r w:rsidR="00712969" w:rsidRPr="00BF0D71">
        <w:t>'</w:t>
      </w:r>
      <w:r w:rsidRPr="00BF0D71">
        <w:t>ordre du jour</w:t>
      </w:r>
      <w:r w:rsidR="008A6E3D" w:rsidRPr="00BF0D71">
        <w:t>:</w:t>
      </w:r>
    </w:p>
    <w:p w14:paraId="568A035D" w14:textId="6008C04E" w:rsidR="00B5204C" w:rsidRPr="00BF0D71" w:rsidRDefault="00B5204C" w:rsidP="00D82A91">
      <w:pPr>
        <w:pStyle w:val="enumlev1"/>
        <w:spacing w:line="240" w:lineRule="auto"/>
        <w:jc w:val="left"/>
      </w:pPr>
      <w:r w:rsidRPr="00BF0D71">
        <w:t>•</w:t>
      </w:r>
      <w:r w:rsidRPr="00BF0D71">
        <w:tab/>
      </w:r>
      <w:r w:rsidR="00174BD1" w:rsidRPr="00BF0D71">
        <w:t>soit limité et réduit</w:t>
      </w:r>
      <w:r w:rsidR="00EA5DAB" w:rsidRPr="00BF0D71">
        <w:t>;</w:t>
      </w:r>
    </w:p>
    <w:p w14:paraId="07AFE5B9" w14:textId="357CE1FC" w:rsidR="00B5204C" w:rsidRPr="00BF0D71" w:rsidRDefault="00B5204C" w:rsidP="00D82A91">
      <w:pPr>
        <w:pStyle w:val="enumlev1"/>
        <w:spacing w:line="240" w:lineRule="auto"/>
        <w:jc w:val="left"/>
      </w:pPr>
      <w:r w:rsidRPr="00BF0D71">
        <w:t>•</w:t>
      </w:r>
      <w:r w:rsidRPr="00BF0D71">
        <w:tab/>
      </w:r>
      <w:r w:rsidR="00174BD1" w:rsidRPr="00BF0D71">
        <w:t>ne porte que sur les questions urgentes concernant le fonctionnement de l</w:t>
      </w:r>
      <w:r w:rsidR="00712969" w:rsidRPr="00BF0D71">
        <w:t>'</w:t>
      </w:r>
      <w:r w:rsidR="00174BD1" w:rsidRPr="00BF0D71">
        <w:t>organisation</w:t>
      </w:r>
      <w:r w:rsidR="008A6E3D" w:rsidRPr="00BF0D71">
        <w:t xml:space="preserve"> </w:t>
      </w:r>
      <w:r w:rsidR="00174BD1" w:rsidRPr="00BF0D71">
        <w:t>pour lesquelles il n'est pas possible d'attendre une prochaine réunion physique du Conseil</w:t>
      </w:r>
      <w:r w:rsidR="00EA5DAB" w:rsidRPr="00BF0D71">
        <w:t>;</w:t>
      </w:r>
    </w:p>
    <w:p w14:paraId="020CA302" w14:textId="2ECDD9BD" w:rsidR="00B5204C" w:rsidRPr="00BF0D71" w:rsidRDefault="00B5204C" w:rsidP="00D82A91">
      <w:pPr>
        <w:pStyle w:val="enumlev1"/>
        <w:spacing w:line="240" w:lineRule="auto"/>
        <w:jc w:val="left"/>
      </w:pPr>
      <w:r w:rsidRPr="00BF0D71">
        <w:t>•</w:t>
      </w:r>
      <w:r w:rsidRPr="00BF0D71">
        <w:tab/>
      </w:r>
      <w:r w:rsidR="00174BD1" w:rsidRPr="00BF0D71">
        <w:t>ne porte que sur les points ne prêt</w:t>
      </w:r>
      <w:r w:rsidR="00FB6F0B" w:rsidRPr="00BF0D71">
        <w:t>a</w:t>
      </w:r>
      <w:r w:rsidR="00174BD1" w:rsidRPr="00BF0D71">
        <w:t>nt pas à controverse et non litigieux</w:t>
      </w:r>
      <w:r w:rsidR="00EA5DAB" w:rsidRPr="00BF0D71">
        <w:t>.</w:t>
      </w:r>
    </w:p>
    <w:p w14:paraId="39D62B11" w14:textId="77777777" w:rsidR="00B5204C" w:rsidRPr="00BF0D71" w:rsidRDefault="00B5204C" w:rsidP="00D747DB">
      <w:pPr>
        <w:pStyle w:val="enumlev1"/>
        <w:spacing w:line="240" w:lineRule="auto"/>
      </w:pPr>
      <w:r w:rsidRPr="00BF0D71">
        <w:br w:type="page"/>
      </w:r>
    </w:p>
    <w:p w14:paraId="683EEC83" w14:textId="77777777" w:rsidR="00B5204C" w:rsidRPr="00BF0D71" w:rsidRDefault="00B5204C" w:rsidP="00D747DB">
      <w:pPr>
        <w:pStyle w:val="AnnexNoTitle"/>
        <w:spacing w:before="0" w:line="240" w:lineRule="auto"/>
      </w:pPr>
      <w:bookmarkStart w:id="9" w:name="Annexe2"/>
      <w:bookmarkEnd w:id="9"/>
      <w:r w:rsidRPr="00BF0D71">
        <w:lastRenderedPageBreak/>
        <w:t>ANNEX</w:t>
      </w:r>
      <w:r w:rsidR="00174BD1" w:rsidRPr="00BF0D71">
        <w:t>E</w:t>
      </w:r>
      <w:r w:rsidRPr="00BF0D71">
        <w:t xml:space="preserve"> 2</w:t>
      </w:r>
    </w:p>
    <w:p w14:paraId="51045D6B" w14:textId="78AEBEF5" w:rsidR="00B5204C" w:rsidRPr="00BF0D71" w:rsidRDefault="00174BD1" w:rsidP="00D82A91">
      <w:pPr>
        <w:pStyle w:val="AnnexNoTitle"/>
        <w:spacing w:before="360" w:after="360" w:line="240" w:lineRule="auto"/>
      </w:pPr>
      <w:r w:rsidRPr="00BF0D71">
        <w:t xml:space="preserve">Rapport </w:t>
      </w:r>
      <w:r w:rsidR="005755B5" w:rsidRPr="00BF0D71">
        <w:t>relatif à</w:t>
      </w:r>
      <w:r w:rsidRPr="00BF0D71">
        <w:t xml:space="preserve"> l</w:t>
      </w:r>
      <w:r w:rsidR="00712969" w:rsidRPr="00BF0D71">
        <w:t>'</w:t>
      </w:r>
      <w:r w:rsidRPr="00BF0D71">
        <w:t>essai technique organisé le 8 mai 2020</w:t>
      </w:r>
    </w:p>
    <w:p w14:paraId="2F80A711" w14:textId="62E0AD2B" w:rsidR="00B5204C" w:rsidRPr="00BF0D71" w:rsidRDefault="00174BD1" w:rsidP="00D82A91">
      <w:pPr>
        <w:pStyle w:val="Normalaftertitle"/>
        <w:jc w:val="left"/>
      </w:pPr>
      <w:r w:rsidRPr="00BF0D71">
        <w:t>Pour préparer l</w:t>
      </w:r>
      <w:r w:rsidR="00712969" w:rsidRPr="00BF0D71">
        <w:t>'</w:t>
      </w:r>
      <w:r w:rsidRPr="00BF0D71">
        <w:t>essai, des séances</w:t>
      </w:r>
      <w:r w:rsidR="002F257F" w:rsidRPr="00BF0D71">
        <w:t xml:space="preserve"> test</w:t>
      </w:r>
      <w:r w:rsidRPr="00BF0D71">
        <w:t xml:space="preserve"> </w:t>
      </w:r>
      <w:r w:rsidR="008D02E8" w:rsidRPr="00BF0D71">
        <w:t>auxquelles ont participé</w:t>
      </w:r>
      <w:r w:rsidR="008A6E3D" w:rsidRPr="00BF0D71">
        <w:t xml:space="preserve"> </w:t>
      </w:r>
      <w:r w:rsidRPr="00BF0D71">
        <w:t>plus de 100 délégués</w:t>
      </w:r>
      <w:r w:rsidR="008D02E8" w:rsidRPr="00BF0D71">
        <w:t xml:space="preserve"> ont été organisées</w:t>
      </w:r>
      <w:r w:rsidR="008A6E3D" w:rsidRPr="00BF0D71">
        <w:t xml:space="preserve"> </w:t>
      </w:r>
      <w:r w:rsidR="008D02E8" w:rsidRPr="00BF0D71">
        <w:t>pendant cinq jours</w:t>
      </w:r>
      <w:r w:rsidR="008A6E3D" w:rsidRPr="00BF0D71">
        <w:t>.</w:t>
      </w:r>
      <w:r w:rsidRPr="00BF0D71">
        <w:t xml:space="preserve"> L</w:t>
      </w:r>
      <w:r w:rsidR="00712969" w:rsidRPr="00BF0D71">
        <w:t>'</w:t>
      </w:r>
      <w:r w:rsidR="002F257F" w:rsidRPr="00BF0D71">
        <w:t>objectif des test</w:t>
      </w:r>
      <w:r w:rsidRPr="00BF0D71">
        <w:t xml:space="preserve">s était </w:t>
      </w:r>
      <w:r w:rsidR="00691768" w:rsidRPr="00BF0D71">
        <w:t>de s</w:t>
      </w:r>
      <w:r w:rsidR="00712969" w:rsidRPr="00BF0D71">
        <w:t>'</w:t>
      </w:r>
      <w:r w:rsidR="00691768" w:rsidRPr="00BF0D71">
        <w:t xml:space="preserve">assurer </w:t>
      </w:r>
      <w:r w:rsidR="003E49B1" w:rsidRPr="00BF0D71">
        <w:t xml:space="preserve">que les délégués </w:t>
      </w:r>
      <w:r w:rsidR="002F257F" w:rsidRPr="00BF0D71">
        <w:t>pouvaient se connecter</w:t>
      </w:r>
      <w:r w:rsidR="003E49B1" w:rsidRPr="00BF0D71">
        <w:t xml:space="preserve"> à l</w:t>
      </w:r>
      <w:r w:rsidR="00712969" w:rsidRPr="00BF0D71">
        <w:t>'</w:t>
      </w:r>
      <w:r w:rsidR="003E49B1" w:rsidRPr="00BF0D71">
        <w:t>outil Interprefy</w:t>
      </w:r>
      <w:r w:rsidR="003E49B1" w:rsidRPr="00BF0D71">
        <w:rPr>
          <w:rStyle w:val="FootnoteReference"/>
        </w:rPr>
        <w:footnoteReference w:id="1"/>
      </w:r>
      <w:r w:rsidR="003E49B1" w:rsidRPr="00BF0D71">
        <w:t xml:space="preserve"> utilisé pour les réunions virtuelles multilingues</w:t>
      </w:r>
      <w:r w:rsidR="008A6E3D" w:rsidRPr="00BF0D71">
        <w:t>,</w:t>
      </w:r>
      <w:r w:rsidR="00D82A91" w:rsidRPr="00BF0D71">
        <w:t xml:space="preserve"> </w:t>
      </w:r>
      <w:r w:rsidR="00691768" w:rsidRPr="00BF0D71">
        <w:t xml:space="preserve">de vérifier </w:t>
      </w:r>
      <w:r w:rsidRPr="00BF0D71">
        <w:t xml:space="preserve">la qualité </w:t>
      </w:r>
      <w:r w:rsidR="003E49B1" w:rsidRPr="00BF0D71">
        <w:t>audio et vidéo de cet outil</w:t>
      </w:r>
      <w:r w:rsidR="008A6E3D" w:rsidRPr="00BF0D71">
        <w:t xml:space="preserve"> </w:t>
      </w:r>
      <w:r w:rsidR="002F257F" w:rsidRPr="00BF0D71">
        <w:t>et de résoudre les problèmes éventuels.</w:t>
      </w:r>
    </w:p>
    <w:p w14:paraId="7595FECE" w14:textId="6FAEAA8C" w:rsidR="00B5204C" w:rsidRPr="00BF0D71" w:rsidRDefault="002F257F" w:rsidP="00D747DB">
      <w:pPr>
        <w:spacing w:line="240" w:lineRule="auto"/>
        <w:jc w:val="left"/>
      </w:pPr>
      <w:r w:rsidRPr="00BF0D71">
        <w:t>L</w:t>
      </w:r>
      <w:r w:rsidR="00712969" w:rsidRPr="00BF0D71">
        <w:t>'</w:t>
      </w:r>
      <w:r w:rsidRPr="00BF0D71">
        <w:t>essai</w:t>
      </w:r>
      <w:r w:rsidR="00691768" w:rsidRPr="00BF0D71">
        <w:t xml:space="preserve"> a eu lieu le 8 mai 2020 </w:t>
      </w:r>
      <w:r w:rsidRPr="00BF0D71">
        <w:t>avec interprétation dans les six langues</w:t>
      </w:r>
      <w:r w:rsidR="00691768" w:rsidRPr="00BF0D71">
        <w:t xml:space="preserve">. </w:t>
      </w:r>
      <w:r w:rsidRPr="00BF0D71">
        <w:t>Les résultats obtenus sont encourageants. Plus de</w:t>
      </w:r>
      <w:r w:rsidR="008A6E3D" w:rsidRPr="00BF0D71">
        <w:t xml:space="preserve"> </w:t>
      </w:r>
      <w:r w:rsidR="00B5204C" w:rsidRPr="00BF0D71">
        <w:t>120 participants</w:t>
      </w:r>
      <w:r w:rsidRPr="00BF0D71">
        <w:t xml:space="preserve"> représentant</w:t>
      </w:r>
      <w:r w:rsidR="008A6E3D" w:rsidRPr="00BF0D71">
        <w:t xml:space="preserve"> </w:t>
      </w:r>
      <w:r w:rsidR="00B5204C" w:rsidRPr="00BF0D71">
        <w:t xml:space="preserve">42 </w:t>
      </w:r>
      <w:r w:rsidR="00EA5DAB" w:rsidRPr="00BF0D71">
        <w:t>É</w:t>
      </w:r>
      <w:r w:rsidR="00A3794C" w:rsidRPr="00BF0D71">
        <w:t>tats Membres</w:t>
      </w:r>
      <w:r w:rsidRPr="00BF0D71">
        <w:t xml:space="preserve"> issus de toutes les </w:t>
      </w:r>
      <w:r w:rsidR="00D82A91" w:rsidRPr="00BF0D71">
        <w:t>régions</w:t>
      </w:r>
      <w:r w:rsidRPr="00BF0D71">
        <w:t xml:space="preserve"> ont participé aux séances test, et des participants de 23 pays ont pris la parole.</w:t>
      </w:r>
      <w:r w:rsidR="008A6E3D" w:rsidRPr="00BF0D71">
        <w:t xml:space="preserve"> </w:t>
      </w:r>
      <w:r w:rsidRPr="00BF0D71">
        <w:t>D</w:t>
      </w:r>
      <w:r w:rsidR="00712969" w:rsidRPr="00BF0D71">
        <w:t>'</w:t>
      </w:r>
      <w:r w:rsidRPr="00BF0D71">
        <w:t>une manière générale, la qualité audio et vidéo était satisfaisante et le niveau de qualité du son était la plupart du temps suffisant pour permettre aux interprètes de fournir un service d</w:t>
      </w:r>
      <w:r w:rsidR="00712969" w:rsidRPr="00BF0D71">
        <w:t>'</w:t>
      </w:r>
      <w:r w:rsidRPr="00BF0D71">
        <w:t>interprétation à tous les participants à distance</w:t>
      </w:r>
      <w:r w:rsidR="008A6E3D" w:rsidRPr="00BF0D71">
        <w:t>.</w:t>
      </w:r>
    </w:p>
    <w:p w14:paraId="0C5D59A9" w14:textId="108D8690" w:rsidR="00B5204C" w:rsidRPr="00BF0D71" w:rsidRDefault="002F257F" w:rsidP="00EA5DAB">
      <w:pPr>
        <w:jc w:val="left"/>
      </w:pPr>
      <w:r w:rsidRPr="00BF0D71">
        <w:t>Pendant l</w:t>
      </w:r>
      <w:r w:rsidR="00712969" w:rsidRPr="00BF0D71">
        <w:t>'</w:t>
      </w:r>
      <w:r w:rsidRPr="00BF0D71">
        <w:t>essai, un participant n</w:t>
      </w:r>
      <w:r w:rsidR="00712969" w:rsidRPr="00BF0D71">
        <w:t>'</w:t>
      </w:r>
      <w:r w:rsidRPr="00BF0D71">
        <w:t>a pas pu prendre la parole</w:t>
      </w:r>
      <w:r w:rsidR="008A6E3D" w:rsidRPr="00BF0D71">
        <w:t xml:space="preserve">; </w:t>
      </w:r>
      <w:r w:rsidR="001E04A3" w:rsidRPr="00BF0D71">
        <w:t xml:space="preserve">un autre participant a dû faire plusieurs tentatives avant de </w:t>
      </w:r>
      <w:r w:rsidR="00691768" w:rsidRPr="00BF0D71">
        <w:t>pouvoir</w:t>
      </w:r>
      <w:r w:rsidR="001E04A3" w:rsidRPr="00BF0D71">
        <w:t xml:space="preserve"> intervenir </w:t>
      </w:r>
      <w:r w:rsidR="00B5204C" w:rsidRPr="00BF0D71">
        <w:t>(</w:t>
      </w:r>
      <w:r w:rsidR="001E04A3" w:rsidRPr="00BF0D71">
        <w:t>ce problème était dû à des mesures de cybersécurité au niveau local)</w:t>
      </w:r>
      <w:r w:rsidR="008A6E3D" w:rsidRPr="00BF0D71">
        <w:t>;</w:t>
      </w:r>
      <w:r w:rsidR="001E04A3" w:rsidRPr="00BF0D71">
        <w:t xml:space="preserve"> de nombreux participants ont dû attendre </w:t>
      </w:r>
      <w:r w:rsidR="00691768" w:rsidRPr="00BF0D71">
        <w:t xml:space="preserve">plus de </w:t>
      </w:r>
      <w:r w:rsidR="001E04A3" w:rsidRPr="00BF0D71">
        <w:t>20 secondes avant de pouvoir prendre la parole, mais certains ont réussi à intervenir en trois secondes</w:t>
      </w:r>
      <w:r w:rsidR="00B5204C" w:rsidRPr="00BF0D71">
        <w:t xml:space="preserve">. </w:t>
      </w:r>
      <w:r w:rsidR="001E04A3" w:rsidRPr="00BF0D71">
        <w:t>L</w:t>
      </w:r>
      <w:r w:rsidR="00712969" w:rsidRPr="00BF0D71">
        <w:t>'</w:t>
      </w:r>
      <w:r w:rsidR="001E04A3" w:rsidRPr="00BF0D71">
        <w:t>équipe de techniciens de l</w:t>
      </w:r>
      <w:r w:rsidR="00712969" w:rsidRPr="00BF0D71">
        <w:t>'</w:t>
      </w:r>
      <w:r w:rsidR="001E04A3" w:rsidRPr="00BF0D71">
        <w:t>UIT était en contact avec les participants pour</w:t>
      </w:r>
      <w:r w:rsidR="008A6E3D" w:rsidRPr="00BF0D71">
        <w:t xml:space="preserve"> </w:t>
      </w:r>
      <w:r w:rsidR="001E04A3" w:rsidRPr="00BF0D71">
        <w:t>résoudre tous les problèmes techniques. Si certains délégués ont dû attendre longtemps avant de pouvoir prendre la parole, c</w:t>
      </w:r>
      <w:r w:rsidR="00712969" w:rsidRPr="00BF0D71">
        <w:t>'</w:t>
      </w:r>
      <w:r w:rsidR="001E04A3" w:rsidRPr="00BF0D71">
        <w:t>est essentiellement parce qu</w:t>
      </w:r>
      <w:r w:rsidR="00712969" w:rsidRPr="00BF0D71">
        <w:t>'</w:t>
      </w:r>
      <w:r w:rsidR="001E04A3" w:rsidRPr="00BF0D71">
        <w:t>ils n</w:t>
      </w:r>
      <w:r w:rsidR="00712969" w:rsidRPr="00BF0D71">
        <w:t>'</w:t>
      </w:r>
      <w:r w:rsidR="001E04A3" w:rsidRPr="00BF0D71">
        <w:t>étaient pas</w:t>
      </w:r>
      <w:r w:rsidR="008A6E3D" w:rsidRPr="00BF0D71">
        <w:t xml:space="preserve"> </w:t>
      </w:r>
      <w:r w:rsidR="001E04A3" w:rsidRPr="00BF0D71">
        <w:t>familiarisés avec l</w:t>
      </w:r>
      <w:r w:rsidR="00712969" w:rsidRPr="00BF0D71">
        <w:t>'</w:t>
      </w:r>
      <w:r w:rsidR="001E04A3" w:rsidRPr="00BF0D71">
        <w:t xml:space="preserve">outil </w:t>
      </w:r>
      <w:r w:rsidR="00691768" w:rsidRPr="00BF0D71">
        <w:t xml:space="preserve">et </w:t>
      </w:r>
      <w:r w:rsidR="00602CF9" w:rsidRPr="00BF0D71">
        <w:t>les procédures</w:t>
      </w:r>
      <w:r w:rsidR="008A6E3D" w:rsidRPr="00BF0D71">
        <w:t xml:space="preserve"> </w:t>
      </w:r>
      <w:r w:rsidR="00602CF9" w:rsidRPr="00BF0D71">
        <w:t>électroniques à suivre. Il a été noté que</w:t>
      </w:r>
      <w:r w:rsidR="008A6E3D" w:rsidRPr="00BF0D71">
        <w:t xml:space="preserve"> </w:t>
      </w:r>
      <w:r w:rsidR="00602CF9" w:rsidRPr="00BF0D71">
        <w:t xml:space="preserve">le début de certaines interventions était </w:t>
      </w:r>
      <w:r w:rsidR="0048049C" w:rsidRPr="00BF0D71">
        <w:t xml:space="preserve">parfois </w:t>
      </w:r>
      <w:r w:rsidR="00602CF9" w:rsidRPr="00BF0D71">
        <w:t>interrompu</w:t>
      </w:r>
      <w:r w:rsidR="0048049C" w:rsidRPr="00BF0D71">
        <w:t xml:space="preserve"> en raison du fait que</w:t>
      </w:r>
      <w:r w:rsidR="008A6E3D" w:rsidRPr="00BF0D71">
        <w:t xml:space="preserve"> </w:t>
      </w:r>
      <w:r w:rsidR="00602CF9" w:rsidRPr="00BF0D71">
        <w:t>l</w:t>
      </w:r>
      <w:r w:rsidR="00712969" w:rsidRPr="00BF0D71">
        <w:t>'</w:t>
      </w:r>
      <w:r w:rsidR="00602CF9" w:rsidRPr="00BF0D71">
        <w:t>interprétation de l</w:t>
      </w:r>
      <w:r w:rsidR="00712969" w:rsidRPr="00BF0D71">
        <w:t>'</w:t>
      </w:r>
      <w:r w:rsidR="00602CF9" w:rsidRPr="00BF0D71">
        <w:t>intervention de l</w:t>
      </w:r>
      <w:r w:rsidR="00712969" w:rsidRPr="00BF0D71">
        <w:t>'</w:t>
      </w:r>
      <w:r w:rsidR="00602CF9" w:rsidRPr="00BF0D71">
        <w:t>orateur précédent se poursuivait</w:t>
      </w:r>
      <w:r w:rsidR="008A6E3D" w:rsidRPr="00BF0D71">
        <w:t>.</w:t>
      </w:r>
      <w:r w:rsidR="00B5204C" w:rsidRPr="00BF0D71">
        <w:t xml:space="preserve"> </w:t>
      </w:r>
      <w:r w:rsidR="00602CF9" w:rsidRPr="00BF0D71">
        <w:t>Les observations et</w:t>
      </w:r>
      <w:r w:rsidR="008A6E3D" w:rsidRPr="00BF0D71">
        <w:t xml:space="preserve"> </w:t>
      </w:r>
      <w:r w:rsidR="00602CF9" w:rsidRPr="00BF0D71">
        <w:t xml:space="preserve">suggestions formulées par </w:t>
      </w:r>
      <w:r w:rsidR="0048049C" w:rsidRPr="00BF0D71">
        <w:t>l</w:t>
      </w:r>
      <w:r w:rsidR="003C5B12" w:rsidRPr="00BF0D71">
        <w:t xml:space="preserve">es </w:t>
      </w:r>
      <w:r w:rsidR="00602CF9" w:rsidRPr="00BF0D71">
        <w:t xml:space="preserve">délégués </w:t>
      </w:r>
      <w:r w:rsidR="003C5B12" w:rsidRPr="00BF0D71">
        <w:t>afin</w:t>
      </w:r>
      <w:r w:rsidR="00602CF9" w:rsidRPr="00BF0D71">
        <w:t xml:space="preserve"> </w:t>
      </w:r>
      <w:r w:rsidR="003C5B12" w:rsidRPr="00BF0D71">
        <w:t>d</w:t>
      </w:r>
      <w:r w:rsidR="00712969" w:rsidRPr="00BF0D71">
        <w:t>'</w:t>
      </w:r>
      <w:r w:rsidR="00602CF9" w:rsidRPr="00BF0D71">
        <w:t>amélior</w:t>
      </w:r>
      <w:r w:rsidR="003C5B12" w:rsidRPr="00BF0D71">
        <w:t>er</w:t>
      </w:r>
      <w:r w:rsidR="008A6E3D" w:rsidRPr="00BF0D71">
        <w:t xml:space="preserve"> </w:t>
      </w:r>
      <w:r w:rsidR="00602CF9" w:rsidRPr="00BF0D71">
        <w:t>et</w:t>
      </w:r>
      <w:r w:rsidR="008A6E3D" w:rsidRPr="00BF0D71">
        <w:t xml:space="preserve"> </w:t>
      </w:r>
      <w:r w:rsidR="003C5B12" w:rsidRPr="00BF0D71">
        <w:t xml:space="preserve">de </w:t>
      </w:r>
      <w:r w:rsidR="00602CF9" w:rsidRPr="00BF0D71">
        <w:t>perfectionne</w:t>
      </w:r>
      <w:r w:rsidR="003C5B12" w:rsidRPr="00BF0D71">
        <w:t>r</w:t>
      </w:r>
      <w:r w:rsidR="008A6E3D" w:rsidRPr="00BF0D71">
        <w:t xml:space="preserve"> </w:t>
      </w:r>
      <w:r w:rsidR="00602CF9" w:rsidRPr="00BF0D71">
        <w:t>la plate-forme sont en cours de mise en œuvre</w:t>
      </w:r>
      <w:r w:rsidR="008A6E3D" w:rsidRPr="00BF0D71">
        <w:t>.</w:t>
      </w:r>
      <w:r w:rsidR="00602CF9" w:rsidRPr="00BF0D71">
        <w:t xml:space="preserve"> Ces observations et suggestions sont</w:t>
      </w:r>
      <w:r w:rsidR="00EA5DAB" w:rsidRPr="00BF0D71">
        <w:t xml:space="preserve"> </w:t>
      </w:r>
      <w:r w:rsidR="00602CF9" w:rsidRPr="00BF0D71">
        <w:t>notamment, mais pas exclusivement, les suivantes</w:t>
      </w:r>
      <w:r w:rsidR="008A6E3D" w:rsidRPr="00BF0D71">
        <w:t>:</w:t>
      </w:r>
    </w:p>
    <w:p w14:paraId="74456F46" w14:textId="7960CFC6" w:rsidR="00B5204C" w:rsidRPr="00BF0D71" w:rsidRDefault="00B5204C" w:rsidP="00D82A91">
      <w:pPr>
        <w:pStyle w:val="enumlev1"/>
        <w:spacing w:line="240" w:lineRule="auto"/>
        <w:jc w:val="left"/>
      </w:pPr>
      <w:r w:rsidRPr="00BF0D71">
        <w:t>•</w:t>
      </w:r>
      <w:r w:rsidRPr="00BF0D71">
        <w:tab/>
      </w:r>
      <w:r w:rsidR="002E23BD" w:rsidRPr="00BF0D71">
        <w:t>Il y avait un effet d'</w:t>
      </w:r>
      <w:r w:rsidR="005A4850" w:rsidRPr="00BF0D71">
        <w:t>"</w:t>
      </w:r>
      <w:r w:rsidR="002E23BD" w:rsidRPr="00BF0D71">
        <w:t>écho</w:t>
      </w:r>
      <w:r w:rsidR="005A4850" w:rsidRPr="00BF0D71">
        <w:t>"</w:t>
      </w:r>
      <w:r w:rsidR="002E23BD" w:rsidRPr="00BF0D71">
        <w:t xml:space="preserve"> sur le canal de la langue interprétée lorsqu</w:t>
      </w:r>
      <w:r w:rsidR="00712969" w:rsidRPr="00BF0D71">
        <w:t>'</w:t>
      </w:r>
      <w:r w:rsidR="002E23BD" w:rsidRPr="00BF0D71">
        <w:t>un orateur parlait la même langue que celle du canal d</w:t>
      </w:r>
      <w:r w:rsidR="00712969" w:rsidRPr="00BF0D71">
        <w:t>'</w:t>
      </w:r>
      <w:r w:rsidR="002E23BD" w:rsidRPr="00BF0D71">
        <w:t>interprétation choisi</w:t>
      </w:r>
      <w:r w:rsidR="008A6E3D" w:rsidRPr="00BF0D71">
        <w:t>.</w:t>
      </w:r>
    </w:p>
    <w:p w14:paraId="26CACA31" w14:textId="243DE4A4" w:rsidR="00B5204C" w:rsidRPr="00BF0D71" w:rsidRDefault="00B5204C" w:rsidP="00D82A91">
      <w:pPr>
        <w:pStyle w:val="enumlev1"/>
        <w:spacing w:line="240" w:lineRule="auto"/>
        <w:jc w:val="left"/>
      </w:pPr>
      <w:r w:rsidRPr="00BF0D71">
        <w:t>•</w:t>
      </w:r>
      <w:r w:rsidRPr="00BF0D71">
        <w:tab/>
      </w:r>
      <w:bookmarkStart w:id="10" w:name="_Hlk40380952"/>
      <w:r w:rsidR="00CF4AAC" w:rsidRPr="00BF0D71">
        <w:t>Les participants souhaiteraient</w:t>
      </w:r>
      <w:r w:rsidR="004431FE" w:rsidRPr="00BF0D71">
        <w:t xml:space="preserve"> avoir la possibilité de </w:t>
      </w:r>
      <w:r w:rsidR="00CF4AAC" w:rsidRPr="00BF0D71">
        <w:t xml:space="preserve">se voir </w:t>
      </w:r>
      <w:r w:rsidR="003C5B12" w:rsidRPr="00BF0D71">
        <w:t>sur</w:t>
      </w:r>
      <w:r w:rsidR="00CF4AAC" w:rsidRPr="00BF0D71">
        <w:t xml:space="preserve"> la liste des participants à la manifestation</w:t>
      </w:r>
      <w:r w:rsidR="004431FE" w:rsidRPr="00BF0D71">
        <w:t>,</w:t>
      </w:r>
      <w:r w:rsidR="008A6E3D" w:rsidRPr="00BF0D71">
        <w:t xml:space="preserve"> </w:t>
      </w:r>
      <w:r w:rsidR="00CF4AAC" w:rsidRPr="00BF0D71">
        <w:t xml:space="preserve">et tout particulièrement </w:t>
      </w:r>
      <w:r w:rsidR="003C5B12" w:rsidRPr="00BF0D71">
        <w:t>sur</w:t>
      </w:r>
      <w:r w:rsidR="00CF4AAC" w:rsidRPr="00BF0D71">
        <w:t xml:space="preserve"> la liste des participants ayant "levé la main" pour demander la parole.</w:t>
      </w:r>
      <w:bookmarkEnd w:id="10"/>
    </w:p>
    <w:p w14:paraId="4CBB73B8" w14:textId="79228665" w:rsidR="00B5204C" w:rsidRPr="00BF0D71" w:rsidRDefault="002345D4" w:rsidP="00D82A91">
      <w:pPr>
        <w:jc w:val="left"/>
      </w:pPr>
      <w:bookmarkStart w:id="11" w:name="_Hlk40420661"/>
      <w:r w:rsidRPr="00BF0D71">
        <w:t xml:space="preserve">Pour </w:t>
      </w:r>
      <w:r w:rsidRPr="00BF0D71">
        <w:rPr>
          <w:u w:val="single"/>
        </w:rPr>
        <w:t>améliorer l</w:t>
      </w:r>
      <w:r w:rsidR="00712969" w:rsidRPr="00BF0D71">
        <w:rPr>
          <w:u w:val="single"/>
        </w:rPr>
        <w:t>'</w:t>
      </w:r>
      <w:r w:rsidRPr="00BF0D71">
        <w:rPr>
          <w:u w:val="single"/>
        </w:rPr>
        <w:t>efficacité du processus</w:t>
      </w:r>
      <w:r w:rsidRPr="00BF0D71">
        <w:t xml:space="preserve"> et réduire le laps de temps nécessaire pour </w:t>
      </w:r>
      <w:r w:rsidR="003C5B12" w:rsidRPr="00BF0D71">
        <w:t xml:space="preserve">permettre à </w:t>
      </w:r>
      <w:r w:rsidRPr="00BF0D71">
        <w:t xml:space="preserve">un participant </w:t>
      </w:r>
      <w:r w:rsidR="003C5B12" w:rsidRPr="00BF0D71">
        <w:t>de</w:t>
      </w:r>
      <w:r w:rsidR="008A6E3D" w:rsidRPr="00BF0D71">
        <w:t xml:space="preserve"> </w:t>
      </w:r>
      <w:r w:rsidRPr="00BF0D71">
        <w:t xml:space="preserve">prendre la parole </w:t>
      </w:r>
      <w:r w:rsidR="00B5204C" w:rsidRPr="00BF0D71">
        <w:t>(</w:t>
      </w:r>
      <w:r w:rsidR="00D747DB" w:rsidRPr="00BF0D71">
        <w:t>"</w:t>
      </w:r>
      <w:r w:rsidRPr="00BF0D71">
        <w:t>lever la main</w:t>
      </w:r>
      <w:r w:rsidR="00D747DB" w:rsidRPr="00BF0D71">
        <w:t>"</w:t>
      </w:r>
      <w:r w:rsidR="00B5204C" w:rsidRPr="00BF0D71">
        <w:t xml:space="preserve">, </w:t>
      </w:r>
      <w:r w:rsidR="00D747DB" w:rsidRPr="00BF0D71">
        <w:t>"</w:t>
      </w:r>
      <w:r w:rsidR="00B5204C" w:rsidRPr="00BF0D71">
        <w:t>conne</w:t>
      </w:r>
      <w:r w:rsidRPr="00BF0D71">
        <w:t>xion</w:t>
      </w:r>
      <w:r w:rsidR="00B5204C" w:rsidRPr="00BF0D71">
        <w:t xml:space="preserve"> audio/vid</w:t>
      </w:r>
      <w:r w:rsidRPr="00BF0D71">
        <w:t>é</w:t>
      </w:r>
      <w:r w:rsidR="00B5204C" w:rsidRPr="00BF0D71">
        <w:t>o</w:t>
      </w:r>
      <w:r w:rsidR="00D747DB" w:rsidRPr="00BF0D71">
        <w:t>"</w:t>
      </w:r>
      <w:r w:rsidR="00B5204C" w:rsidRPr="00BF0D71">
        <w:t xml:space="preserve">, </w:t>
      </w:r>
      <w:r w:rsidR="00D747DB" w:rsidRPr="00BF0D71">
        <w:t>"</w:t>
      </w:r>
      <w:r w:rsidRPr="00BF0D71">
        <w:t>déconnexion</w:t>
      </w:r>
      <w:r w:rsidR="00D747DB" w:rsidRPr="00BF0D71">
        <w:t>"</w:t>
      </w:r>
      <w:r w:rsidR="00B5204C" w:rsidRPr="00BF0D71">
        <w:t>)</w:t>
      </w:r>
      <w:r w:rsidR="008A6E3D" w:rsidRPr="00BF0D71">
        <w:t>,</w:t>
      </w:r>
      <w:r w:rsidR="00B5204C" w:rsidRPr="00BF0D71">
        <w:t xml:space="preserve"> </w:t>
      </w:r>
      <w:r w:rsidRPr="00BF0D71">
        <w:t>l</w:t>
      </w:r>
      <w:r w:rsidR="00712969" w:rsidRPr="00BF0D71">
        <w:t>'</w:t>
      </w:r>
      <w:r w:rsidRPr="00BF0D71">
        <w:t xml:space="preserve">UIT organisera davantage de </w:t>
      </w:r>
      <w:r w:rsidRPr="00BF0D71">
        <w:rPr>
          <w:u w:val="single"/>
        </w:rPr>
        <w:t>séances de formation et de séances test</w:t>
      </w:r>
      <w:r w:rsidRPr="00BF0D71">
        <w:t xml:space="preserve"> d</w:t>
      </w:r>
      <w:r w:rsidR="00712969" w:rsidRPr="00BF0D71">
        <w:t>'</w:t>
      </w:r>
      <w:r w:rsidRPr="00BF0D71">
        <w:t>ici au mois de juin. Ces séances offriront aux Conseillers ainsi qu</w:t>
      </w:r>
      <w:r w:rsidR="00712969" w:rsidRPr="00BF0D71">
        <w:t>'</w:t>
      </w:r>
      <w:r w:rsidRPr="00BF0D71">
        <w:t>à leurs équipes davantage de possibilité</w:t>
      </w:r>
      <w:r w:rsidR="002E23BD" w:rsidRPr="00BF0D71">
        <w:t>s</w:t>
      </w:r>
      <w:r w:rsidRPr="00BF0D71">
        <w:t xml:space="preserve"> de vérifier leur équipement et leur connectivité, ce qui leur permettra de mieux se familiarise</w:t>
      </w:r>
      <w:r w:rsidR="002E23BD" w:rsidRPr="00BF0D71">
        <w:t>r</w:t>
      </w:r>
      <w:r w:rsidRPr="00BF0D71">
        <w:t xml:space="preserve"> avec</w:t>
      </w:r>
      <w:r w:rsidR="00D82A91" w:rsidRPr="00BF0D71">
        <w:t xml:space="preserve"> </w:t>
      </w:r>
      <w:r w:rsidRPr="00BF0D71">
        <w:t>la plate-forme de conférence sur le web</w:t>
      </w:r>
      <w:r w:rsidR="008A6E3D" w:rsidRPr="00BF0D71">
        <w:t xml:space="preserve"> </w:t>
      </w:r>
      <w:r w:rsidR="00610A14" w:rsidRPr="00BF0D71">
        <w:t>et d</w:t>
      </w:r>
      <w:r w:rsidR="00712969" w:rsidRPr="00BF0D71">
        <w:t>'</w:t>
      </w:r>
      <w:r w:rsidR="00610A14" w:rsidRPr="00BF0D71">
        <w:t xml:space="preserve">utiliser sans appréhension la fonction </w:t>
      </w:r>
      <w:r w:rsidR="00D747DB" w:rsidRPr="00BF0D71">
        <w:t>"l</w:t>
      </w:r>
      <w:r w:rsidR="00610A14" w:rsidRPr="00BF0D71">
        <w:t>ever la main" (qui permet de demander la parole)</w:t>
      </w:r>
      <w:r w:rsidR="008A6E3D" w:rsidRPr="00BF0D71">
        <w:t xml:space="preserve"> </w:t>
      </w:r>
      <w:r w:rsidR="00610A14" w:rsidRPr="00BF0D71">
        <w:t>ainsi que la procédure à suivre pour prendre la parole</w:t>
      </w:r>
      <w:r w:rsidR="008A6E3D" w:rsidRPr="00BF0D71">
        <w:t xml:space="preserve"> </w:t>
      </w:r>
      <w:r w:rsidR="00B5204C" w:rsidRPr="00BF0D71">
        <w:t>(</w:t>
      </w:r>
      <w:r w:rsidR="00610A14" w:rsidRPr="00BF0D71">
        <w:t>début de la diffusion en continu</w:t>
      </w:r>
      <w:r w:rsidR="008A6E3D" w:rsidRPr="00BF0D71">
        <w:t xml:space="preserve"> </w:t>
      </w:r>
      <w:r w:rsidR="00610A14" w:rsidRPr="00BF0D71">
        <w:t xml:space="preserve">et </w:t>
      </w:r>
      <w:r w:rsidR="00610A14" w:rsidRPr="00BF0D71">
        <w:rPr>
          <w:bCs/>
        </w:rPr>
        <w:t>de la prise de parole</w:t>
      </w:r>
      <w:r w:rsidR="00B5204C" w:rsidRPr="00BF0D71">
        <w:t>).</w:t>
      </w:r>
    </w:p>
    <w:p w14:paraId="6B4B5737" w14:textId="181C3DD1" w:rsidR="00FA6862" w:rsidRPr="00BF0D71" w:rsidRDefault="003C5B12" w:rsidP="00D82A91">
      <w:pPr>
        <w:jc w:val="left"/>
      </w:pPr>
      <w:bookmarkStart w:id="12" w:name="_Hlk40380908"/>
      <w:bookmarkEnd w:id="11"/>
      <w:r w:rsidRPr="00BF0D71">
        <w:t>Le secrétariat ne doute pas que les mesures décrites ci-dessus permettront aux</w:t>
      </w:r>
      <w:r w:rsidR="008A6E3D" w:rsidRPr="00BF0D71">
        <w:t xml:space="preserve"> </w:t>
      </w:r>
      <w:r w:rsidR="00EA5DAB" w:rsidRPr="00BF0D71">
        <w:t>États</w:t>
      </w:r>
      <w:r w:rsidRPr="00BF0D71">
        <w:t xml:space="preserve"> Membres d</w:t>
      </w:r>
      <w:r w:rsidR="00712969" w:rsidRPr="00BF0D71">
        <w:t>'</w:t>
      </w:r>
      <w:r w:rsidRPr="00BF0D71">
        <w:t>assurer la continuité des activités de l</w:t>
      </w:r>
      <w:r w:rsidR="00712969" w:rsidRPr="00BF0D71">
        <w:t>'</w:t>
      </w:r>
      <w:r w:rsidRPr="00BF0D71">
        <w:t xml:space="preserve">Union </w:t>
      </w:r>
      <w:r w:rsidR="00B25074" w:rsidRPr="00BF0D71">
        <w:t>pendant cette période</w:t>
      </w:r>
      <w:r w:rsidRPr="00BF0D71">
        <w:t xml:space="preserve"> </w:t>
      </w:r>
      <w:r w:rsidRPr="00BF0D71">
        <w:rPr>
          <w:bCs/>
        </w:rPr>
        <w:t>exceptionnelle</w:t>
      </w:r>
      <w:r w:rsidR="00B25074" w:rsidRPr="00BF0D71">
        <w:rPr>
          <w:bCs/>
        </w:rPr>
        <w:t>,</w:t>
      </w:r>
      <w:r w:rsidRPr="00BF0D71">
        <w:t xml:space="preserve"> </w:t>
      </w:r>
      <w:bookmarkStart w:id="13" w:name="_Hlk40420594"/>
      <w:r w:rsidR="00B25074" w:rsidRPr="00BF0D71">
        <w:t xml:space="preserve">où </w:t>
      </w:r>
      <w:r w:rsidRPr="00BF0D71">
        <w:t xml:space="preserve">il ne sera </w:t>
      </w:r>
      <w:bookmarkEnd w:id="13"/>
      <w:r w:rsidRPr="00BF0D71">
        <w:t>peut-être pas possible</w:t>
      </w:r>
      <w:r w:rsidR="00B25074" w:rsidRPr="00BF0D71">
        <w:t xml:space="preserve"> </w:t>
      </w:r>
      <w:r w:rsidRPr="00BF0D71">
        <w:t>dans un avenir prévisible</w:t>
      </w:r>
      <w:r w:rsidR="00B25074" w:rsidRPr="00BF0D71">
        <w:t xml:space="preserve"> </w:t>
      </w:r>
      <w:r w:rsidRPr="00BF0D71">
        <w:t>d</w:t>
      </w:r>
      <w:r w:rsidR="00712969" w:rsidRPr="00BF0D71">
        <w:t>'</w:t>
      </w:r>
      <w:r w:rsidRPr="00BF0D71">
        <w:t>organiser une réunion sur place rassemblant tous les participants en un même lieu</w:t>
      </w:r>
      <w:bookmarkEnd w:id="12"/>
      <w:r w:rsidR="00D747DB" w:rsidRPr="00BF0D71">
        <w:t>.</w:t>
      </w:r>
    </w:p>
    <w:p w14:paraId="0E7C3333" w14:textId="170A7FC0" w:rsidR="00895538" w:rsidRPr="00BF0D71" w:rsidRDefault="00895538" w:rsidP="00D82A91">
      <w:pPr>
        <w:jc w:val="left"/>
      </w:pPr>
      <w:r w:rsidRPr="00BF0D71">
        <w:br w:type="page"/>
      </w:r>
    </w:p>
    <w:p w14:paraId="6CC74195" w14:textId="77777777" w:rsidR="00675AD8" w:rsidRPr="00BF0D71" w:rsidRDefault="00675AD8" w:rsidP="00675AD8">
      <w:pPr>
        <w:pStyle w:val="AnnexNoTitle"/>
        <w:spacing w:before="0" w:line="240" w:lineRule="auto"/>
      </w:pPr>
      <w:bookmarkStart w:id="14" w:name="Annexe3"/>
      <w:bookmarkEnd w:id="14"/>
      <w:r w:rsidRPr="00BF0D71">
        <w:lastRenderedPageBreak/>
        <w:t>ANNEXE 3</w:t>
      </w:r>
    </w:p>
    <w:p w14:paraId="332BD755" w14:textId="77777777" w:rsidR="00675AD8" w:rsidRPr="00BF0D71" w:rsidRDefault="00675AD8" w:rsidP="00675AD8">
      <w:pPr>
        <w:pStyle w:val="AnnexNoTitle"/>
        <w:spacing w:before="360" w:line="240" w:lineRule="auto"/>
      </w:pPr>
      <w:r w:rsidRPr="00BF0D71">
        <w:t>Proposition d'organisation de la consultation virtuelle des Conseillers</w:t>
      </w:r>
    </w:p>
    <w:p w14:paraId="33F0A86E" w14:textId="77777777" w:rsidR="00675AD8" w:rsidRPr="00BF0D71" w:rsidRDefault="00675AD8" w:rsidP="00675AD8">
      <w:pPr>
        <w:pStyle w:val="Normalaftertitle"/>
        <w:spacing w:line="240" w:lineRule="auto"/>
        <w:jc w:val="left"/>
      </w:pPr>
      <w:r w:rsidRPr="00BF0D71">
        <w:t>Cette consultation virtuelle se tiendra de façon organisée, conformément à l'Article 3.1 du Règlement intérieur du Conseil.</w:t>
      </w:r>
    </w:p>
    <w:p w14:paraId="327A418E" w14:textId="77777777" w:rsidR="00675AD8" w:rsidRPr="00BF0D71" w:rsidRDefault="00675AD8" w:rsidP="00675AD8">
      <w:pPr>
        <w:spacing w:line="240" w:lineRule="auto"/>
        <w:jc w:val="left"/>
      </w:pPr>
      <w:r w:rsidRPr="00BF0D71">
        <w:t>3.1</w:t>
      </w:r>
      <w:r w:rsidRPr="00BF0D71">
        <w:tab/>
        <w:t>En dehors des sessions, les conseillers peuvent se consulter par correspondance:</w:t>
      </w:r>
    </w:p>
    <w:p w14:paraId="1731A3E7" w14:textId="77777777" w:rsidR="00675AD8" w:rsidRPr="00BF0D71" w:rsidRDefault="00675AD8" w:rsidP="00675AD8">
      <w:pPr>
        <w:pStyle w:val="enumlev1"/>
        <w:spacing w:line="240" w:lineRule="auto"/>
        <w:jc w:val="left"/>
      </w:pPr>
      <w:r w:rsidRPr="00BF0D71">
        <w:t>–</w:t>
      </w:r>
      <w:r w:rsidRPr="00BF0D71">
        <w:tab/>
        <w:t>soit de façon informelle,</w:t>
      </w:r>
    </w:p>
    <w:p w14:paraId="66699B0D" w14:textId="77777777" w:rsidR="00675AD8" w:rsidRPr="00BF0D71" w:rsidRDefault="00675AD8" w:rsidP="00675AD8">
      <w:pPr>
        <w:pStyle w:val="enumlev1"/>
        <w:spacing w:line="240" w:lineRule="auto"/>
        <w:jc w:val="left"/>
      </w:pPr>
      <w:r w:rsidRPr="00BF0D71">
        <w:t>–</w:t>
      </w:r>
      <w:r w:rsidRPr="00BF0D71">
        <w:tab/>
        <w:t>soit de façon organisée par l'intermédiaire du Président ou, s'il n'est pas disponible, du Vice</w:t>
      </w:r>
      <w:r w:rsidRPr="00BF0D71">
        <w:noBreakHyphen/>
        <w:t>Président du Conseil avec l'aide du Secrétaire général.</w:t>
      </w:r>
    </w:p>
    <w:p w14:paraId="7C6E1C28" w14:textId="77777777" w:rsidR="00675AD8" w:rsidRPr="00BF0D71" w:rsidRDefault="00675AD8" w:rsidP="00675AD8">
      <w:pPr>
        <w:spacing w:line="240" w:lineRule="auto"/>
        <w:jc w:val="left"/>
        <w:rPr>
          <w:u w:val="single"/>
        </w:rPr>
      </w:pPr>
      <w:r w:rsidRPr="00BF0D71">
        <w:rPr>
          <w:u w:val="single"/>
        </w:rPr>
        <w:t>Projet d'ordre du jour</w:t>
      </w:r>
    </w:p>
    <w:p w14:paraId="273B33F4" w14:textId="77777777" w:rsidR="00675AD8" w:rsidRPr="00BF0D71" w:rsidRDefault="00675AD8" w:rsidP="00675AD8">
      <w:pPr>
        <w:spacing w:line="240" w:lineRule="auto"/>
        <w:jc w:val="left"/>
      </w:pPr>
      <w:r w:rsidRPr="00BF0D71">
        <w:t xml:space="preserve">Les participants à la consultation virtuelle examineront les points de l'ordre du jour considérés comme urgents. </w:t>
      </w:r>
    </w:p>
    <w:p w14:paraId="2544D037" w14:textId="3415849C" w:rsidR="00675AD8" w:rsidRPr="00BF0D71" w:rsidRDefault="00675AD8" w:rsidP="00675AD8">
      <w:pPr>
        <w:spacing w:line="240" w:lineRule="auto"/>
        <w:jc w:val="left"/>
      </w:pPr>
      <w:r w:rsidRPr="00BF0D71">
        <w:t>Veuillez trouver dans l'</w:t>
      </w:r>
      <w:hyperlink w:anchor="Annexe4" w:history="1">
        <w:r w:rsidRPr="00BF0D71">
          <w:rPr>
            <w:rStyle w:val="Hyperlink"/>
          </w:rPr>
          <w:t>Annexe 4</w:t>
        </w:r>
      </w:hyperlink>
      <w:r w:rsidRPr="00BF0D71">
        <w:t xml:space="preserve"> les points que le secrétariat considère comme urgents et qu'il propose d'examiner lors de la consultation virtuelle, ainsi que la liste des points que le secrétariat propose de traiter lors de la prochaine session physique. Les États Membres devraient faire savoir avant le </w:t>
      </w:r>
      <w:r w:rsidRPr="00BF0D71">
        <w:rPr>
          <w:b/>
          <w:bCs/>
        </w:rPr>
        <w:t>22 mai</w:t>
      </w:r>
      <w:r w:rsidRPr="00BF0D71">
        <w:t xml:space="preserve"> s'ils souhaitent ou non qu'une question particulière soit examinée lors de la consultation virtuelle. </w:t>
      </w:r>
    </w:p>
    <w:p w14:paraId="5BF486C6" w14:textId="77777777" w:rsidR="00675AD8" w:rsidRPr="00BF0D71" w:rsidRDefault="00675AD8" w:rsidP="00675AD8">
      <w:pPr>
        <w:spacing w:line="240" w:lineRule="auto"/>
        <w:jc w:val="left"/>
      </w:pPr>
      <w:r w:rsidRPr="00BF0D71">
        <w:t>En fonction des réponses, le projet d'ordre du jour et de programme de gestion du temps seront communiqués aux États Membres du Conseil dès que possible après le 22 mai.</w:t>
      </w:r>
    </w:p>
    <w:p w14:paraId="4EE34DFE" w14:textId="77777777" w:rsidR="00675AD8" w:rsidRPr="00BF0D71" w:rsidRDefault="00675AD8" w:rsidP="00675AD8">
      <w:pPr>
        <w:spacing w:line="240" w:lineRule="auto"/>
        <w:rPr>
          <w:u w:val="single"/>
        </w:rPr>
      </w:pPr>
      <w:r w:rsidRPr="00BF0D71">
        <w:rPr>
          <w:u w:val="single"/>
        </w:rPr>
        <w:t>Présidence</w:t>
      </w:r>
    </w:p>
    <w:p w14:paraId="0133F0FA" w14:textId="77777777" w:rsidR="00675AD8" w:rsidRPr="00BF0D71" w:rsidRDefault="00675AD8" w:rsidP="00675AD8">
      <w:pPr>
        <w:spacing w:line="240" w:lineRule="auto"/>
      </w:pPr>
      <w:r w:rsidRPr="00BF0D71">
        <w:t xml:space="preserve">Étant donné que l'objectif principal de la consultation virtuelle est la préparation de la session physique de 2020, il est proposé que le Vice-Président du Conseil, M. Saif Bin Ghelaita, dirige les discussions. </w:t>
      </w:r>
    </w:p>
    <w:p w14:paraId="40B06948" w14:textId="7E855C80" w:rsidR="00675AD8" w:rsidRPr="00BF0D71" w:rsidRDefault="00675AD8" w:rsidP="00675AD8">
      <w:pPr>
        <w:spacing w:line="240" w:lineRule="auto"/>
      </w:pPr>
      <w:r w:rsidRPr="00BF0D71">
        <w:rPr>
          <w:u w:val="single"/>
        </w:rPr>
        <w:t>Participation</w:t>
      </w:r>
    </w:p>
    <w:p w14:paraId="4AC3CD6B" w14:textId="77777777" w:rsidR="00675AD8" w:rsidRPr="00BF0D71" w:rsidRDefault="00675AD8" w:rsidP="00675AD8">
      <w:pPr>
        <w:spacing w:line="240" w:lineRule="auto"/>
      </w:pPr>
      <w:r w:rsidRPr="00BF0D71">
        <w:t xml:space="preserve">La consultation virtuelle sera ouverte à tous les membres des délégations des États Membres du Conseil et des États Membres ayant le statut d'observateur, à l'observateur de l'État de Palestine et aux Membres de Secteur (3 par Secteur). </w:t>
      </w:r>
    </w:p>
    <w:p w14:paraId="54AC5424" w14:textId="77777777" w:rsidR="00675AD8" w:rsidRPr="00BF0D71" w:rsidRDefault="00675AD8" w:rsidP="00675AD8">
      <w:pPr>
        <w:spacing w:line="240" w:lineRule="auto"/>
        <w:jc w:val="left"/>
        <w:rPr>
          <w:u w:val="single"/>
        </w:rPr>
      </w:pPr>
      <w:r w:rsidRPr="00BF0D71">
        <w:rPr>
          <w:u w:val="single"/>
        </w:rPr>
        <w:t>Conduite des débats</w:t>
      </w:r>
    </w:p>
    <w:p w14:paraId="7224D3D9" w14:textId="77777777" w:rsidR="00675AD8" w:rsidRPr="00BF0D71" w:rsidRDefault="00675AD8" w:rsidP="00675AD8">
      <w:pPr>
        <w:pStyle w:val="enumlev1"/>
        <w:spacing w:line="240" w:lineRule="auto"/>
        <w:jc w:val="left"/>
      </w:pPr>
      <w:r w:rsidRPr="00BF0D71">
        <w:t>•</w:t>
      </w:r>
      <w:r w:rsidRPr="00BF0D71">
        <w:tab/>
        <w:t>La consultation virtuelle sera de nature strictement consultative et n'aura aucun caractère décisionnel.</w:t>
      </w:r>
    </w:p>
    <w:p w14:paraId="09E025D2" w14:textId="77777777" w:rsidR="00675AD8" w:rsidRPr="00BF0D71" w:rsidRDefault="00675AD8" w:rsidP="00675AD8">
      <w:pPr>
        <w:pStyle w:val="enumlev1"/>
        <w:spacing w:line="240" w:lineRule="auto"/>
        <w:jc w:val="left"/>
      </w:pPr>
      <w:r w:rsidRPr="00BF0D71">
        <w:t>•</w:t>
      </w:r>
      <w:r w:rsidRPr="00BF0D71">
        <w:tab/>
        <w:t>Lors des discussions, la parole sera donnée en priorité aux États Membres du Conseil.</w:t>
      </w:r>
    </w:p>
    <w:p w14:paraId="771791AC" w14:textId="77777777" w:rsidR="00675AD8" w:rsidRPr="00BF0D71" w:rsidRDefault="00675AD8" w:rsidP="00675AD8">
      <w:pPr>
        <w:pStyle w:val="enumlev1"/>
        <w:spacing w:line="240" w:lineRule="auto"/>
        <w:jc w:val="left"/>
      </w:pPr>
      <w:r w:rsidRPr="00BF0D71">
        <w:t>•</w:t>
      </w:r>
      <w:r w:rsidRPr="00BF0D71">
        <w:tab/>
        <w:t>Si les participants ne parviennent pas à un consensus ou si un État Membre du Conseil souhaite que l'examen d'un document ou que la formulation d'une conclusion soit reporté, ce document ou cette conclusion sera reporté à la session physique ultérieure de 2020 du Conseil.</w:t>
      </w:r>
    </w:p>
    <w:p w14:paraId="5E3C7004" w14:textId="77777777" w:rsidR="00675AD8" w:rsidRPr="00BF0D71" w:rsidRDefault="00675AD8" w:rsidP="00675AD8">
      <w:pPr>
        <w:pStyle w:val="enumlev1"/>
        <w:spacing w:line="240" w:lineRule="auto"/>
        <w:jc w:val="left"/>
      </w:pPr>
      <w:r w:rsidRPr="00BF0D71">
        <w:t>•</w:t>
      </w:r>
      <w:r w:rsidRPr="00BF0D71">
        <w:tab/>
      </w:r>
      <w:bookmarkStart w:id="15" w:name="_Hlk38872999"/>
      <w:r w:rsidRPr="00BF0D71">
        <w:t>Si, au cours de l'examen d'un document figurant à l'ordre du jour de la consultation virtuelle, les participants ne parviennent pas à un consensus ou si un État Membre du Conseil propose de suspendre les débats ou soulève une objection au sujet de la proposition de conclusion concernant le document, l'examen dudit document sera reporté à la session physique ultérieure de 2020 du Conseil</w:t>
      </w:r>
      <w:bookmarkEnd w:id="15"/>
      <w:r w:rsidRPr="00BF0D71">
        <w:t>.</w:t>
      </w:r>
    </w:p>
    <w:p w14:paraId="4FA21F18" w14:textId="08DAFE94" w:rsidR="00675AD8" w:rsidRPr="00BF0D71" w:rsidRDefault="00675AD8" w:rsidP="00675AD8">
      <w:pPr>
        <w:pStyle w:val="enumlev1"/>
        <w:spacing w:line="240" w:lineRule="auto"/>
        <w:jc w:val="left"/>
      </w:pPr>
      <w:r w:rsidRPr="00BF0D71">
        <w:t>•</w:t>
      </w:r>
      <w:r w:rsidRPr="00BF0D71">
        <w:tab/>
        <w:t xml:space="preserve">Pour faciliter et structurer les débats, les États Membres peuvent envoyer leurs contributions </w:t>
      </w:r>
      <w:r w:rsidRPr="00BF0D71">
        <w:rPr>
          <w:b/>
          <w:bCs/>
        </w:rPr>
        <w:t>d'ici au 29 mai,</w:t>
      </w:r>
      <w:r w:rsidRPr="00BF0D71">
        <w:t xml:space="preserve"> à l'adresse </w:t>
      </w:r>
      <w:hyperlink r:id="rId10" w:history="1">
        <w:r w:rsidRPr="00BF0D71">
          <w:rPr>
            <w:rStyle w:val="Hyperlink"/>
          </w:rPr>
          <w:t>contributions@itu.int</w:t>
        </w:r>
      </w:hyperlink>
      <w:r w:rsidRPr="00BF0D71">
        <w:t>,en utilisant le modèle reproduit dans l'</w:t>
      </w:r>
      <w:hyperlink w:anchor="Annexe5" w:history="1">
        <w:r w:rsidRPr="00BF0D71">
          <w:rPr>
            <w:rStyle w:val="Hyperlink"/>
          </w:rPr>
          <w:t>Annexe 5</w:t>
        </w:r>
      </w:hyperlink>
      <w:r w:rsidRPr="00BF0D71">
        <w:t>. Les contributions devraient être succinctes (2 pages maximum).</w:t>
      </w:r>
    </w:p>
    <w:p w14:paraId="198FCD2A" w14:textId="77777777" w:rsidR="00675AD8" w:rsidRPr="00BF0D71" w:rsidRDefault="00675AD8" w:rsidP="00675AD8">
      <w:pPr>
        <w:pStyle w:val="enumlev1"/>
        <w:spacing w:line="240" w:lineRule="auto"/>
        <w:jc w:val="left"/>
      </w:pPr>
      <w:r w:rsidRPr="00BF0D71">
        <w:lastRenderedPageBreak/>
        <w:t>•</w:t>
      </w:r>
      <w:r w:rsidRPr="00BF0D71">
        <w:tab/>
        <w:t>Les représentants des États Membres pourront prendre la parole pour intervenir pendant les débats, même s'ils n'ont envoyé aucune contribution.</w:t>
      </w:r>
    </w:p>
    <w:p w14:paraId="3CBE77E2" w14:textId="77777777" w:rsidR="00675AD8" w:rsidRPr="00BF0D71" w:rsidRDefault="00675AD8" w:rsidP="00675AD8">
      <w:pPr>
        <w:spacing w:line="240" w:lineRule="auto"/>
        <w:jc w:val="left"/>
      </w:pPr>
      <w:r w:rsidRPr="00BF0D71">
        <w:rPr>
          <w:u w:val="single"/>
        </w:rPr>
        <w:t>Résultats</w:t>
      </w:r>
    </w:p>
    <w:p w14:paraId="7209F8B5" w14:textId="77777777" w:rsidR="00675AD8" w:rsidRPr="00BF0D71" w:rsidRDefault="00675AD8" w:rsidP="00675AD8">
      <w:pPr>
        <w:pStyle w:val="enumlev1"/>
        <w:spacing w:line="240" w:lineRule="auto"/>
        <w:jc w:val="left"/>
      </w:pPr>
      <w:r w:rsidRPr="00BF0D71">
        <w:t>•</w:t>
      </w:r>
      <w:r w:rsidRPr="00BF0D71">
        <w:tab/>
        <w:t xml:space="preserve">La consultation virtuelle sera de nature strictement consultative et n'aura aucun caractère décisionnel. Les participants ne formuleront que des propositions de conclusions en attendant que des décisions officielles soient prises à la session physique ultérieure de 2020 du Conseil. Les propositions de conclusions seront rassemblées dans un rapport que le Secrétaire général présentera en tant que contribution pour examen à la session physique ultérieure de 2020 du Conseil. </w:t>
      </w:r>
    </w:p>
    <w:p w14:paraId="03972F45" w14:textId="77777777" w:rsidR="00675AD8" w:rsidRPr="00BF0D71" w:rsidRDefault="00675AD8" w:rsidP="00675AD8">
      <w:pPr>
        <w:pStyle w:val="enumlev1"/>
        <w:spacing w:line="240" w:lineRule="auto"/>
        <w:jc w:val="left"/>
      </w:pPr>
      <w:r w:rsidRPr="00BF0D71">
        <w:t>•</w:t>
      </w:r>
      <w:r w:rsidRPr="00BF0D71">
        <w:tab/>
        <w:t xml:space="preserve">En ce qui concerne les propositions de conclusion sur des points appelant de la part du Conseil une décision urgente pour laquelle il n'est pas possible d'attendre une réunion physique, </w:t>
      </w:r>
      <w:bookmarkStart w:id="16" w:name="_Hlk40282450"/>
      <w:r w:rsidRPr="00BF0D71">
        <w:t>les participants à la consultation virtuelle pourraient fournir des orientations au Président du Conseil et au Secrétaire général sur la possibilité de mettre en œuvre la procédure à suivre pour prendre des décisions par correspondance</w:t>
      </w:r>
      <w:bookmarkEnd w:id="16"/>
      <w:r w:rsidRPr="00BF0D71">
        <w:t>, conformément à l'Article 3.2 du Règlement intérieur du Conseil. Le cas échéant, la procédure habituelle relative aux décisions prises par correspondance serait appliquée. La règle de la majorité simple des États Membres du Conseil ayant le droit de vote s'appliquerait.</w:t>
      </w:r>
    </w:p>
    <w:p w14:paraId="59FD12C0" w14:textId="77777777" w:rsidR="00675AD8" w:rsidRPr="00BF0D71" w:rsidRDefault="00675AD8" w:rsidP="00675AD8">
      <w:pPr>
        <w:pStyle w:val="enumlev1"/>
        <w:spacing w:line="240" w:lineRule="auto"/>
        <w:jc w:val="left"/>
      </w:pPr>
      <w:bookmarkStart w:id="17" w:name="_Hlk40285046"/>
      <w:r w:rsidRPr="00BF0D71">
        <w:rPr>
          <w:szCs w:val="18"/>
        </w:rPr>
        <w:t>•</w:t>
      </w:r>
      <w:r w:rsidRPr="00BF0D71">
        <w:rPr>
          <w:szCs w:val="18"/>
        </w:rPr>
        <w:tab/>
      </w:r>
      <w:bookmarkEnd w:id="17"/>
      <w:r w:rsidRPr="00BF0D71">
        <w:rPr>
          <w:szCs w:val="18"/>
        </w:rPr>
        <w:t>Il est entendu qu'aucune proposition de conclusion ne sera définitive et que les discussions concernant une conclusion pourraient reprendre à l'occasion de la session physique ultérieure de 2020</w:t>
      </w:r>
      <w:r w:rsidRPr="00BF0D71">
        <w:t>.</w:t>
      </w:r>
    </w:p>
    <w:p w14:paraId="5CC541CA" w14:textId="77777777" w:rsidR="00675AD8" w:rsidRPr="00BF0D71" w:rsidRDefault="00675AD8" w:rsidP="00675AD8">
      <w:pPr>
        <w:spacing w:line="240" w:lineRule="auto"/>
        <w:jc w:val="left"/>
        <w:rPr>
          <w:u w:val="single"/>
        </w:rPr>
      </w:pPr>
      <w:r w:rsidRPr="00BF0D71">
        <w:rPr>
          <w:u w:val="single"/>
        </w:rPr>
        <w:t>Date et durée</w:t>
      </w:r>
    </w:p>
    <w:p w14:paraId="1679CDC2" w14:textId="349BA5F6" w:rsidR="00675AD8" w:rsidRPr="00BF0D71" w:rsidRDefault="00675AD8" w:rsidP="00675AD8">
      <w:pPr>
        <w:pStyle w:val="enumlev1"/>
        <w:spacing w:line="240" w:lineRule="auto"/>
        <w:jc w:val="left"/>
      </w:pPr>
      <w:r w:rsidRPr="00BF0D71">
        <w:t>•</w:t>
      </w:r>
      <w:r w:rsidRPr="00BF0D71">
        <w:tab/>
        <w:t>La consultation virtuelle débutera le 9 juin et se tiendra de 12 h</w:t>
      </w:r>
      <w:r w:rsidR="000F674D" w:rsidRPr="00BF0D71">
        <w:t xml:space="preserve"> 00</w:t>
      </w:r>
      <w:r w:rsidRPr="00BF0D71">
        <w:t xml:space="preserve"> à 15 h</w:t>
      </w:r>
      <w:r w:rsidR="000F674D" w:rsidRPr="00BF0D71">
        <w:t xml:space="preserve"> 00</w:t>
      </w:r>
      <w:r w:rsidRPr="00BF0D71">
        <w:t xml:space="preserve"> (heure de Genève).</w:t>
      </w:r>
    </w:p>
    <w:p w14:paraId="59D74A1E" w14:textId="77777777" w:rsidR="00675AD8" w:rsidRPr="00BF0D71" w:rsidRDefault="00675AD8" w:rsidP="00675AD8">
      <w:pPr>
        <w:pStyle w:val="enumlev1"/>
        <w:spacing w:line="240" w:lineRule="auto"/>
        <w:jc w:val="left"/>
        <w:rPr>
          <w:u w:val="single"/>
        </w:rPr>
      </w:pPr>
      <w:r w:rsidRPr="00BF0D71">
        <w:t>•</w:t>
      </w:r>
      <w:r w:rsidRPr="00BF0D71">
        <w:tab/>
        <w:t>La durée effective sera proposée en fonction des réponses des États Membres concernant les points de l'ordre du jour, mais ne dépassera pas cinq jours.</w:t>
      </w:r>
    </w:p>
    <w:p w14:paraId="3343350B" w14:textId="77777777" w:rsidR="00675AD8" w:rsidRPr="00BF0D71" w:rsidRDefault="00675AD8" w:rsidP="00675AD8">
      <w:pPr>
        <w:spacing w:line="240" w:lineRule="auto"/>
        <w:jc w:val="left"/>
        <w:rPr>
          <w:u w:val="single"/>
        </w:rPr>
      </w:pPr>
      <w:r w:rsidRPr="00BF0D71">
        <w:rPr>
          <w:u w:val="single"/>
        </w:rPr>
        <w:t>Appui informatique fourni</w:t>
      </w:r>
    </w:p>
    <w:p w14:paraId="3456C029" w14:textId="77777777" w:rsidR="00675AD8" w:rsidRPr="00BF0D71" w:rsidRDefault="00675AD8" w:rsidP="00675AD8">
      <w:pPr>
        <w:pStyle w:val="enumlev1"/>
        <w:spacing w:line="240" w:lineRule="auto"/>
        <w:jc w:val="left"/>
      </w:pPr>
      <w:r w:rsidRPr="00BF0D71">
        <w:t>•</w:t>
      </w:r>
      <w:r w:rsidRPr="00BF0D71">
        <w:tab/>
      </w:r>
      <w:r w:rsidRPr="00BF0D71">
        <w:rPr>
          <w:szCs w:val="18"/>
        </w:rPr>
        <w:t>Plate-forme Interprefy, sous-titrage et diffusion sur le web</w:t>
      </w:r>
      <w:r w:rsidRPr="00BF0D71">
        <w:t xml:space="preserve">. </w:t>
      </w:r>
    </w:p>
    <w:p w14:paraId="7F16C493" w14:textId="77777777" w:rsidR="00675AD8" w:rsidRPr="00BF0D71" w:rsidRDefault="00675AD8" w:rsidP="00675AD8">
      <w:pPr>
        <w:pStyle w:val="enumlev1"/>
        <w:spacing w:line="240" w:lineRule="auto"/>
        <w:jc w:val="left"/>
      </w:pPr>
      <w:r w:rsidRPr="00BF0D71">
        <w:t>•</w:t>
      </w:r>
      <w:r w:rsidRPr="00BF0D71">
        <w:tab/>
        <w:t xml:space="preserve">Un service d'interprétation dans les six langues sera assuré au moyen de la plate-forme Interprefy. </w:t>
      </w:r>
    </w:p>
    <w:p w14:paraId="278039E2" w14:textId="77777777" w:rsidR="00675AD8" w:rsidRPr="00BF0D71" w:rsidRDefault="00675AD8" w:rsidP="00675AD8">
      <w:pPr>
        <w:pStyle w:val="enumlev1"/>
        <w:spacing w:line="240" w:lineRule="auto"/>
        <w:jc w:val="left"/>
      </w:pPr>
      <w:r w:rsidRPr="00BF0D71">
        <w:t>•</w:t>
      </w:r>
      <w:r w:rsidRPr="00BF0D71">
        <w:tab/>
        <w:t>Appui informatique individuel par courriel, chat et téléphone.</w:t>
      </w:r>
    </w:p>
    <w:p w14:paraId="7D395DF4" w14:textId="77777777" w:rsidR="00675AD8" w:rsidRPr="00BF0D71" w:rsidRDefault="00675AD8" w:rsidP="00675AD8">
      <w:pPr>
        <w:spacing w:line="240" w:lineRule="auto"/>
        <w:jc w:val="left"/>
        <w:rPr>
          <w:u w:val="single"/>
        </w:rPr>
      </w:pPr>
      <w:r w:rsidRPr="00BF0D71">
        <w:rPr>
          <w:u w:val="single"/>
        </w:rPr>
        <w:t>Test de la plate-forme</w:t>
      </w:r>
    </w:p>
    <w:p w14:paraId="1CD64517" w14:textId="4F609B9A" w:rsidR="00675AD8" w:rsidRPr="00BF0D71" w:rsidRDefault="00675AD8" w:rsidP="00675AD8">
      <w:pPr>
        <w:spacing w:line="240" w:lineRule="auto"/>
        <w:jc w:val="left"/>
      </w:pPr>
      <w:r w:rsidRPr="00BF0D71">
        <w:t>Un test global de la plate-forme sera organisé le 29 mai à 12 h</w:t>
      </w:r>
      <w:r w:rsidR="000F674D" w:rsidRPr="00BF0D71">
        <w:t xml:space="preserve"> 00</w:t>
      </w:r>
      <w:r w:rsidRPr="00BF0D71">
        <w:t xml:space="preserve"> (heure de Genève). Les invitations seront envoyées en temps utile.</w:t>
      </w:r>
    </w:p>
    <w:p w14:paraId="6325491D" w14:textId="77777777" w:rsidR="00675AD8" w:rsidRPr="00BF0D71" w:rsidRDefault="00675AD8" w:rsidP="00675AD8">
      <w:pPr>
        <w:spacing w:line="240" w:lineRule="auto"/>
        <w:jc w:val="left"/>
        <w:rPr>
          <w:u w:val="single"/>
        </w:rPr>
      </w:pPr>
      <w:r w:rsidRPr="00BF0D71">
        <w:rPr>
          <w:u w:val="single"/>
        </w:rPr>
        <w:t>Inscription</w:t>
      </w:r>
    </w:p>
    <w:p w14:paraId="2872BB7F" w14:textId="77777777" w:rsidR="00675AD8" w:rsidRPr="00BF0D71" w:rsidRDefault="00675AD8" w:rsidP="00675AD8">
      <w:pPr>
        <w:spacing w:line="240" w:lineRule="auto"/>
        <w:jc w:val="left"/>
      </w:pPr>
      <w:r w:rsidRPr="00BF0D71">
        <w:t>L'inscription est obligatoire pour pouvoir participer en ligne. Les inscriptions ont débuté le 10 mars. Elles sont actuellement ouvertes et se poursuivront.</w:t>
      </w:r>
    </w:p>
    <w:p w14:paraId="548FC86F" w14:textId="77777777" w:rsidR="00675AD8" w:rsidRPr="00BF0D71" w:rsidRDefault="00675AD8" w:rsidP="00675AD8">
      <w:pPr>
        <w:spacing w:line="240" w:lineRule="auto"/>
        <w:jc w:val="left"/>
      </w:pPr>
      <w:r w:rsidRPr="00BF0D71">
        <w:t>Les participants inscrits recevront des lignes directrices et des liens leur permettant d'accéder à la consultation virtuelle en temps utile.</w:t>
      </w:r>
    </w:p>
    <w:p w14:paraId="2B09273D" w14:textId="77777777" w:rsidR="00675AD8" w:rsidRPr="00BF0D71" w:rsidRDefault="00675AD8" w:rsidP="00675AD8">
      <w:pPr>
        <w:spacing w:line="240" w:lineRule="auto"/>
        <w:jc w:val="left"/>
      </w:pPr>
      <w:r w:rsidRPr="00BF0D71">
        <w:br w:type="page"/>
      </w:r>
    </w:p>
    <w:p w14:paraId="19330BA1" w14:textId="77777777" w:rsidR="00675AD8" w:rsidRPr="00BF0D71" w:rsidRDefault="00675AD8" w:rsidP="00675AD8">
      <w:pPr>
        <w:pStyle w:val="AnnexNoTitle"/>
        <w:spacing w:before="0" w:line="240" w:lineRule="auto"/>
      </w:pPr>
      <w:bookmarkStart w:id="18" w:name="Annexe4"/>
      <w:bookmarkEnd w:id="18"/>
      <w:r w:rsidRPr="00BF0D71">
        <w:lastRenderedPageBreak/>
        <w:t>ANNEXE 4</w:t>
      </w:r>
    </w:p>
    <w:p w14:paraId="5651E95E" w14:textId="5D3A9FB9" w:rsidR="00675AD8" w:rsidRPr="00BF0D71" w:rsidRDefault="00675AD8" w:rsidP="00675AD8">
      <w:pPr>
        <w:pStyle w:val="AnnexNoTitle"/>
        <w:spacing w:before="360" w:line="240" w:lineRule="auto"/>
      </w:pPr>
      <w:r w:rsidRPr="00BF0D71">
        <w:t xml:space="preserve">Liste proposée des points du projet d'ordre du jour de la </w:t>
      </w:r>
      <w:r w:rsidR="003A4DF2" w:rsidRPr="00BF0D71">
        <w:br/>
      </w:r>
      <w:r w:rsidRPr="00BF0D71">
        <w:t>consultation virtuelle des Conseillers</w:t>
      </w:r>
    </w:p>
    <w:p w14:paraId="1F7298BC" w14:textId="77777777" w:rsidR="00675AD8" w:rsidRPr="00BF0D71" w:rsidRDefault="00675AD8" w:rsidP="00675AD8">
      <w:pPr>
        <w:pStyle w:val="Heading1"/>
        <w:spacing w:line="240" w:lineRule="auto"/>
        <w:jc w:val="left"/>
      </w:pPr>
      <w:r w:rsidRPr="00BF0D71">
        <w:t>1</w:t>
      </w:r>
      <w:r w:rsidRPr="00BF0D71">
        <w:tab/>
      </w:r>
      <w:r w:rsidRPr="00BF0D71">
        <w:rPr>
          <w:bCs/>
        </w:rPr>
        <w:t>Liste des points urgents que le secrétariat propose d'examiner lors de la consultation virtuelle</w:t>
      </w:r>
    </w:p>
    <w:p w14:paraId="0A5A391F" w14:textId="77777777" w:rsidR="00675AD8" w:rsidRPr="00BF0D71" w:rsidRDefault="00675AD8" w:rsidP="00675AD8">
      <w:pPr>
        <w:spacing w:after="120" w:line="240" w:lineRule="auto"/>
        <w:jc w:val="left"/>
      </w:pPr>
      <w:r w:rsidRPr="00BF0D71">
        <w:t xml:space="preserve">Les participants à la consultation virtuelle ne formuleront que des propositions de conclusions en attendant que des décisions officielles soient prises à la session physique ultérieure de 2020 du Conseil. En ce qui concerne les propositions de conclusion sur des points appelant de la part du Conseil une décision urgente pour laquelle il n'est pas possible d'attendre une réunion physique, les participants à la consultation virtuelle pourraient fournir des orientations au Président du Conseil et au Secrétaire général sur la possibilité de mettre en œuvre la procédure à suivre pour prendre des décisions par correspondance, conformément à l'Article 3.2 du Règlement intérieur du Conseil. Les États Membres devraient faire savoir au secrétariat, </w:t>
      </w:r>
      <w:r w:rsidRPr="00BF0D71">
        <w:rPr>
          <w:b/>
          <w:bCs/>
        </w:rPr>
        <w:t>d'ici au 22 mai,</w:t>
      </w:r>
      <w:r w:rsidRPr="00BF0D71">
        <w:t xml:space="preserve"> s'ils souhaitent ou non qu'une question particulière soit examinée lors de la consultation virtuelle, en indiquant OUI ou NON dans la dernière colonne. Si un État Membre soumet une contribution se rapportant à l'un des sujets indiqués ci-dessous </w:t>
      </w:r>
      <w:r w:rsidRPr="00BF0D71">
        <w:rPr>
          <w:b/>
          <w:bCs/>
        </w:rPr>
        <w:t>d'ici au 29 mai</w:t>
      </w:r>
      <w:r w:rsidRPr="00BF0D71">
        <w:t>, cette contribution sera également inscrite au projet d'ordre du jour.</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024"/>
        <w:gridCol w:w="711"/>
        <w:gridCol w:w="1107"/>
        <w:gridCol w:w="1253"/>
      </w:tblGrid>
      <w:tr w:rsidR="00675AD8" w:rsidRPr="00BF0D71" w14:paraId="13E9D16F" w14:textId="77777777" w:rsidTr="00CC1389">
        <w:trPr>
          <w:cantSplit/>
          <w:trHeight w:val="709"/>
          <w:tblHeader/>
          <w:jc w:val="center"/>
        </w:trPr>
        <w:tc>
          <w:tcPr>
            <w:tcW w:w="830" w:type="dxa"/>
            <w:vMerge w:val="restart"/>
            <w:tcBorders>
              <w:top w:val="nil"/>
              <w:left w:val="nil"/>
            </w:tcBorders>
            <w:shd w:val="clear" w:color="auto" w:fill="auto"/>
          </w:tcPr>
          <w:p w14:paraId="424DFF0D" w14:textId="77777777" w:rsidR="00675AD8" w:rsidRPr="00BF0D71" w:rsidRDefault="00675AD8" w:rsidP="00CC1389">
            <w:pPr>
              <w:pStyle w:val="Tablehead"/>
              <w:rPr>
                <w:lang w:eastAsia="en-GB"/>
              </w:rPr>
            </w:pPr>
          </w:p>
        </w:tc>
        <w:tc>
          <w:tcPr>
            <w:tcW w:w="6046" w:type="dxa"/>
            <w:vMerge w:val="restart"/>
            <w:shd w:val="pct15" w:color="auto" w:fill="auto"/>
            <w:vAlign w:val="center"/>
            <w:hideMark/>
          </w:tcPr>
          <w:p w14:paraId="453E76AE" w14:textId="77777777" w:rsidR="00675AD8" w:rsidRPr="00BF0D71" w:rsidRDefault="00675AD8" w:rsidP="00CC1389">
            <w:pPr>
              <w:pStyle w:val="Tablehead"/>
              <w:rPr>
                <w:lang w:eastAsia="en-GB"/>
              </w:rPr>
            </w:pPr>
            <w:r w:rsidRPr="00BF0D71">
              <w:rPr>
                <w:lang w:eastAsia="en-GB"/>
              </w:rPr>
              <w:t>Sujet</w:t>
            </w:r>
          </w:p>
        </w:tc>
        <w:tc>
          <w:tcPr>
            <w:tcW w:w="711" w:type="dxa"/>
            <w:vMerge w:val="restart"/>
            <w:shd w:val="pct15" w:color="auto" w:fill="auto"/>
            <w:noWrap/>
            <w:vAlign w:val="center"/>
            <w:hideMark/>
          </w:tcPr>
          <w:p w14:paraId="085BCCB4" w14:textId="77777777" w:rsidR="00675AD8" w:rsidRPr="00BF0D71" w:rsidRDefault="00675AD8" w:rsidP="00CC1389">
            <w:pPr>
              <w:pStyle w:val="Tablehead"/>
              <w:rPr>
                <w:lang w:eastAsia="en-GB"/>
              </w:rPr>
            </w:pPr>
            <w:r w:rsidRPr="00BF0D71">
              <w:rPr>
                <w:lang w:eastAsia="en-GB"/>
              </w:rPr>
              <w:t>C20/#</w:t>
            </w:r>
          </w:p>
        </w:tc>
        <w:tc>
          <w:tcPr>
            <w:tcW w:w="1083" w:type="dxa"/>
            <w:vMerge w:val="restart"/>
            <w:shd w:val="pct15" w:color="auto" w:fill="auto"/>
            <w:vAlign w:val="center"/>
          </w:tcPr>
          <w:p w14:paraId="44C8C08D" w14:textId="77777777" w:rsidR="00675AD8" w:rsidRPr="00BF0D71" w:rsidRDefault="00675AD8" w:rsidP="00CC1389">
            <w:pPr>
              <w:pStyle w:val="Tablehead"/>
              <w:rPr>
                <w:sz w:val="18"/>
                <w:szCs w:val="18"/>
                <w:lang w:eastAsia="en-GB"/>
              </w:rPr>
            </w:pPr>
            <w:r w:rsidRPr="00BF0D71">
              <w:rPr>
                <w:szCs w:val="20"/>
                <w:lang w:eastAsia="en-GB"/>
              </w:rPr>
              <w:t>Contient</w:t>
            </w:r>
            <w:r w:rsidRPr="00BF0D71">
              <w:rPr>
                <w:szCs w:val="20"/>
                <w:lang w:eastAsia="en-GB"/>
              </w:rPr>
              <w:br/>
              <w:t>une Décision ou une</w:t>
            </w:r>
            <w:r w:rsidRPr="00BF0D71">
              <w:rPr>
                <w:szCs w:val="20"/>
                <w:lang w:eastAsia="en-GB"/>
              </w:rPr>
              <w:br/>
              <w:t>Résolution</w:t>
            </w:r>
          </w:p>
        </w:tc>
        <w:tc>
          <w:tcPr>
            <w:tcW w:w="1253" w:type="dxa"/>
            <w:shd w:val="pct15" w:color="auto" w:fill="auto"/>
            <w:vAlign w:val="center"/>
          </w:tcPr>
          <w:p w14:paraId="648FACAC" w14:textId="77777777" w:rsidR="00675AD8" w:rsidRPr="00BF0D71" w:rsidRDefault="00675AD8" w:rsidP="00CC1389">
            <w:pPr>
              <w:pStyle w:val="Tablehead"/>
              <w:rPr>
                <w:lang w:eastAsia="en-GB"/>
              </w:rPr>
            </w:pPr>
            <w:r w:rsidRPr="00BF0D71">
              <w:rPr>
                <w:lang w:eastAsia="en-GB"/>
              </w:rPr>
              <w:t>À l'ordre du jour de la consultation virtuelle</w:t>
            </w:r>
          </w:p>
          <w:p w14:paraId="76E03F50" w14:textId="77777777" w:rsidR="00675AD8" w:rsidRPr="00BF0D71" w:rsidRDefault="00675AD8" w:rsidP="00CC1389">
            <w:pPr>
              <w:pStyle w:val="Tablehead"/>
              <w:rPr>
                <w:lang w:eastAsia="en-GB"/>
              </w:rPr>
            </w:pPr>
            <w:r w:rsidRPr="00BF0D71">
              <w:rPr>
                <w:lang w:eastAsia="en-GB"/>
              </w:rPr>
              <w:t>Oui/Non</w:t>
            </w:r>
          </w:p>
        </w:tc>
      </w:tr>
      <w:tr w:rsidR="00675AD8" w:rsidRPr="00BF0D71" w14:paraId="5BD53D19" w14:textId="77777777" w:rsidTr="00CC1389">
        <w:trPr>
          <w:cantSplit/>
          <w:trHeight w:val="709"/>
          <w:tblHeader/>
          <w:jc w:val="center"/>
        </w:trPr>
        <w:tc>
          <w:tcPr>
            <w:tcW w:w="830" w:type="dxa"/>
            <w:vMerge/>
            <w:tcBorders>
              <w:left w:val="nil"/>
            </w:tcBorders>
            <w:shd w:val="clear" w:color="auto" w:fill="auto"/>
          </w:tcPr>
          <w:p w14:paraId="0C143C0F" w14:textId="77777777" w:rsidR="00675AD8" w:rsidRPr="00BF0D71" w:rsidRDefault="00675AD8" w:rsidP="00CC1389">
            <w:pPr>
              <w:spacing w:before="60" w:after="60" w:line="240" w:lineRule="auto"/>
              <w:jc w:val="center"/>
              <w:rPr>
                <w:rFonts w:cstheme="minorHAnsi"/>
                <w:b/>
                <w:bCs/>
                <w:color w:val="000000"/>
                <w:sz w:val="20"/>
                <w:szCs w:val="20"/>
                <w:lang w:eastAsia="en-GB"/>
              </w:rPr>
            </w:pPr>
          </w:p>
        </w:tc>
        <w:tc>
          <w:tcPr>
            <w:tcW w:w="6046" w:type="dxa"/>
            <w:vMerge/>
            <w:shd w:val="pct15" w:color="auto" w:fill="auto"/>
            <w:vAlign w:val="center"/>
          </w:tcPr>
          <w:p w14:paraId="7F50CFC8" w14:textId="77777777" w:rsidR="00675AD8" w:rsidRPr="00BF0D71" w:rsidRDefault="00675AD8" w:rsidP="00CC1389">
            <w:pPr>
              <w:pStyle w:val="Tablehead"/>
              <w:rPr>
                <w:lang w:eastAsia="en-GB"/>
              </w:rPr>
            </w:pPr>
          </w:p>
        </w:tc>
        <w:tc>
          <w:tcPr>
            <w:tcW w:w="711" w:type="dxa"/>
            <w:vMerge/>
            <w:shd w:val="pct15" w:color="auto" w:fill="auto"/>
            <w:noWrap/>
            <w:vAlign w:val="center"/>
          </w:tcPr>
          <w:p w14:paraId="5A401EAB" w14:textId="77777777" w:rsidR="00675AD8" w:rsidRPr="00BF0D71" w:rsidRDefault="00675AD8" w:rsidP="00CC1389">
            <w:pPr>
              <w:pStyle w:val="Tablehead"/>
              <w:rPr>
                <w:lang w:eastAsia="en-GB"/>
              </w:rPr>
            </w:pPr>
          </w:p>
        </w:tc>
        <w:tc>
          <w:tcPr>
            <w:tcW w:w="1083" w:type="dxa"/>
            <w:vMerge/>
            <w:shd w:val="pct15" w:color="auto" w:fill="auto"/>
            <w:vAlign w:val="center"/>
          </w:tcPr>
          <w:p w14:paraId="68E57F6E" w14:textId="77777777" w:rsidR="00675AD8" w:rsidRPr="00BF0D71" w:rsidRDefault="00675AD8" w:rsidP="00CC1389">
            <w:pPr>
              <w:pStyle w:val="Tablehead"/>
              <w:rPr>
                <w:sz w:val="18"/>
                <w:szCs w:val="18"/>
                <w:lang w:eastAsia="en-GB"/>
              </w:rPr>
            </w:pPr>
          </w:p>
        </w:tc>
        <w:tc>
          <w:tcPr>
            <w:tcW w:w="1253" w:type="dxa"/>
            <w:shd w:val="pct15" w:color="auto" w:fill="auto"/>
            <w:vAlign w:val="center"/>
          </w:tcPr>
          <w:p w14:paraId="47567BB9" w14:textId="77777777" w:rsidR="00675AD8" w:rsidRPr="00BF0D71" w:rsidRDefault="00675AD8" w:rsidP="00CC1389">
            <w:pPr>
              <w:pStyle w:val="Tablehead"/>
              <w:rPr>
                <w:lang w:eastAsia="en-GB"/>
              </w:rPr>
            </w:pPr>
            <w:r w:rsidRPr="00BF0D71">
              <w:rPr>
                <w:lang w:eastAsia="en-GB"/>
              </w:rPr>
              <w:t>Proposition de l'État Membre du Conseil</w:t>
            </w:r>
          </w:p>
        </w:tc>
      </w:tr>
      <w:tr w:rsidR="00675AD8" w:rsidRPr="00BF0D71" w14:paraId="6ABF8501" w14:textId="77777777" w:rsidTr="00CC1389">
        <w:trPr>
          <w:cantSplit/>
          <w:jc w:val="center"/>
        </w:trPr>
        <w:tc>
          <w:tcPr>
            <w:tcW w:w="830" w:type="dxa"/>
            <w:vAlign w:val="center"/>
          </w:tcPr>
          <w:p w14:paraId="1E95E092" w14:textId="77777777" w:rsidR="00675AD8" w:rsidRPr="00BF0D71" w:rsidRDefault="00675AD8" w:rsidP="00CC1389">
            <w:pPr>
              <w:pStyle w:val="Tabletext"/>
              <w:jc w:val="center"/>
              <w:rPr>
                <w:b/>
                <w:bCs/>
                <w:lang w:eastAsia="en-GB"/>
              </w:rPr>
            </w:pPr>
            <w:r w:rsidRPr="00BF0D71">
              <w:rPr>
                <w:b/>
                <w:bCs/>
                <w:lang w:eastAsia="en-GB"/>
              </w:rPr>
              <w:t>1</w:t>
            </w:r>
          </w:p>
        </w:tc>
        <w:tc>
          <w:tcPr>
            <w:tcW w:w="6046" w:type="dxa"/>
            <w:shd w:val="clear" w:color="auto" w:fill="auto"/>
            <w:vAlign w:val="center"/>
            <w:hideMark/>
          </w:tcPr>
          <w:p w14:paraId="76D4F782" w14:textId="77777777" w:rsidR="00675AD8" w:rsidRPr="00BF0D71" w:rsidRDefault="00675AD8" w:rsidP="00CC1389">
            <w:pPr>
              <w:pStyle w:val="Tabletext"/>
              <w:rPr>
                <w:lang w:eastAsia="en-GB"/>
              </w:rPr>
            </w:pPr>
            <w:r w:rsidRPr="00BF0D71">
              <w:rPr>
                <w:lang w:eastAsia="en-GB"/>
              </w:rPr>
              <w:t>Liste des candidats aux fonctions de Président et Vice-Président des GTC, GE et GEI</w:t>
            </w:r>
          </w:p>
        </w:tc>
        <w:tc>
          <w:tcPr>
            <w:tcW w:w="711" w:type="dxa"/>
            <w:shd w:val="clear" w:color="auto" w:fill="auto"/>
            <w:noWrap/>
            <w:vAlign w:val="center"/>
            <w:hideMark/>
          </w:tcPr>
          <w:p w14:paraId="63283873" w14:textId="77777777" w:rsidR="00675AD8" w:rsidRPr="00BF0D71" w:rsidRDefault="00675AD8" w:rsidP="00CC1389">
            <w:pPr>
              <w:pStyle w:val="Tabletext"/>
              <w:jc w:val="center"/>
              <w:rPr>
                <w:lang w:eastAsia="en-GB"/>
              </w:rPr>
            </w:pPr>
            <w:r w:rsidRPr="00BF0D71">
              <w:rPr>
                <w:lang w:eastAsia="en-GB"/>
              </w:rPr>
              <w:t>21</w:t>
            </w:r>
          </w:p>
        </w:tc>
        <w:tc>
          <w:tcPr>
            <w:tcW w:w="1083" w:type="dxa"/>
            <w:shd w:val="clear" w:color="auto" w:fill="auto"/>
            <w:vAlign w:val="center"/>
          </w:tcPr>
          <w:p w14:paraId="190A884B" w14:textId="77777777" w:rsidR="00675AD8" w:rsidRPr="00BF0D71" w:rsidRDefault="00675AD8" w:rsidP="00CC1389">
            <w:pPr>
              <w:pStyle w:val="Tabletext"/>
              <w:jc w:val="center"/>
              <w:rPr>
                <w:lang w:eastAsia="en-GB"/>
              </w:rPr>
            </w:pPr>
            <w:r w:rsidRPr="00BF0D71">
              <w:rPr>
                <w:lang w:eastAsia="en-GB"/>
              </w:rPr>
              <w:t>Non</w:t>
            </w:r>
          </w:p>
        </w:tc>
        <w:tc>
          <w:tcPr>
            <w:tcW w:w="1253" w:type="dxa"/>
            <w:shd w:val="clear" w:color="auto" w:fill="auto"/>
            <w:vAlign w:val="center"/>
          </w:tcPr>
          <w:p w14:paraId="441B6A08" w14:textId="77777777" w:rsidR="00675AD8" w:rsidRPr="00BF0D71" w:rsidRDefault="00675AD8" w:rsidP="00CC1389">
            <w:pPr>
              <w:pStyle w:val="Tabletext"/>
              <w:rPr>
                <w:lang w:eastAsia="en-GB"/>
              </w:rPr>
            </w:pPr>
          </w:p>
        </w:tc>
      </w:tr>
      <w:tr w:rsidR="00675AD8" w:rsidRPr="00BF0D71" w14:paraId="1934ABD3" w14:textId="77777777" w:rsidTr="00CC1389">
        <w:trPr>
          <w:cantSplit/>
          <w:jc w:val="center"/>
        </w:trPr>
        <w:tc>
          <w:tcPr>
            <w:tcW w:w="830" w:type="dxa"/>
            <w:vAlign w:val="center"/>
          </w:tcPr>
          <w:p w14:paraId="505E57DF" w14:textId="77777777" w:rsidR="00675AD8" w:rsidRPr="00BF0D71" w:rsidRDefault="00675AD8" w:rsidP="00CC1389">
            <w:pPr>
              <w:pStyle w:val="Tabletext"/>
              <w:jc w:val="center"/>
              <w:rPr>
                <w:b/>
                <w:bCs/>
                <w:lang w:eastAsia="en-GB"/>
              </w:rPr>
            </w:pPr>
            <w:r w:rsidRPr="00BF0D71">
              <w:rPr>
                <w:b/>
                <w:bCs/>
                <w:lang w:eastAsia="en-GB"/>
              </w:rPr>
              <w:t>2</w:t>
            </w:r>
          </w:p>
        </w:tc>
        <w:tc>
          <w:tcPr>
            <w:tcW w:w="6046" w:type="dxa"/>
            <w:shd w:val="clear" w:color="auto" w:fill="auto"/>
            <w:vAlign w:val="center"/>
            <w:hideMark/>
          </w:tcPr>
          <w:p w14:paraId="4E5DDE0D" w14:textId="77777777" w:rsidR="00675AD8" w:rsidRPr="00BF0D71" w:rsidRDefault="00675AD8" w:rsidP="00CC1389">
            <w:pPr>
              <w:pStyle w:val="Tabletext"/>
              <w:rPr>
                <w:lang w:eastAsia="en-GB"/>
              </w:rPr>
            </w:pPr>
            <w:r w:rsidRPr="00BF0D71">
              <w:rPr>
                <w:lang w:eastAsia="en-GB"/>
              </w:rPr>
              <w:t>Journée mondiale des télécommunications et de la société de l'information (</w:t>
            </w:r>
            <w:r w:rsidRPr="00BF0D71">
              <w:rPr>
                <w:i/>
                <w:iCs/>
                <w:lang w:eastAsia="en-GB"/>
              </w:rPr>
              <w:t>Résolution 68 de la PP</w:t>
            </w:r>
            <w:r w:rsidRPr="00BF0D71">
              <w:rPr>
                <w:lang w:eastAsia="en-GB"/>
              </w:rPr>
              <w:t>)</w:t>
            </w:r>
          </w:p>
        </w:tc>
        <w:tc>
          <w:tcPr>
            <w:tcW w:w="711" w:type="dxa"/>
            <w:shd w:val="clear" w:color="auto" w:fill="auto"/>
            <w:noWrap/>
            <w:vAlign w:val="center"/>
            <w:hideMark/>
          </w:tcPr>
          <w:p w14:paraId="021C82FA" w14:textId="77777777" w:rsidR="00675AD8" w:rsidRPr="00BF0D71" w:rsidRDefault="00675AD8" w:rsidP="00CC1389">
            <w:pPr>
              <w:pStyle w:val="Tabletext"/>
              <w:jc w:val="center"/>
              <w:rPr>
                <w:lang w:eastAsia="en-GB"/>
              </w:rPr>
            </w:pPr>
            <w:r w:rsidRPr="00BF0D71">
              <w:rPr>
                <w:lang w:eastAsia="en-GB"/>
              </w:rPr>
              <w:t>17</w:t>
            </w:r>
          </w:p>
        </w:tc>
        <w:tc>
          <w:tcPr>
            <w:tcW w:w="1083" w:type="dxa"/>
            <w:shd w:val="clear" w:color="auto" w:fill="auto"/>
            <w:vAlign w:val="center"/>
          </w:tcPr>
          <w:p w14:paraId="1AD953AA" w14:textId="77777777" w:rsidR="00675AD8" w:rsidRPr="00BF0D71" w:rsidRDefault="00675AD8" w:rsidP="00CC1389">
            <w:pPr>
              <w:pStyle w:val="Tabletext"/>
              <w:jc w:val="center"/>
              <w:rPr>
                <w:lang w:eastAsia="en-GB"/>
              </w:rPr>
            </w:pPr>
            <w:r w:rsidRPr="00BF0D71">
              <w:rPr>
                <w:lang w:eastAsia="en-GB"/>
              </w:rPr>
              <w:t>Non</w:t>
            </w:r>
          </w:p>
        </w:tc>
        <w:tc>
          <w:tcPr>
            <w:tcW w:w="1253" w:type="dxa"/>
            <w:shd w:val="clear" w:color="auto" w:fill="auto"/>
            <w:vAlign w:val="center"/>
          </w:tcPr>
          <w:p w14:paraId="1E6B65FF" w14:textId="77777777" w:rsidR="00675AD8" w:rsidRPr="00BF0D71" w:rsidRDefault="00675AD8" w:rsidP="00CC1389">
            <w:pPr>
              <w:pStyle w:val="Tabletext"/>
              <w:rPr>
                <w:lang w:eastAsia="en-GB"/>
              </w:rPr>
            </w:pPr>
          </w:p>
        </w:tc>
      </w:tr>
      <w:tr w:rsidR="00675AD8" w:rsidRPr="00BF0D71" w14:paraId="49223786" w14:textId="77777777" w:rsidTr="00CC1389">
        <w:trPr>
          <w:cantSplit/>
          <w:jc w:val="center"/>
        </w:trPr>
        <w:tc>
          <w:tcPr>
            <w:tcW w:w="830" w:type="dxa"/>
            <w:vAlign w:val="center"/>
          </w:tcPr>
          <w:p w14:paraId="14B07C5F" w14:textId="77777777" w:rsidR="00675AD8" w:rsidRPr="00BF0D71" w:rsidRDefault="00675AD8" w:rsidP="00CC1389">
            <w:pPr>
              <w:pStyle w:val="Tabletext"/>
              <w:jc w:val="center"/>
              <w:rPr>
                <w:b/>
                <w:bCs/>
                <w:lang w:eastAsia="en-GB"/>
              </w:rPr>
            </w:pPr>
            <w:r w:rsidRPr="00BF0D71">
              <w:rPr>
                <w:b/>
                <w:bCs/>
                <w:lang w:eastAsia="en-GB"/>
              </w:rPr>
              <w:t>3</w:t>
            </w:r>
          </w:p>
        </w:tc>
        <w:tc>
          <w:tcPr>
            <w:tcW w:w="6046" w:type="dxa"/>
            <w:shd w:val="clear" w:color="auto" w:fill="auto"/>
            <w:vAlign w:val="center"/>
            <w:hideMark/>
          </w:tcPr>
          <w:p w14:paraId="519FFD43" w14:textId="77777777" w:rsidR="00675AD8" w:rsidRPr="00BF0D71" w:rsidRDefault="00675AD8" w:rsidP="00CC1389">
            <w:pPr>
              <w:pStyle w:val="Tabletext"/>
              <w:rPr>
                <w:lang w:eastAsia="en-GB"/>
              </w:rPr>
            </w:pPr>
            <w:r w:rsidRPr="00BF0D71">
              <w:rPr>
                <w:lang w:eastAsia="en-GB"/>
              </w:rPr>
              <w:t>Dates et durée proposées pour les sessions de 2021, 2022, 2023, 2024, 2025 et 2026 du Conseil de l'UIT et les séries de réunions des Groupes de travail du Conseil en 2020 et 2021 (</w:t>
            </w:r>
            <w:r w:rsidRPr="00BF0D71">
              <w:rPr>
                <w:i/>
                <w:iCs/>
                <w:lang w:eastAsia="en-GB"/>
              </w:rPr>
              <w:t>Résolutions 77 et 111 de la PP et Décision 612 du Conseil</w:t>
            </w:r>
            <w:r w:rsidRPr="00BF0D71">
              <w:rPr>
                <w:lang w:eastAsia="en-GB"/>
              </w:rPr>
              <w:t>) (</w:t>
            </w:r>
            <w:r w:rsidRPr="00BF0D71">
              <w:rPr>
                <w:i/>
                <w:iCs/>
                <w:lang w:eastAsia="en-GB"/>
              </w:rPr>
              <w:t>référence Doc. 37</w:t>
            </w:r>
            <w:r w:rsidRPr="00BF0D71">
              <w:rPr>
                <w:lang w:eastAsia="en-GB"/>
              </w:rPr>
              <w:t>)</w:t>
            </w:r>
          </w:p>
        </w:tc>
        <w:tc>
          <w:tcPr>
            <w:tcW w:w="711" w:type="dxa"/>
            <w:shd w:val="clear" w:color="auto" w:fill="auto"/>
            <w:noWrap/>
            <w:vAlign w:val="center"/>
            <w:hideMark/>
          </w:tcPr>
          <w:p w14:paraId="01C3C863" w14:textId="77777777" w:rsidR="00675AD8" w:rsidRPr="00BF0D71" w:rsidRDefault="00675AD8" w:rsidP="00CC1389">
            <w:pPr>
              <w:pStyle w:val="Tabletext"/>
              <w:jc w:val="center"/>
              <w:rPr>
                <w:lang w:eastAsia="en-GB"/>
              </w:rPr>
            </w:pPr>
            <w:r w:rsidRPr="00BF0D71">
              <w:rPr>
                <w:lang w:eastAsia="en-GB"/>
              </w:rPr>
              <w:t>2</w:t>
            </w:r>
          </w:p>
        </w:tc>
        <w:tc>
          <w:tcPr>
            <w:tcW w:w="1083" w:type="dxa"/>
            <w:shd w:val="clear" w:color="auto" w:fill="auto"/>
            <w:vAlign w:val="center"/>
          </w:tcPr>
          <w:p w14:paraId="4EEB37A9" w14:textId="77777777" w:rsidR="00675AD8" w:rsidRPr="00BF0D71" w:rsidRDefault="00675AD8" w:rsidP="00CC1389">
            <w:pPr>
              <w:pStyle w:val="Tabletext"/>
              <w:jc w:val="center"/>
              <w:rPr>
                <w:lang w:eastAsia="en-GB"/>
              </w:rPr>
            </w:pPr>
            <w:r w:rsidRPr="00BF0D71">
              <w:rPr>
                <w:lang w:eastAsia="en-GB"/>
              </w:rPr>
              <w:t>Décision</w:t>
            </w:r>
          </w:p>
        </w:tc>
        <w:tc>
          <w:tcPr>
            <w:tcW w:w="1253" w:type="dxa"/>
            <w:shd w:val="clear" w:color="auto" w:fill="auto"/>
            <w:vAlign w:val="center"/>
          </w:tcPr>
          <w:p w14:paraId="30C322FE" w14:textId="77777777" w:rsidR="00675AD8" w:rsidRPr="00BF0D71" w:rsidRDefault="00675AD8" w:rsidP="00CC1389">
            <w:pPr>
              <w:pStyle w:val="Tabletext"/>
              <w:rPr>
                <w:lang w:eastAsia="en-GB"/>
              </w:rPr>
            </w:pPr>
          </w:p>
        </w:tc>
      </w:tr>
      <w:tr w:rsidR="00675AD8" w:rsidRPr="00BF0D71" w14:paraId="60F62521" w14:textId="77777777" w:rsidTr="00CC1389">
        <w:trPr>
          <w:cantSplit/>
          <w:jc w:val="center"/>
        </w:trPr>
        <w:tc>
          <w:tcPr>
            <w:tcW w:w="830" w:type="dxa"/>
            <w:vAlign w:val="center"/>
          </w:tcPr>
          <w:p w14:paraId="40B8F3EF" w14:textId="77777777" w:rsidR="00675AD8" w:rsidRPr="00BF0D71" w:rsidRDefault="00675AD8" w:rsidP="00CC1389">
            <w:pPr>
              <w:pStyle w:val="Tabletext"/>
              <w:jc w:val="center"/>
              <w:rPr>
                <w:b/>
                <w:bCs/>
                <w:lang w:eastAsia="en-GB"/>
              </w:rPr>
            </w:pPr>
            <w:r w:rsidRPr="00BF0D71">
              <w:rPr>
                <w:b/>
                <w:bCs/>
                <w:lang w:eastAsia="en-GB"/>
              </w:rPr>
              <w:t>4</w:t>
            </w:r>
          </w:p>
        </w:tc>
        <w:tc>
          <w:tcPr>
            <w:tcW w:w="6046" w:type="dxa"/>
            <w:shd w:val="clear" w:color="auto" w:fill="auto"/>
            <w:vAlign w:val="center"/>
            <w:hideMark/>
          </w:tcPr>
          <w:p w14:paraId="1272F304" w14:textId="77777777" w:rsidR="00675AD8" w:rsidRPr="00BF0D71" w:rsidRDefault="00675AD8" w:rsidP="00CC1389">
            <w:pPr>
              <w:pStyle w:val="Tabletext"/>
              <w:rPr>
                <w:lang w:eastAsia="en-GB"/>
              </w:rPr>
            </w:pPr>
            <w:r w:rsidRPr="00BF0D71">
              <w:rPr>
                <w:lang w:eastAsia="en-GB"/>
              </w:rPr>
              <w:t xml:space="preserve">Travaux préparatoires en vue de l'AMNT-20 </w:t>
            </w:r>
          </w:p>
        </w:tc>
        <w:tc>
          <w:tcPr>
            <w:tcW w:w="711" w:type="dxa"/>
            <w:shd w:val="clear" w:color="auto" w:fill="auto"/>
            <w:noWrap/>
            <w:vAlign w:val="center"/>
            <w:hideMark/>
          </w:tcPr>
          <w:p w14:paraId="5EE1961A" w14:textId="77777777" w:rsidR="00675AD8" w:rsidRPr="00BF0D71" w:rsidRDefault="00675AD8" w:rsidP="00CC1389">
            <w:pPr>
              <w:pStyle w:val="Tabletext"/>
              <w:jc w:val="center"/>
              <w:rPr>
                <w:lang w:eastAsia="en-GB"/>
              </w:rPr>
            </w:pPr>
            <w:r w:rsidRPr="00BF0D71">
              <w:rPr>
                <w:lang w:eastAsia="en-GB"/>
              </w:rPr>
              <w:t>24</w:t>
            </w:r>
          </w:p>
        </w:tc>
        <w:tc>
          <w:tcPr>
            <w:tcW w:w="1083" w:type="dxa"/>
            <w:shd w:val="clear" w:color="auto" w:fill="auto"/>
            <w:vAlign w:val="center"/>
          </w:tcPr>
          <w:p w14:paraId="0F483F63" w14:textId="77777777" w:rsidR="00675AD8" w:rsidRPr="00BF0D71" w:rsidRDefault="00675AD8" w:rsidP="00CC1389">
            <w:pPr>
              <w:pStyle w:val="Tabletext"/>
              <w:jc w:val="center"/>
              <w:rPr>
                <w:lang w:eastAsia="en-GB"/>
              </w:rPr>
            </w:pPr>
            <w:r w:rsidRPr="00BF0D71">
              <w:rPr>
                <w:lang w:eastAsia="en-GB"/>
              </w:rPr>
              <w:t>Non</w:t>
            </w:r>
          </w:p>
        </w:tc>
        <w:tc>
          <w:tcPr>
            <w:tcW w:w="1253" w:type="dxa"/>
            <w:shd w:val="clear" w:color="auto" w:fill="auto"/>
            <w:vAlign w:val="center"/>
          </w:tcPr>
          <w:p w14:paraId="61B46792" w14:textId="77777777" w:rsidR="00675AD8" w:rsidRPr="00BF0D71" w:rsidRDefault="00675AD8" w:rsidP="00CC1389">
            <w:pPr>
              <w:pStyle w:val="Tabletext"/>
              <w:rPr>
                <w:lang w:eastAsia="en-GB"/>
              </w:rPr>
            </w:pPr>
          </w:p>
        </w:tc>
      </w:tr>
      <w:tr w:rsidR="00675AD8" w:rsidRPr="00BF0D71" w14:paraId="4DB909AC" w14:textId="77777777" w:rsidTr="00CC1389">
        <w:trPr>
          <w:cantSplit/>
          <w:jc w:val="center"/>
        </w:trPr>
        <w:tc>
          <w:tcPr>
            <w:tcW w:w="830" w:type="dxa"/>
            <w:vAlign w:val="center"/>
          </w:tcPr>
          <w:p w14:paraId="5DFB3BB4" w14:textId="77777777" w:rsidR="00675AD8" w:rsidRPr="00BF0D71" w:rsidRDefault="00675AD8" w:rsidP="00CC1389">
            <w:pPr>
              <w:pStyle w:val="Tabletext"/>
              <w:jc w:val="center"/>
              <w:rPr>
                <w:b/>
                <w:bCs/>
                <w:lang w:eastAsia="en-GB"/>
              </w:rPr>
            </w:pPr>
            <w:r w:rsidRPr="00BF0D71">
              <w:rPr>
                <w:b/>
                <w:bCs/>
                <w:lang w:eastAsia="en-GB"/>
              </w:rPr>
              <w:t>5</w:t>
            </w:r>
          </w:p>
        </w:tc>
        <w:tc>
          <w:tcPr>
            <w:tcW w:w="6046" w:type="dxa"/>
            <w:shd w:val="clear" w:color="auto" w:fill="auto"/>
            <w:vAlign w:val="center"/>
            <w:hideMark/>
          </w:tcPr>
          <w:p w14:paraId="0A2E44A2" w14:textId="77777777" w:rsidR="00675AD8" w:rsidRPr="00BF0D71" w:rsidRDefault="00675AD8" w:rsidP="00CC1389">
            <w:pPr>
              <w:pStyle w:val="Tabletext"/>
              <w:rPr>
                <w:lang w:eastAsia="en-GB"/>
              </w:rPr>
            </w:pPr>
            <w:r w:rsidRPr="00BF0D71">
              <w:rPr>
                <w:bCs/>
                <w:lang w:eastAsia="en-GB"/>
              </w:rPr>
              <w:t>Conférence mondiale des radiocommunications de 2023</w:t>
            </w:r>
          </w:p>
        </w:tc>
        <w:tc>
          <w:tcPr>
            <w:tcW w:w="711" w:type="dxa"/>
            <w:shd w:val="clear" w:color="auto" w:fill="auto"/>
            <w:noWrap/>
            <w:vAlign w:val="center"/>
            <w:hideMark/>
          </w:tcPr>
          <w:p w14:paraId="2C0B9EF8" w14:textId="77777777" w:rsidR="00675AD8" w:rsidRPr="00BF0D71" w:rsidRDefault="00675AD8" w:rsidP="00CC1389">
            <w:pPr>
              <w:pStyle w:val="Tabletext"/>
              <w:jc w:val="center"/>
              <w:rPr>
                <w:lang w:eastAsia="en-GB"/>
              </w:rPr>
            </w:pPr>
            <w:r w:rsidRPr="00BF0D71">
              <w:rPr>
                <w:lang w:eastAsia="en-GB"/>
              </w:rPr>
              <w:t>55</w:t>
            </w:r>
          </w:p>
        </w:tc>
        <w:tc>
          <w:tcPr>
            <w:tcW w:w="1083" w:type="dxa"/>
            <w:shd w:val="clear" w:color="auto" w:fill="auto"/>
            <w:vAlign w:val="center"/>
          </w:tcPr>
          <w:p w14:paraId="54DE58B3" w14:textId="77777777" w:rsidR="00675AD8" w:rsidRPr="00BF0D71" w:rsidRDefault="00675AD8" w:rsidP="00CC1389">
            <w:pPr>
              <w:pStyle w:val="Tabletext"/>
              <w:jc w:val="center"/>
              <w:rPr>
                <w:lang w:eastAsia="en-GB"/>
              </w:rPr>
            </w:pPr>
            <w:r w:rsidRPr="00BF0D71">
              <w:rPr>
                <w:lang w:eastAsia="en-GB"/>
              </w:rPr>
              <w:t>Résolution</w:t>
            </w:r>
          </w:p>
        </w:tc>
        <w:tc>
          <w:tcPr>
            <w:tcW w:w="1253" w:type="dxa"/>
            <w:shd w:val="clear" w:color="auto" w:fill="auto"/>
            <w:vAlign w:val="center"/>
          </w:tcPr>
          <w:p w14:paraId="70FDA53D" w14:textId="77777777" w:rsidR="00675AD8" w:rsidRPr="00BF0D71" w:rsidRDefault="00675AD8" w:rsidP="00CC1389">
            <w:pPr>
              <w:pStyle w:val="Tabletext"/>
              <w:rPr>
                <w:lang w:eastAsia="en-GB"/>
              </w:rPr>
            </w:pPr>
          </w:p>
        </w:tc>
      </w:tr>
      <w:tr w:rsidR="00675AD8" w:rsidRPr="00BF0D71" w14:paraId="2153D924" w14:textId="77777777" w:rsidTr="00CC1389">
        <w:trPr>
          <w:cantSplit/>
          <w:jc w:val="center"/>
        </w:trPr>
        <w:tc>
          <w:tcPr>
            <w:tcW w:w="830" w:type="dxa"/>
            <w:vAlign w:val="center"/>
          </w:tcPr>
          <w:p w14:paraId="4EB4F6B5" w14:textId="77777777" w:rsidR="00675AD8" w:rsidRPr="00BF0D71" w:rsidRDefault="00675AD8" w:rsidP="00CC1389">
            <w:pPr>
              <w:pStyle w:val="Tabletext"/>
              <w:jc w:val="center"/>
              <w:rPr>
                <w:b/>
                <w:bCs/>
                <w:lang w:eastAsia="en-GB"/>
              </w:rPr>
            </w:pPr>
            <w:r w:rsidRPr="00BF0D71">
              <w:rPr>
                <w:b/>
                <w:bCs/>
                <w:lang w:eastAsia="en-GB"/>
              </w:rPr>
              <w:t>6</w:t>
            </w:r>
          </w:p>
        </w:tc>
        <w:tc>
          <w:tcPr>
            <w:tcW w:w="6046" w:type="dxa"/>
            <w:shd w:val="clear" w:color="auto" w:fill="auto"/>
            <w:vAlign w:val="center"/>
            <w:hideMark/>
          </w:tcPr>
          <w:p w14:paraId="0F6954D3" w14:textId="77777777" w:rsidR="00675AD8" w:rsidRPr="00BF0D71" w:rsidRDefault="00675AD8" w:rsidP="00CC1389">
            <w:pPr>
              <w:pStyle w:val="Tabletext"/>
              <w:rPr>
                <w:i/>
                <w:iCs/>
                <w:lang w:eastAsia="en-GB"/>
              </w:rPr>
            </w:pPr>
            <w:r w:rsidRPr="00BF0D71">
              <w:rPr>
                <w:lang w:eastAsia="en-GB"/>
              </w:rPr>
              <w:t>Recouvrement des coûts pour le traitement des fiches de notification des réseaux à satellite (</w:t>
            </w:r>
            <w:r w:rsidRPr="00BF0D71">
              <w:rPr>
                <w:i/>
                <w:iCs/>
                <w:lang w:eastAsia="en-GB"/>
              </w:rPr>
              <w:t>Décision 482 (MOD) du Conseil</w:t>
            </w:r>
            <w:r w:rsidRPr="00BF0D71">
              <w:rPr>
                <w:lang w:eastAsia="en-GB"/>
              </w:rPr>
              <w:t>)</w:t>
            </w:r>
          </w:p>
        </w:tc>
        <w:tc>
          <w:tcPr>
            <w:tcW w:w="711" w:type="dxa"/>
            <w:shd w:val="clear" w:color="auto" w:fill="auto"/>
            <w:vAlign w:val="center"/>
            <w:hideMark/>
          </w:tcPr>
          <w:p w14:paraId="56E7D8AD" w14:textId="77777777" w:rsidR="00675AD8" w:rsidRPr="00BF0D71" w:rsidRDefault="00675AD8" w:rsidP="00CC1389">
            <w:pPr>
              <w:pStyle w:val="Tabletext"/>
              <w:jc w:val="center"/>
              <w:rPr>
                <w:lang w:eastAsia="en-GB"/>
              </w:rPr>
            </w:pPr>
            <w:r w:rsidRPr="00BF0D71">
              <w:rPr>
                <w:lang w:eastAsia="en-GB"/>
              </w:rPr>
              <w:t>16</w:t>
            </w:r>
          </w:p>
        </w:tc>
        <w:tc>
          <w:tcPr>
            <w:tcW w:w="1083" w:type="dxa"/>
            <w:shd w:val="clear" w:color="auto" w:fill="auto"/>
            <w:vAlign w:val="center"/>
          </w:tcPr>
          <w:p w14:paraId="17703D44" w14:textId="77777777" w:rsidR="00675AD8" w:rsidRPr="00BF0D71" w:rsidRDefault="00675AD8" w:rsidP="00CC1389">
            <w:pPr>
              <w:pStyle w:val="Tabletext"/>
              <w:jc w:val="center"/>
              <w:rPr>
                <w:lang w:eastAsia="en-GB"/>
              </w:rPr>
            </w:pPr>
            <w:r w:rsidRPr="00BF0D71">
              <w:rPr>
                <w:lang w:eastAsia="en-GB"/>
              </w:rPr>
              <w:t>Décision</w:t>
            </w:r>
          </w:p>
        </w:tc>
        <w:tc>
          <w:tcPr>
            <w:tcW w:w="1253" w:type="dxa"/>
            <w:shd w:val="clear" w:color="auto" w:fill="auto"/>
            <w:vAlign w:val="center"/>
          </w:tcPr>
          <w:p w14:paraId="47EB1A11" w14:textId="77777777" w:rsidR="00675AD8" w:rsidRPr="00BF0D71" w:rsidRDefault="00675AD8" w:rsidP="00CC1389">
            <w:pPr>
              <w:pStyle w:val="Tabletext"/>
              <w:rPr>
                <w:lang w:eastAsia="en-GB"/>
              </w:rPr>
            </w:pPr>
          </w:p>
        </w:tc>
      </w:tr>
      <w:tr w:rsidR="00675AD8" w:rsidRPr="00BF0D71" w14:paraId="2CD1A2F4" w14:textId="77777777" w:rsidTr="00CC1389">
        <w:trPr>
          <w:cantSplit/>
          <w:jc w:val="center"/>
        </w:trPr>
        <w:tc>
          <w:tcPr>
            <w:tcW w:w="830" w:type="dxa"/>
            <w:vAlign w:val="center"/>
          </w:tcPr>
          <w:p w14:paraId="28BE0130" w14:textId="77777777" w:rsidR="00675AD8" w:rsidRPr="00BF0D71" w:rsidRDefault="00675AD8" w:rsidP="00CC1389">
            <w:pPr>
              <w:pStyle w:val="Tabletext"/>
              <w:jc w:val="center"/>
              <w:rPr>
                <w:b/>
                <w:bCs/>
                <w:lang w:eastAsia="en-GB"/>
              </w:rPr>
            </w:pPr>
            <w:r w:rsidRPr="00BF0D71">
              <w:rPr>
                <w:b/>
                <w:bCs/>
                <w:lang w:eastAsia="en-GB"/>
              </w:rPr>
              <w:t>7</w:t>
            </w:r>
          </w:p>
        </w:tc>
        <w:tc>
          <w:tcPr>
            <w:tcW w:w="6046" w:type="dxa"/>
            <w:shd w:val="clear" w:color="auto" w:fill="auto"/>
            <w:vAlign w:val="center"/>
            <w:hideMark/>
          </w:tcPr>
          <w:p w14:paraId="1C405060" w14:textId="77777777" w:rsidR="00675AD8" w:rsidRPr="00BF0D71" w:rsidRDefault="00675AD8" w:rsidP="00CC1389">
            <w:pPr>
              <w:pStyle w:val="Tabletext"/>
              <w:rPr>
                <w:lang w:eastAsia="en-GB"/>
              </w:rPr>
            </w:pPr>
            <w:r w:rsidRPr="00BF0D71">
              <w:rPr>
                <w:lang w:eastAsia="en-GB"/>
              </w:rPr>
              <w:t>Appui au TSB</w:t>
            </w:r>
          </w:p>
        </w:tc>
        <w:tc>
          <w:tcPr>
            <w:tcW w:w="711" w:type="dxa"/>
            <w:shd w:val="clear" w:color="auto" w:fill="auto"/>
            <w:vAlign w:val="center"/>
            <w:hideMark/>
          </w:tcPr>
          <w:p w14:paraId="6A5846B8" w14:textId="77777777" w:rsidR="00675AD8" w:rsidRPr="00BF0D71" w:rsidRDefault="00675AD8" w:rsidP="00CC1389">
            <w:pPr>
              <w:pStyle w:val="Tabletext"/>
              <w:jc w:val="center"/>
              <w:rPr>
                <w:lang w:eastAsia="en-GB"/>
              </w:rPr>
            </w:pPr>
            <w:r w:rsidRPr="00BF0D71">
              <w:rPr>
                <w:lang w:eastAsia="en-GB"/>
              </w:rPr>
              <w:t>14</w:t>
            </w:r>
          </w:p>
        </w:tc>
        <w:tc>
          <w:tcPr>
            <w:tcW w:w="1083" w:type="dxa"/>
            <w:shd w:val="clear" w:color="auto" w:fill="auto"/>
            <w:vAlign w:val="center"/>
          </w:tcPr>
          <w:p w14:paraId="579DE47F" w14:textId="77777777" w:rsidR="00675AD8" w:rsidRPr="00BF0D71" w:rsidRDefault="00675AD8" w:rsidP="00CC1389">
            <w:pPr>
              <w:pStyle w:val="Tabletext"/>
              <w:jc w:val="center"/>
              <w:rPr>
                <w:lang w:eastAsia="en-GB"/>
              </w:rPr>
            </w:pPr>
            <w:r w:rsidRPr="00BF0D71">
              <w:rPr>
                <w:lang w:eastAsia="en-GB"/>
              </w:rPr>
              <w:t>Non</w:t>
            </w:r>
          </w:p>
        </w:tc>
        <w:tc>
          <w:tcPr>
            <w:tcW w:w="1253" w:type="dxa"/>
            <w:shd w:val="clear" w:color="auto" w:fill="auto"/>
            <w:vAlign w:val="center"/>
          </w:tcPr>
          <w:p w14:paraId="5F53CC4E" w14:textId="77777777" w:rsidR="00675AD8" w:rsidRPr="00BF0D71" w:rsidRDefault="00675AD8" w:rsidP="00CC1389">
            <w:pPr>
              <w:pStyle w:val="Tabletext"/>
              <w:rPr>
                <w:lang w:eastAsia="en-GB"/>
              </w:rPr>
            </w:pPr>
          </w:p>
        </w:tc>
      </w:tr>
      <w:tr w:rsidR="00675AD8" w:rsidRPr="00BF0D71" w14:paraId="076E0A38" w14:textId="77777777" w:rsidTr="00CC1389">
        <w:trPr>
          <w:cantSplit/>
          <w:jc w:val="center"/>
        </w:trPr>
        <w:tc>
          <w:tcPr>
            <w:tcW w:w="830" w:type="dxa"/>
            <w:vAlign w:val="center"/>
          </w:tcPr>
          <w:p w14:paraId="01654396" w14:textId="77777777" w:rsidR="00675AD8" w:rsidRPr="00BF0D71" w:rsidRDefault="00675AD8" w:rsidP="00CC1389">
            <w:pPr>
              <w:pStyle w:val="Tabletext"/>
              <w:jc w:val="center"/>
              <w:rPr>
                <w:b/>
                <w:bCs/>
                <w:lang w:eastAsia="en-GB"/>
              </w:rPr>
            </w:pPr>
            <w:r w:rsidRPr="00BF0D71">
              <w:rPr>
                <w:b/>
                <w:bCs/>
                <w:lang w:eastAsia="en-GB"/>
              </w:rPr>
              <w:t>8</w:t>
            </w:r>
          </w:p>
        </w:tc>
        <w:tc>
          <w:tcPr>
            <w:tcW w:w="6046" w:type="dxa"/>
            <w:shd w:val="clear" w:color="auto" w:fill="auto"/>
            <w:vAlign w:val="center"/>
            <w:hideMark/>
          </w:tcPr>
          <w:p w14:paraId="24DE75E9" w14:textId="77777777" w:rsidR="00675AD8" w:rsidRPr="00BF0D71" w:rsidRDefault="00675AD8" w:rsidP="00CC1389">
            <w:pPr>
              <w:pStyle w:val="Tabletext"/>
              <w:rPr>
                <w:lang w:eastAsia="en-GB"/>
              </w:rPr>
            </w:pPr>
            <w:r w:rsidRPr="00BF0D71">
              <w:rPr>
                <w:lang w:eastAsia="en-GB"/>
              </w:rPr>
              <w:t>Comptes vérifiés: Rapport de gestion financière vérifié pour 2019</w:t>
            </w:r>
          </w:p>
        </w:tc>
        <w:tc>
          <w:tcPr>
            <w:tcW w:w="711" w:type="dxa"/>
            <w:shd w:val="clear" w:color="auto" w:fill="auto"/>
            <w:noWrap/>
            <w:vAlign w:val="center"/>
            <w:hideMark/>
          </w:tcPr>
          <w:p w14:paraId="055E29C4" w14:textId="77777777" w:rsidR="00675AD8" w:rsidRPr="00BF0D71" w:rsidRDefault="00675AD8" w:rsidP="00CC1389">
            <w:pPr>
              <w:pStyle w:val="Tabletext"/>
              <w:jc w:val="center"/>
              <w:rPr>
                <w:lang w:eastAsia="en-GB"/>
              </w:rPr>
            </w:pPr>
            <w:r w:rsidRPr="00BF0D71">
              <w:rPr>
                <w:lang w:eastAsia="en-GB"/>
              </w:rPr>
              <w:t>42</w:t>
            </w:r>
          </w:p>
        </w:tc>
        <w:tc>
          <w:tcPr>
            <w:tcW w:w="1083" w:type="dxa"/>
            <w:shd w:val="clear" w:color="auto" w:fill="auto"/>
            <w:vAlign w:val="center"/>
          </w:tcPr>
          <w:p w14:paraId="0874F313" w14:textId="77777777" w:rsidR="00675AD8" w:rsidRPr="00BF0D71" w:rsidRDefault="00675AD8" w:rsidP="00CC1389">
            <w:pPr>
              <w:pStyle w:val="Tabletext"/>
              <w:jc w:val="center"/>
              <w:rPr>
                <w:lang w:eastAsia="en-GB"/>
              </w:rPr>
            </w:pPr>
            <w:r w:rsidRPr="00BF0D71">
              <w:rPr>
                <w:lang w:eastAsia="en-GB"/>
              </w:rPr>
              <w:t>Résolution</w:t>
            </w:r>
          </w:p>
        </w:tc>
        <w:tc>
          <w:tcPr>
            <w:tcW w:w="1253" w:type="dxa"/>
            <w:shd w:val="clear" w:color="auto" w:fill="auto"/>
            <w:vAlign w:val="center"/>
          </w:tcPr>
          <w:p w14:paraId="099DD7D7" w14:textId="77777777" w:rsidR="00675AD8" w:rsidRPr="00BF0D71" w:rsidRDefault="00675AD8" w:rsidP="00CC1389">
            <w:pPr>
              <w:pStyle w:val="Tabletext"/>
              <w:rPr>
                <w:lang w:eastAsia="en-GB"/>
              </w:rPr>
            </w:pPr>
          </w:p>
        </w:tc>
      </w:tr>
      <w:tr w:rsidR="00675AD8" w:rsidRPr="00BF0D71" w14:paraId="43C0B45A" w14:textId="77777777" w:rsidTr="00CC1389">
        <w:trPr>
          <w:cantSplit/>
          <w:jc w:val="center"/>
        </w:trPr>
        <w:tc>
          <w:tcPr>
            <w:tcW w:w="830" w:type="dxa"/>
            <w:vAlign w:val="center"/>
          </w:tcPr>
          <w:p w14:paraId="238ABD88" w14:textId="77777777" w:rsidR="00675AD8" w:rsidRPr="00BF0D71" w:rsidRDefault="00675AD8" w:rsidP="00CC1389">
            <w:pPr>
              <w:pStyle w:val="Tabletext"/>
              <w:jc w:val="center"/>
              <w:rPr>
                <w:b/>
                <w:bCs/>
                <w:lang w:eastAsia="en-GB"/>
              </w:rPr>
            </w:pPr>
            <w:r w:rsidRPr="00BF0D71">
              <w:rPr>
                <w:b/>
                <w:bCs/>
                <w:lang w:eastAsia="en-GB"/>
              </w:rPr>
              <w:t>9</w:t>
            </w:r>
          </w:p>
        </w:tc>
        <w:tc>
          <w:tcPr>
            <w:tcW w:w="6046" w:type="dxa"/>
            <w:shd w:val="clear" w:color="auto" w:fill="auto"/>
            <w:vAlign w:val="center"/>
            <w:hideMark/>
          </w:tcPr>
          <w:p w14:paraId="1C95C890" w14:textId="77777777" w:rsidR="00675AD8" w:rsidRPr="00BF0D71" w:rsidRDefault="00675AD8" w:rsidP="00CC1389">
            <w:pPr>
              <w:pStyle w:val="Tabletext"/>
              <w:rPr>
                <w:lang w:eastAsia="en-GB"/>
              </w:rPr>
            </w:pPr>
            <w:r w:rsidRPr="00BF0D71">
              <w:rPr>
                <w:bCs/>
                <w:lang w:eastAsia="en-GB"/>
              </w:rPr>
              <w:t>Rapport du Vérificateur extérieur des comptes: Comptes de l'Union pour 2019</w:t>
            </w:r>
          </w:p>
        </w:tc>
        <w:tc>
          <w:tcPr>
            <w:tcW w:w="711" w:type="dxa"/>
            <w:shd w:val="clear" w:color="auto" w:fill="auto"/>
            <w:noWrap/>
            <w:vAlign w:val="center"/>
            <w:hideMark/>
          </w:tcPr>
          <w:p w14:paraId="393BF658" w14:textId="77777777" w:rsidR="00675AD8" w:rsidRPr="00BF0D71" w:rsidRDefault="00675AD8" w:rsidP="00CC1389">
            <w:pPr>
              <w:pStyle w:val="Tabletext"/>
              <w:jc w:val="center"/>
              <w:rPr>
                <w:lang w:eastAsia="en-GB"/>
              </w:rPr>
            </w:pPr>
            <w:r w:rsidRPr="00BF0D71">
              <w:rPr>
                <w:lang w:eastAsia="en-GB"/>
              </w:rPr>
              <w:t>40</w:t>
            </w:r>
          </w:p>
        </w:tc>
        <w:tc>
          <w:tcPr>
            <w:tcW w:w="1083" w:type="dxa"/>
            <w:shd w:val="clear" w:color="auto" w:fill="auto"/>
            <w:vAlign w:val="center"/>
          </w:tcPr>
          <w:p w14:paraId="4C666EBD" w14:textId="77777777" w:rsidR="00675AD8" w:rsidRPr="00BF0D71" w:rsidRDefault="00675AD8" w:rsidP="00CC1389">
            <w:pPr>
              <w:pStyle w:val="Tabletext"/>
              <w:jc w:val="center"/>
              <w:rPr>
                <w:lang w:eastAsia="en-GB"/>
              </w:rPr>
            </w:pPr>
            <w:r w:rsidRPr="00BF0D71">
              <w:rPr>
                <w:lang w:eastAsia="en-GB"/>
              </w:rPr>
              <w:t>Non</w:t>
            </w:r>
          </w:p>
        </w:tc>
        <w:tc>
          <w:tcPr>
            <w:tcW w:w="1253" w:type="dxa"/>
            <w:shd w:val="clear" w:color="auto" w:fill="auto"/>
            <w:vAlign w:val="center"/>
          </w:tcPr>
          <w:p w14:paraId="10B325E0" w14:textId="77777777" w:rsidR="00675AD8" w:rsidRPr="00BF0D71" w:rsidRDefault="00675AD8" w:rsidP="00CC1389">
            <w:pPr>
              <w:pStyle w:val="Tabletext"/>
              <w:rPr>
                <w:lang w:eastAsia="en-GB"/>
              </w:rPr>
            </w:pPr>
          </w:p>
        </w:tc>
      </w:tr>
      <w:tr w:rsidR="00675AD8" w:rsidRPr="00BF0D71" w14:paraId="7208E771" w14:textId="77777777" w:rsidTr="00CC1389">
        <w:trPr>
          <w:cantSplit/>
          <w:jc w:val="center"/>
        </w:trPr>
        <w:tc>
          <w:tcPr>
            <w:tcW w:w="830" w:type="dxa"/>
            <w:vAlign w:val="center"/>
          </w:tcPr>
          <w:p w14:paraId="52D3C074" w14:textId="77777777" w:rsidR="00675AD8" w:rsidRPr="00BF0D71" w:rsidRDefault="00675AD8" w:rsidP="00CC1389">
            <w:pPr>
              <w:pStyle w:val="Tabletext"/>
              <w:jc w:val="center"/>
              <w:rPr>
                <w:b/>
                <w:bCs/>
                <w:lang w:eastAsia="en-GB"/>
              </w:rPr>
            </w:pPr>
            <w:r w:rsidRPr="00BF0D71">
              <w:rPr>
                <w:b/>
                <w:bCs/>
                <w:lang w:eastAsia="en-GB"/>
              </w:rPr>
              <w:t>10</w:t>
            </w:r>
          </w:p>
        </w:tc>
        <w:tc>
          <w:tcPr>
            <w:tcW w:w="6046" w:type="dxa"/>
            <w:shd w:val="clear" w:color="auto" w:fill="auto"/>
            <w:vAlign w:val="center"/>
            <w:hideMark/>
          </w:tcPr>
          <w:p w14:paraId="208B013A" w14:textId="77777777" w:rsidR="00675AD8" w:rsidRPr="00BF0D71" w:rsidRDefault="00675AD8" w:rsidP="00CC1389">
            <w:pPr>
              <w:pStyle w:val="Tabletext"/>
              <w:rPr>
                <w:lang w:eastAsia="en-GB"/>
              </w:rPr>
            </w:pPr>
            <w:r w:rsidRPr="00BF0D71">
              <w:rPr>
                <w:bCs/>
                <w:lang w:eastAsia="en-GB"/>
              </w:rPr>
              <w:t>Rapport du Vérificateur extérieur des comptes de l'Union: ITU TELECOM World 2019</w:t>
            </w:r>
          </w:p>
        </w:tc>
        <w:tc>
          <w:tcPr>
            <w:tcW w:w="711" w:type="dxa"/>
            <w:shd w:val="clear" w:color="auto" w:fill="auto"/>
            <w:noWrap/>
            <w:vAlign w:val="center"/>
            <w:hideMark/>
          </w:tcPr>
          <w:p w14:paraId="0FBAD4CE" w14:textId="77777777" w:rsidR="00675AD8" w:rsidRPr="00BF0D71" w:rsidRDefault="00675AD8" w:rsidP="00CC1389">
            <w:pPr>
              <w:pStyle w:val="Tabletext"/>
              <w:jc w:val="center"/>
              <w:rPr>
                <w:lang w:eastAsia="en-GB"/>
              </w:rPr>
            </w:pPr>
            <w:r w:rsidRPr="00BF0D71">
              <w:rPr>
                <w:lang w:eastAsia="en-GB"/>
              </w:rPr>
              <w:t>41</w:t>
            </w:r>
          </w:p>
        </w:tc>
        <w:tc>
          <w:tcPr>
            <w:tcW w:w="1083" w:type="dxa"/>
            <w:shd w:val="clear" w:color="auto" w:fill="auto"/>
            <w:vAlign w:val="center"/>
          </w:tcPr>
          <w:p w14:paraId="0D82A84C" w14:textId="77777777" w:rsidR="00675AD8" w:rsidRPr="00BF0D71" w:rsidRDefault="00675AD8" w:rsidP="00CC1389">
            <w:pPr>
              <w:pStyle w:val="Tabletext"/>
              <w:jc w:val="center"/>
              <w:rPr>
                <w:lang w:eastAsia="en-GB"/>
              </w:rPr>
            </w:pPr>
            <w:r w:rsidRPr="00BF0D71">
              <w:rPr>
                <w:lang w:eastAsia="en-GB"/>
              </w:rPr>
              <w:t>Non</w:t>
            </w:r>
          </w:p>
        </w:tc>
        <w:tc>
          <w:tcPr>
            <w:tcW w:w="1253" w:type="dxa"/>
            <w:shd w:val="clear" w:color="auto" w:fill="auto"/>
            <w:vAlign w:val="center"/>
          </w:tcPr>
          <w:p w14:paraId="687F2DB2" w14:textId="77777777" w:rsidR="00675AD8" w:rsidRPr="00BF0D71" w:rsidRDefault="00675AD8" w:rsidP="00CC1389">
            <w:pPr>
              <w:pStyle w:val="Tabletext"/>
              <w:rPr>
                <w:lang w:eastAsia="en-GB"/>
              </w:rPr>
            </w:pPr>
          </w:p>
        </w:tc>
      </w:tr>
      <w:tr w:rsidR="00675AD8" w:rsidRPr="00BF0D71" w14:paraId="64E63C37" w14:textId="77777777" w:rsidTr="00CC1389">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AA3DBD3" w14:textId="77777777" w:rsidR="00675AD8" w:rsidRPr="00BF0D71" w:rsidRDefault="00675AD8" w:rsidP="00CC1389">
            <w:pPr>
              <w:pStyle w:val="Tabletext"/>
              <w:jc w:val="center"/>
              <w:rPr>
                <w:b/>
                <w:bCs/>
                <w:lang w:eastAsia="en-GB"/>
              </w:rPr>
            </w:pPr>
            <w:r w:rsidRPr="00BF0D71">
              <w:rPr>
                <w:b/>
                <w:bCs/>
                <w:lang w:eastAsia="en-GB"/>
              </w:rPr>
              <w:lastRenderedPageBreak/>
              <w:t>11</w:t>
            </w:r>
          </w:p>
        </w:tc>
        <w:tc>
          <w:tcPr>
            <w:tcW w:w="6046" w:type="dxa"/>
            <w:tcBorders>
              <w:top w:val="single" w:sz="4" w:space="0" w:color="auto"/>
              <w:left w:val="single" w:sz="4" w:space="0" w:color="auto"/>
              <w:bottom w:val="single" w:sz="4" w:space="0" w:color="auto"/>
              <w:right w:val="single" w:sz="4" w:space="0" w:color="auto"/>
            </w:tcBorders>
            <w:shd w:val="clear" w:color="auto" w:fill="auto"/>
            <w:vAlign w:val="center"/>
          </w:tcPr>
          <w:p w14:paraId="5B351E91" w14:textId="77777777" w:rsidR="00675AD8" w:rsidRPr="00BF0D71" w:rsidRDefault="00675AD8" w:rsidP="00CC1389">
            <w:pPr>
              <w:pStyle w:val="Tabletext"/>
              <w:rPr>
                <w:lang w:eastAsia="en-GB"/>
              </w:rPr>
            </w:pPr>
            <w:r w:rsidRPr="00BF0D71">
              <w:rPr>
                <w:lang w:eastAsia="en-GB"/>
              </w:rPr>
              <w:t>Rapport sur les progrès réalisés concernant le projet de locaux du siège de l'Union (</w:t>
            </w:r>
            <w:r w:rsidRPr="00BF0D71">
              <w:rPr>
                <w:i/>
                <w:iCs/>
                <w:lang w:eastAsia="en-GB"/>
              </w:rPr>
              <w:t>Résolution 212 de la PP, Décision 619 du Conseil</w:t>
            </w:r>
            <w:r w:rsidRPr="00BF0D71">
              <w:rPr>
                <w:lang w:eastAsia="en-GB"/>
              </w:rPr>
              <w:t>)</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FE2969D" w14:textId="77777777" w:rsidR="00675AD8" w:rsidRPr="00BF0D71" w:rsidRDefault="00675AD8" w:rsidP="00CC1389">
            <w:pPr>
              <w:pStyle w:val="Tabletext"/>
              <w:jc w:val="center"/>
              <w:rPr>
                <w:lang w:eastAsia="en-GB"/>
              </w:rPr>
            </w:pPr>
            <w:r w:rsidRPr="00BF0D71">
              <w:rPr>
                <w:lang w:eastAsia="en-GB"/>
              </w:rPr>
              <w:t>7</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2B8DB20" w14:textId="77777777" w:rsidR="00675AD8" w:rsidRPr="00BF0D71" w:rsidRDefault="00675AD8" w:rsidP="00CC1389">
            <w:pPr>
              <w:pStyle w:val="Tabletext"/>
              <w:jc w:val="center"/>
              <w:rPr>
                <w:lang w:eastAsia="en-GB"/>
              </w:rPr>
            </w:pPr>
            <w:r w:rsidRPr="00BF0D71">
              <w:rPr>
                <w:lang w:eastAsia="en-GB"/>
              </w:rPr>
              <w:t>Non</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18BB4F84" w14:textId="77777777" w:rsidR="00675AD8" w:rsidRPr="00BF0D71" w:rsidRDefault="00675AD8" w:rsidP="00CC1389">
            <w:pPr>
              <w:pStyle w:val="Tabletext"/>
              <w:rPr>
                <w:lang w:eastAsia="en-GB"/>
              </w:rPr>
            </w:pPr>
          </w:p>
        </w:tc>
      </w:tr>
      <w:tr w:rsidR="00675AD8" w:rsidRPr="00BF0D71" w14:paraId="4D635D9C" w14:textId="77777777" w:rsidTr="00CC1389">
        <w:trPr>
          <w:cantSplit/>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FA0EBD6" w14:textId="77777777" w:rsidR="00675AD8" w:rsidRPr="00BF0D71" w:rsidRDefault="00675AD8" w:rsidP="00CC1389">
            <w:pPr>
              <w:pStyle w:val="Tabletext"/>
              <w:jc w:val="center"/>
              <w:rPr>
                <w:b/>
                <w:bCs/>
                <w:lang w:eastAsia="en-GB"/>
              </w:rPr>
            </w:pPr>
            <w:r w:rsidRPr="00BF0D71">
              <w:rPr>
                <w:b/>
                <w:bCs/>
                <w:lang w:eastAsia="en-GB"/>
              </w:rPr>
              <w:t>12</w:t>
            </w:r>
          </w:p>
        </w:tc>
        <w:tc>
          <w:tcPr>
            <w:tcW w:w="6046" w:type="dxa"/>
            <w:tcBorders>
              <w:top w:val="single" w:sz="4" w:space="0" w:color="auto"/>
              <w:left w:val="single" w:sz="4" w:space="0" w:color="auto"/>
              <w:bottom w:val="single" w:sz="4" w:space="0" w:color="auto"/>
              <w:right w:val="single" w:sz="4" w:space="0" w:color="auto"/>
            </w:tcBorders>
            <w:shd w:val="clear" w:color="auto" w:fill="auto"/>
            <w:vAlign w:val="center"/>
          </w:tcPr>
          <w:p w14:paraId="0B845320" w14:textId="77777777" w:rsidR="00675AD8" w:rsidRPr="00BF0D71" w:rsidRDefault="00675AD8" w:rsidP="00CC1389">
            <w:pPr>
              <w:pStyle w:val="Tabletext"/>
              <w:rPr>
                <w:lang w:eastAsia="en-GB"/>
              </w:rPr>
            </w:pPr>
            <w:r w:rsidRPr="00BF0D71">
              <w:rPr>
                <w:lang w:eastAsia="en-GB"/>
              </w:rPr>
              <w:t>Compte rendu des travaux du Groupe consultatif d'États Membres (Groupe MSAG) concernant le projet de locaux du siège de l'Union</w:t>
            </w:r>
            <w:r w:rsidRPr="00BF0D71">
              <w:rPr>
                <w:bCs/>
                <w:i/>
                <w:iCs/>
                <w:lang w:eastAsia="en-GB"/>
              </w:rPr>
              <w:t xml:space="preserve"> (Résolution 212 de la PP)</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E75B921" w14:textId="77777777" w:rsidR="00675AD8" w:rsidRPr="00BF0D71" w:rsidRDefault="00675AD8" w:rsidP="00CC1389">
            <w:pPr>
              <w:pStyle w:val="Tabletext"/>
              <w:jc w:val="center"/>
              <w:rPr>
                <w:lang w:eastAsia="en-GB"/>
              </w:rPr>
            </w:pPr>
            <w:r w:rsidRPr="00BF0D71">
              <w:rPr>
                <w:lang w:eastAsia="en-GB"/>
              </w:rPr>
              <w:t>48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54C2445" w14:textId="77777777" w:rsidR="00675AD8" w:rsidRPr="00BF0D71" w:rsidRDefault="00675AD8" w:rsidP="00CC1389">
            <w:pPr>
              <w:pStyle w:val="Tabletext"/>
              <w:jc w:val="center"/>
              <w:rPr>
                <w:lang w:eastAsia="en-GB"/>
              </w:rPr>
            </w:pPr>
            <w:r w:rsidRPr="00BF0D71">
              <w:rPr>
                <w:lang w:eastAsia="en-GB"/>
              </w:rPr>
              <w:t>Décision</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14:paraId="45183984" w14:textId="77777777" w:rsidR="00675AD8" w:rsidRPr="00BF0D71" w:rsidRDefault="00675AD8" w:rsidP="00CC1389">
            <w:pPr>
              <w:pStyle w:val="Tabletext"/>
              <w:rPr>
                <w:lang w:eastAsia="en-GB"/>
              </w:rPr>
            </w:pPr>
          </w:p>
        </w:tc>
      </w:tr>
      <w:tr w:rsidR="00675AD8" w:rsidRPr="00BF0D71" w14:paraId="0CE2C021" w14:textId="77777777" w:rsidTr="00CC1389">
        <w:trPr>
          <w:cantSplit/>
          <w:jc w:val="center"/>
        </w:trPr>
        <w:tc>
          <w:tcPr>
            <w:tcW w:w="830" w:type="dxa"/>
            <w:vAlign w:val="center"/>
          </w:tcPr>
          <w:p w14:paraId="780B0FA5" w14:textId="77777777" w:rsidR="00675AD8" w:rsidRPr="00BF0D71" w:rsidRDefault="00675AD8" w:rsidP="00CC1389">
            <w:pPr>
              <w:pStyle w:val="Tabletext"/>
              <w:jc w:val="center"/>
              <w:rPr>
                <w:b/>
                <w:bCs/>
                <w:lang w:eastAsia="en-GB"/>
              </w:rPr>
            </w:pPr>
            <w:r w:rsidRPr="00BF0D71">
              <w:rPr>
                <w:b/>
                <w:bCs/>
                <w:lang w:eastAsia="en-GB"/>
              </w:rPr>
              <w:t>13</w:t>
            </w:r>
          </w:p>
        </w:tc>
        <w:tc>
          <w:tcPr>
            <w:tcW w:w="6046" w:type="dxa"/>
            <w:shd w:val="clear" w:color="auto" w:fill="auto"/>
            <w:vAlign w:val="center"/>
            <w:hideMark/>
          </w:tcPr>
          <w:p w14:paraId="5B64354F" w14:textId="77777777" w:rsidR="00675AD8" w:rsidRPr="00BF0D71" w:rsidRDefault="00675AD8" w:rsidP="00CC1389">
            <w:pPr>
              <w:pStyle w:val="Tabletext"/>
              <w:rPr>
                <w:lang w:eastAsia="en-GB"/>
              </w:rPr>
            </w:pPr>
            <w:r w:rsidRPr="00BF0D71">
              <w:rPr>
                <w:lang w:eastAsia="en-GB"/>
              </w:rPr>
              <w:t>Résultats de la CMR-19 ayant des incidences financières</w:t>
            </w:r>
          </w:p>
        </w:tc>
        <w:tc>
          <w:tcPr>
            <w:tcW w:w="711" w:type="dxa"/>
            <w:shd w:val="clear" w:color="auto" w:fill="auto"/>
            <w:vAlign w:val="center"/>
            <w:hideMark/>
          </w:tcPr>
          <w:p w14:paraId="2E5E0805" w14:textId="77777777" w:rsidR="00675AD8" w:rsidRPr="00BF0D71" w:rsidRDefault="00675AD8" w:rsidP="00CC1389">
            <w:pPr>
              <w:pStyle w:val="Tabletext"/>
              <w:jc w:val="center"/>
              <w:rPr>
                <w:lang w:eastAsia="en-GB"/>
              </w:rPr>
            </w:pPr>
            <w:r w:rsidRPr="00BF0D71">
              <w:rPr>
                <w:lang w:eastAsia="en-GB"/>
              </w:rPr>
              <w:t>56</w:t>
            </w:r>
          </w:p>
        </w:tc>
        <w:tc>
          <w:tcPr>
            <w:tcW w:w="1083" w:type="dxa"/>
            <w:shd w:val="clear" w:color="auto" w:fill="auto"/>
            <w:vAlign w:val="center"/>
          </w:tcPr>
          <w:p w14:paraId="68666601" w14:textId="77777777" w:rsidR="00675AD8" w:rsidRPr="00BF0D71" w:rsidRDefault="00675AD8" w:rsidP="00CC1389">
            <w:pPr>
              <w:pStyle w:val="Tabletext"/>
              <w:jc w:val="center"/>
              <w:rPr>
                <w:lang w:eastAsia="en-GB"/>
              </w:rPr>
            </w:pPr>
            <w:r w:rsidRPr="00BF0D71">
              <w:rPr>
                <w:lang w:eastAsia="en-GB"/>
              </w:rPr>
              <w:t>Non</w:t>
            </w:r>
          </w:p>
        </w:tc>
        <w:tc>
          <w:tcPr>
            <w:tcW w:w="1253" w:type="dxa"/>
            <w:shd w:val="clear" w:color="auto" w:fill="auto"/>
            <w:vAlign w:val="center"/>
          </w:tcPr>
          <w:p w14:paraId="3B642B6D" w14:textId="77777777" w:rsidR="00675AD8" w:rsidRPr="00BF0D71" w:rsidRDefault="00675AD8" w:rsidP="00CC1389">
            <w:pPr>
              <w:pStyle w:val="Tabletext"/>
              <w:rPr>
                <w:lang w:eastAsia="en-GB"/>
              </w:rPr>
            </w:pPr>
          </w:p>
        </w:tc>
      </w:tr>
      <w:tr w:rsidR="00675AD8" w:rsidRPr="00BF0D71" w14:paraId="68017429" w14:textId="77777777" w:rsidTr="00CC1389">
        <w:trPr>
          <w:cantSplit/>
          <w:jc w:val="center"/>
        </w:trPr>
        <w:tc>
          <w:tcPr>
            <w:tcW w:w="830" w:type="dxa"/>
            <w:vAlign w:val="center"/>
          </w:tcPr>
          <w:p w14:paraId="71F1690F" w14:textId="77777777" w:rsidR="00675AD8" w:rsidRPr="00BF0D71" w:rsidRDefault="00675AD8" w:rsidP="00CC1389">
            <w:pPr>
              <w:pStyle w:val="Tabletext"/>
              <w:jc w:val="center"/>
              <w:rPr>
                <w:b/>
                <w:bCs/>
                <w:lang w:eastAsia="en-GB"/>
              </w:rPr>
            </w:pPr>
            <w:r w:rsidRPr="00BF0D71">
              <w:rPr>
                <w:b/>
                <w:bCs/>
                <w:lang w:eastAsia="en-GB"/>
              </w:rPr>
              <w:t>14</w:t>
            </w:r>
          </w:p>
        </w:tc>
        <w:tc>
          <w:tcPr>
            <w:tcW w:w="6046" w:type="dxa"/>
            <w:shd w:val="clear" w:color="auto" w:fill="auto"/>
            <w:vAlign w:val="center"/>
            <w:hideMark/>
          </w:tcPr>
          <w:p w14:paraId="555851B2" w14:textId="77777777" w:rsidR="00675AD8" w:rsidRPr="00BF0D71" w:rsidRDefault="00675AD8" w:rsidP="00CC1389">
            <w:pPr>
              <w:pStyle w:val="Tabletext"/>
              <w:rPr>
                <w:lang w:eastAsia="en-GB"/>
              </w:rPr>
            </w:pPr>
            <w:r w:rsidRPr="00BF0D71">
              <w:rPr>
                <w:lang w:eastAsia="en-GB"/>
              </w:rPr>
              <w:t>Nouvelle fonction et nouveau processus en matière d'enquête</w:t>
            </w:r>
          </w:p>
        </w:tc>
        <w:tc>
          <w:tcPr>
            <w:tcW w:w="711" w:type="dxa"/>
            <w:shd w:val="clear" w:color="auto" w:fill="auto"/>
            <w:vAlign w:val="center"/>
            <w:hideMark/>
          </w:tcPr>
          <w:p w14:paraId="3842ED36" w14:textId="77777777" w:rsidR="00675AD8" w:rsidRPr="00BF0D71" w:rsidRDefault="00675AD8" w:rsidP="00CC1389">
            <w:pPr>
              <w:pStyle w:val="Tabletext"/>
              <w:jc w:val="center"/>
              <w:rPr>
                <w:lang w:eastAsia="en-GB"/>
              </w:rPr>
            </w:pPr>
            <w:r w:rsidRPr="00BF0D71">
              <w:rPr>
                <w:lang w:eastAsia="en-GB"/>
              </w:rPr>
              <w:t>60</w:t>
            </w:r>
          </w:p>
        </w:tc>
        <w:tc>
          <w:tcPr>
            <w:tcW w:w="1083" w:type="dxa"/>
            <w:shd w:val="clear" w:color="auto" w:fill="auto"/>
            <w:vAlign w:val="center"/>
          </w:tcPr>
          <w:p w14:paraId="7A92F865" w14:textId="77777777" w:rsidR="00675AD8" w:rsidRPr="00BF0D71" w:rsidRDefault="00675AD8" w:rsidP="00CC1389">
            <w:pPr>
              <w:pStyle w:val="Tabletext"/>
              <w:jc w:val="center"/>
              <w:rPr>
                <w:lang w:eastAsia="en-GB"/>
              </w:rPr>
            </w:pPr>
            <w:r w:rsidRPr="00BF0D71">
              <w:rPr>
                <w:lang w:eastAsia="en-GB"/>
              </w:rPr>
              <w:t>Décision</w:t>
            </w:r>
          </w:p>
        </w:tc>
        <w:tc>
          <w:tcPr>
            <w:tcW w:w="1253" w:type="dxa"/>
            <w:shd w:val="clear" w:color="auto" w:fill="auto"/>
            <w:vAlign w:val="center"/>
          </w:tcPr>
          <w:p w14:paraId="73503B57" w14:textId="77777777" w:rsidR="00675AD8" w:rsidRPr="00BF0D71" w:rsidRDefault="00675AD8" w:rsidP="00CC1389">
            <w:pPr>
              <w:pStyle w:val="Tabletext"/>
              <w:rPr>
                <w:lang w:eastAsia="en-GB"/>
              </w:rPr>
            </w:pPr>
          </w:p>
        </w:tc>
      </w:tr>
    </w:tbl>
    <w:p w14:paraId="1AD236F7" w14:textId="2D1F0B53" w:rsidR="00675AD8" w:rsidRPr="00BF0D71" w:rsidRDefault="00675AD8" w:rsidP="00675AD8">
      <w:pPr>
        <w:pStyle w:val="Heading1"/>
        <w:spacing w:line="240" w:lineRule="auto"/>
      </w:pPr>
      <w:r w:rsidRPr="00BF0D71">
        <w:t>2</w:t>
      </w:r>
      <w:r w:rsidRPr="00BF0D71">
        <w:tab/>
      </w:r>
      <w:r w:rsidRPr="00BF0D71">
        <w:rPr>
          <w:bCs/>
        </w:rPr>
        <w:t>Points que le secrétariat propose de reporter à la réunion physique ultérieure</w:t>
      </w:r>
    </w:p>
    <w:p w14:paraId="0D93750E" w14:textId="77777777" w:rsidR="00675AD8" w:rsidRPr="00BF0D71" w:rsidRDefault="00675AD8" w:rsidP="00675AD8">
      <w:pPr>
        <w:spacing w:after="120" w:line="240" w:lineRule="auto"/>
        <w:jc w:val="left"/>
      </w:pPr>
      <w:r w:rsidRPr="00EB5B24">
        <w:t>Les États Membres devraient faire savoir au secrétariat,</w:t>
      </w:r>
      <w:r w:rsidRPr="00BF0D71">
        <w:t xml:space="preserve"> </w:t>
      </w:r>
      <w:r w:rsidRPr="00EB5B24">
        <w:rPr>
          <w:b/>
          <w:bCs/>
        </w:rPr>
        <w:t>d'ici au 22 mai</w:t>
      </w:r>
      <w:r w:rsidRPr="00BF0D71">
        <w:t>, s'ils souhaitent ou non</w:t>
      </w:r>
      <w:r w:rsidRPr="00BF0D71">
        <w:rPr>
          <w:b/>
          <w:bCs/>
        </w:rPr>
        <w:t xml:space="preserve"> </w:t>
      </w:r>
      <w:r w:rsidRPr="00EB5B24">
        <w:t>examiner une question particulière lors de la consultation virtuelle, en indiquant OUI ou NON dans la de</w:t>
      </w:r>
      <w:r w:rsidRPr="00BF0D71">
        <w:t>rnière colonne.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851"/>
        <w:gridCol w:w="1134"/>
        <w:gridCol w:w="1275"/>
      </w:tblGrid>
      <w:tr w:rsidR="00675AD8" w:rsidRPr="00BF0D71" w14:paraId="33659904" w14:textId="77777777" w:rsidTr="00CC1389">
        <w:trPr>
          <w:trHeight w:val="720"/>
          <w:tblHeader/>
          <w:jc w:val="center"/>
        </w:trPr>
        <w:tc>
          <w:tcPr>
            <w:tcW w:w="851" w:type="dxa"/>
            <w:vMerge w:val="restart"/>
            <w:tcBorders>
              <w:top w:val="nil"/>
              <w:left w:val="nil"/>
            </w:tcBorders>
            <w:shd w:val="clear" w:color="auto" w:fill="auto"/>
            <w:vAlign w:val="center"/>
          </w:tcPr>
          <w:p w14:paraId="6CFE4CF6" w14:textId="77777777" w:rsidR="00675AD8" w:rsidRPr="00BF0D71" w:rsidRDefault="00675AD8" w:rsidP="00CC1389">
            <w:pPr>
              <w:spacing w:before="20" w:after="20" w:line="240" w:lineRule="auto"/>
              <w:jc w:val="center"/>
              <w:rPr>
                <w:b/>
                <w:bCs/>
                <w:color w:val="000000"/>
                <w:sz w:val="20"/>
                <w:szCs w:val="20"/>
                <w:lang w:eastAsia="en-GB"/>
              </w:rPr>
            </w:pPr>
          </w:p>
        </w:tc>
        <w:tc>
          <w:tcPr>
            <w:tcW w:w="5812" w:type="dxa"/>
            <w:vMerge w:val="restart"/>
            <w:shd w:val="pct15" w:color="auto" w:fill="auto"/>
            <w:vAlign w:val="center"/>
            <w:hideMark/>
          </w:tcPr>
          <w:p w14:paraId="72DB6004" w14:textId="77777777" w:rsidR="00675AD8" w:rsidRPr="00BF0D71" w:rsidRDefault="00675AD8" w:rsidP="00CC1389">
            <w:pPr>
              <w:pStyle w:val="Tablehead"/>
              <w:rPr>
                <w:lang w:eastAsia="en-GB"/>
              </w:rPr>
            </w:pPr>
            <w:r w:rsidRPr="00BF0D71">
              <w:rPr>
                <w:lang w:eastAsia="en-GB"/>
              </w:rPr>
              <w:t>Sujet</w:t>
            </w:r>
          </w:p>
        </w:tc>
        <w:tc>
          <w:tcPr>
            <w:tcW w:w="851" w:type="dxa"/>
            <w:vMerge w:val="restart"/>
            <w:shd w:val="pct15" w:color="auto" w:fill="auto"/>
            <w:noWrap/>
            <w:vAlign w:val="center"/>
            <w:hideMark/>
          </w:tcPr>
          <w:p w14:paraId="64FF73F5" w14:textId="77777777" w:rsidR="00675AD8" w:rsidRPr="00BF0D71" w:rsidRDefault="00675AD8" w:rsidP="00CC1389">
            <w:pPr>
              <w:pStyle w:val="Tablehead"/>
              <w:rPr>
                <w:lang w:eastAsia="en-GB"/>
              </w:rPr>
            </w:pPr>
            <w:r w:rsidRPr="00BF0D71">
              <w:rPr>
                <w:lang w:eastAsia="en-GB"/>
              </w:rPr>
              <w:t>C20/#</w:t>
            </w:r>
          </w:p>
        </w:tc>
        <w:tc>
          <w:tcPr>
            <w:tcW w:w="1134" w:type="dxa"/>
            <w:vMerge w:val="restart"/>
            <w:shd w:val="pct15" w:color="auto" w:fill="auto"/>
            <w:vAlign w:val="center"/>
          </w:tcPr>
          <w:p w14:paraId="37107D9C" w14:textId="77777777" w:rsidR="00675AD8" w:rsidRPr="00BF0D71" w:rsidRDefault="00675AD8" w:rsidP="00CC1389">
            <w:pPr>
              <w:pStyle w:val="Tablehead"/>
              <w:rPr>
                <w:sz w:val="18"/>
                <w:szCs w:val="18"/>
                <w:lang w:eastAsia="en-GB"/>
              </w:rPr>
            </w:pPr>
            <w:r w:rsidRPr="00BF0D71">
              <w:rPr>
                <w:szCs w:val="20"/>
                <w:lang w:eastAsia="en-GB"/>
              </w:rPr>
              <w:t>Contient</w:t>
            </w:r>
            <w:r w:rsidRPr="00BF0D71">
              <w:rPr>
                <w:szCs w:val="20"/>
                <w:lang w:eastAsia="en-GB"/>
              </w:rPr>
              <w:br/>
              <w:t>une Décision ou une</w:t>
            </w:r>
            <w:r w:rsidRPr="00BF0D71">
              <w:rPr>
                <w:szCs w:val="20"/>
                <w:lang w:eastAsia="en-GB"/>
              </w:rPr>
              <w:br/>
              <w:t>Résolution</w:t>
            </w:r>
          </w:p>
        </w:tc>
        <w:tc>
          <w:tcPr>
            <w:tcW w:w="1275" w:type="dxa"/>
            <w:shd w:val="pct15" w:color="auto" w:fill="auto"/>
            <w:vAlign w:val="center"/>
          </w:tcPr>
          <w:p w14:paraId="0EAF89F7" w14:textId="77777777" w:rsidR="00675AD8" w:rsidRPr="00BF0D71" w:rsidRDefault="00675AD8" w:rsidP="00CC1389">
            <w:pPr>
              <w:pStyle w:val="Tablehead"/>
              <w:rPr>
                <w:lang w:eastAsia="en-GB"/>
              </w:rPr>
            </w:pPr>
            <w:r w:rsidRPr="00BF0D71">
              <w:rPr>
                <w:lang w:eastAsia="en-GB"/>
              </w:rPr>
              <w:t>À l'ordre du jour de la consultation virtuelle</w:t>
            </w:r>
          </w:p>
          <w:p w14:paraId="7F4C765C" w14:textId="77777777" w:rsidR="00675AD8" w:rsidRPr="00BF0D71" w:rsidRDefault="00675AD8" w:rsidP="00CC1389">
            <w:pPr>
              <w:pStyle w:val="Tablehead"/>
              <w:rPr>
                <w:lang w:eastAsia="en-GB"/>
              </w:rPr>
            </w:pPr>
            <w:r w:rsidRPr="00BF0D71">
              <w:rPr>
                <w:lang w:eastAsia="en-GB"/>
              </w:rPr>
              <w:t>Oui/Non</w:t>
            </w:r>
          </w:p>
        </w:tc>
      </w:tr>
      <w:tr w:rsidR="00675AD8" w:rsidRPr="00BF0D71" w14:paraId="0C8A72A5" w14:textId="77777777" w:rsidTr="00CC1389">
        <w:trPr>
          <w:trHeight w:val="720"/>
          <w:tblHeader/>
          <w:jc w:val="center"/>
        </w:trPr>
        <w:tc>
          <w:tcPr>
            <w:tcW w:w="851" w:type="dxa"/>
            <w:vMerge/>
            <w:tcBorders>
              <w:left w:val="nil"/>
            </w:tcBorders>
            <w:shd w:val="clear" w:color="auto" w:fill="auto"/>
            <w:vAlign w:val="center"/>
          </w:tcPr>
          <w:p w14:paraId="5BABF004" w14:textId="77777777" w:rsidR="00675AD8" w:rsidRPr="00BF0D71" w:rsidRDefault="00675AD8" w:rsidP="00CC1389">
            <w:pPr>
              <w:spacing w:before="20" w:after="20" w:line="240" w:lineRule="auto"/>
              <w:jc w:val="center"/>
              <w:rPr>
                <w:b/>
                <w:bCs/>
                <w:color w:val="000000"/>
                <w:sz w:val="20"/>
                <w:szCs w:val="20"/>
                <w:lang w:eastAsia="en-GB"/>
              </w:rPr>
            </w:pPr>
          </w:p>
        </w:tc>
        <w:tc>
          <w:tcPr>
            <w:tcW w:w="5812" w:type="dxa"/>
            <w:vMerge/>
            <w:shd w:val="pct15" w:color="auto" w:fill="auto"/>
            <w:vAlign w:val="center"/>
          </w:tcPr>
          <w:p w14:paraId="6E23A0D1" w14:textId="77777777" w:rsidR="00675AD8" w:rsidRPr="00BF0D71" w:rsidRDefault="00675AD8" w:rsidP="00CC1389">
            <w:pPr>
              <w:pStyle w:val="Tablehead"/>
              <w:rPr>
                <w:lang w:eastAsia="en-GB"/>
              </w:rPr>
            </w:pPr>
          </w:p>
        </w:tc>
        <w:tc>
          <w:tcPr>
            <w:tcW w:w="851" w:type="dxa"/>
            <w:vMerge/>
            <w:shd w:val="pct15" w:color="auto" w:fill="auto"/>
            <w:noWrap/>
            <w:vAlign w:val="center"/>
          </w:tcPr>
          <w:p w14:paraId="67DD6A2F" w14:textId="77777777" w:rsidR="00675AD8" w:rsidRPr="00BF0D71" w:rsidRDefault="00675AD8" w:rsidP="00CC1389">
            <w:pPr>
              <w:pStyle w:val="Tablehead"/>
              <w:rPr>
                <w:lang w:eastAsia="en-GB"/>
              </w:rPr>
            </w:pPr>
          </w:p>
        </w:tc>
        <w:tc>
          <w:tcPr>
            <w:tcW w:w="1134" w:type="dxa"/>
            <w:vMerge/>
            <w:shd w:val="pct15" w:color="auto" w:fill="auto"/>
            <w:vAlign w:val="center"/>
          </w:tcPr>
          <w:p w14:paraId="343F7B72" w14:textId="77777777" w:rsidR="00675AD8" w:rsidRPr="00BF0D71" w:rsidRDefault="00675AD8" w:rsidP="00CC1389">
            <w:pPr>
              <w:pStyle w:val="Tablehead"/>
              <w:rPr>
                <w:lang w:eastAsia="en-GB"/>
              </w:rPr>
            </w:pPr>
          </w:p>
        </w:tc>
        <w:tc>
          <w:tcPr>
            <w:tcW w:w="1275" w:type="dxa"/>
            <w:shd w:val="pct15" w:color="auto" w:fill="auto"/>
            <w:vAlign w:val="center"/>
          </w:tcPr>
          <w:p w14:paraId="026F8D40" w14:textId="77777777" w:rsidR="00675AD8" w:rsidRPr="00BF0D71" w:rsidRDefault="00675AD8" w:rsidP="00CC1389">
            <w:pPr>
              <w:pStyle w:val="Tablehead"/>
              <w:rPr>
                <w:rFonts w:cstheme="minorHAnsi"/>
                <w:lang w:eastAsia="en-GB"/>
              </w:rPr>
            </w:pPr>
            <w:r w:rsidRPr="00BF0D71">
              <w:rPr>
                <w:lang w:eastAsia="en-GB"/>
              </w:rPr>
              <w:t>Proposition de l'État Membre du Conseil</w:t>
            </w:r>
          </w:p>
        </w:tc>
      </w:tr>
      <w:tr w:rsidR="00675AD8" w:rsidRPr="00BF0D71" w14:paraId="1A596F7B" w14:textId="77777777" w:rsidTr="00CC1389">
        <w:trPr>
          <w:jc w:val="center"/>
        </w:trPr>
        <w:tc>
          <w:tcPr>
            <w:tcW w:w="851" w:type="dxa"/>
            <w:shd w:val="clear" w:color="auto" w:fill="auto"/>
            <w:vAlign w:val="center"/>
          </w:tcPr>
          <w:p w14:paraId="365CE5BB" w14:textId="77777777" w:rsidR="00675AD8" w:rsidRPr="00BF0D71" w:rsidRDefault="00675AD8" w:rsidP="00CC1389">
            <w:pPr>
              <w:pStyle w:val="Tabletext"/>
              <w:jc w:val="center"/>
              <w:rPr>
                <w:b/>
                <w:bCs/>
                <w:lang w:eastAsia="en-GB"/>
              </w:rPr>
            </w:pPr>
            <w:r w:rsidRPr="00BF0D71">
              <w:rPr>
                <w:b/>
                <w:bCs/>
                <w:lang w:eastAsia="en-GB"/>
              </w:rPr>
              <w:t>1</w:t>
            </w:r>
          </w:p>
        </w:tc>
        <w:tc>
          <w:tcPr>
            <w:tcW w:w="5812" w:type="dxa"/>
            <w:shd w:val="clear" w:color="auto" w:fill="auto"/>
            <w:vAlign w:val="center"/>
            <w:hideMark/>
          </w:tcPr>
          <w:p w14:paraId="24E613D6" w14:textId="77777777" w:rsidR="00675AD8" w:rsidRPr="00BF0D71" w:rsidRDefault="00675AD8" w:rsidP="00CC1389">
            <w:pPr>
              <w:pStyle w:val="Tabletext"/>
              <w:rPr>
                <w:lang w:eastAsia="en-GB"/>
              </w:rPr>
            </w:pPr>
            <w:r w:rsidRPr="00BF0D71">
              <w:rPr>
                <w:lang w:eastAsia="en-GB"/>
              </w:rPr>
              <w:t>Rapport sur les résultats des activités du GTC-SMSI/ODD (</w:t>
            </w:r>
            <w:r w:rsidRPr="00BF0D71">
              <w:rPr>
                <w:i/>
                <w:iCs/>
                <w:lang w:eastAsia="en-GB"/>
              </w:rPr>
              <w:t>Résolution 140 de la PP et Résolutions 1281, 1332 (MOD) et 1334 (MOD) du Conseil</w:t>
            </w:r>
            <w:r w:rsidRPr="00BF0D71">
              <w:rPr>
                <w:lang w:eastAsia="en-GB"/>
              </w:rPr>
              <w:t>)</w:t>
            </w:r>
          </w:p>
        </w:tc>
        <w:tc>
          <w:tcPr>
            <w:tcW w:w="851" w:type="dxa"/>
            <w:shd w:val="clear" w:color="auto" w:fill="auto"/>
            <w:noWrap/>
            <w:vAlign w:val="center"/>
            <w:hideMark/>
          </w:tcPr>
          <w:p w14:paraId="2993CC4A" w14:textId="77777777" w:rsidR="00675AD8" w:rsidRPr="00BF0D71" w:rsidRDefault="00675AD8" w:rsidP="00CC1389">
            <w:pPr>
              <w:pStyle w:val="Tabletext"/>
              <w:jc w:val="center"/>
              <w:rPr>
                <w:lang w:eastAsia="en-GB"/>
              </w:rPr>
            </w:pPr>
            <w:r w:rsidRPr="00BF0D71">
              <w:rPr>
                <w:lang w:eastAsia="en-GB"/>
              </w:rPr>
              <w:t>8</w:t>
            </w:r>
          </w:p>
        </w:tc>
        <w:tc>
          <w:tcPr>
            <w:tcW w:w="1134" w:type="dxa"/>
            <w:shd w:val="clear" w:color="auto" w:fill="auto"/>
            <w:vAlign w:val="center"/>
          </w:tcPr>
          <w:p w14:paraId="2610FAAB"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746D260B" w14:textId="77777777" w:rsidR="00675AD8" w:rsidRPr="00BF0D71" w:rsidRDefault="00675AD8" w:rsidP="00CC1389">
            <w:pPr>
              <w:pStyle w:val="Tabletext"/>
              <w:jc w:val="center"/>
              <w:rPr>
                <w:lang w:eastAsia="en-GB"/>
              </w:rPr>
            </w:pPr>
          </w:p>
        </w:tc>
      </w:tr>
      <w:tr w:rsidR="00675AD8" w:rsidRPr="00BF0D71" w14:paraId="2BF527E7" w14:textId="77777777" w:rsidTr="00CC1389">
        <w:trPr>
          <w:jc w:val="center"/>
        </w:trPr>
        <w:tc>
          <w:tcPr>
            <w:tcW w:w="851" w:type="dxa"/>
            <w:shd w:val="clear" w:color="auto" w:fill="auto"/>
            <w:vAlign w:val="center"/>
          </w:tcPr>
          <w:p w14:paraId="74168258" w14:textId="77777777" w:rsidR="00675AD8" w:rsidRPr="00BF0D71" w:rsidRDefault="00675AD8" w:rsidP="00CC1389">
            <w:pPr>
              <w:pStyle w:val="Tabletext"/>
              <w:jc w:val="center"/>
              <w:rPr>
                <w:b/>
                <w:bCs/>
                <w:lang w:eastAsia="en-GB"/>
              </w:rPr>
            </w:pPr>
            <w:r w:rsidRPr="00BF0D71">
              <w:rPr>
                <w:b/>
                <w:bCs/>
                <w:lang w:eastAsia="en-GB"/>
              </w:rPr>
              <w:t>2</w:t>
            </w:r>
          </w:p>
        </w:tc>
        <w:tc>
          <w:tcPr>
            <w:tcW w:w="5812" w:type="dxa"/>
            <w:shd w:val="clear" w:color="auto" w:fill="auto"/>
            <w:vAlign w:val="center"/>
            <w:hideMark/>
          </w:tcPr>
          <w:p w14:paraId="1E9360CF" w14:textId="77777777" w:rsidR="00675AD8" w:rsidRPr="00BF0D71" w:rsidRDefault="00675AD8" w:rsidP="00CC1389">
            <w:pPr>
              <w:pStyle w:val="Tabletext"/>
              <w:rPr>
                <w:lang w:eastAsia="en-GB"/>
              </w:rPr>
            </w:pPr>
            <w:r w:rsidRPr="00BF0D71">
              <w:rPr>
                <w:lang w:eastAsia="en-GB"/>
              </w:rPr>
              <w:t>Rapport du Président du Groupe de travail du Conseil sur les questions de politiques publiques internationales relatives à l'Internet (GTC-Internet) (</w:t>
            </w:r>
            <w:r w:rsidRPr="00BF0D71">
              <w:rPr>
                <w:i/>
                <w:iCs/>
                <w:lang w:eastAsia="en-GB"/>
              </w:rPr>
              <w:t>Résolutions 1305 et 1336 (MOD) du Conseil)</w:t>
            </w:r>
          </w:p>
        </w:tc>
        <w:tc>
          <w:tcPr>
            <w:tcW w:w="851" w:type="dxa"/>
            <w:shd w:val="clear" w:color="auto" w:fill="auto"/>
            <w:noWrap/>
            <w:vAlign w:val="center"/>
            <w:hideMark/>
          </w:tcPr>
          <w:p w14:paraId="16F59BFA" w14:textId="77777777" w:rsidR="00675AD8" w:rsidRPr="00BF0D71" w:rsidRDefault="00675AD8" w:rsidP="00CC1389">
            <w:pPr>
              <w:pStyle w:val="Tabletext"/>
              <w:jc w:val="center"/>
              <w:rPr>
                <w:lang w:eastAsia="en-GB"/>
              </w:rPr>
            </w:pPr>
            <w:r w:rsidRPr="00BF0D71">
              <w:rPr>
                <w:lang w:eastAsia="en-GB"/>
              </w:rPr>
              <w:t>51</w:t>
            </w:r>
          </w:p>
        </w:tc>
        <w:tc>
          <w:tcPr>
            <w:tcW w:w="1134" w:type="dxa"/>
            <w:shd w:val="clear" w:color="auto" w:fill="auto"/>
            <w:vAlign w:val="center"/>
          </w:tcPr>
          <w:p w14:paraId="676D70D4"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6C8E58E5" w14:textId="77777777" w:rsidR="00675AD8" w:rsidRPr="00BF0D71" w:rsidRDefault="00675AD8" w:rsidP="00CC1389">
            <w:pPr>
              <w:pStyle w:val="Tabletext"/>
              <w:jc w:val="center"/>
              <w:rPr>
                <w:lang w:eastAsia="en-GB"/>
              </w:rPr>
            </w:pPr>
          </w:p>
        </w:tc>
      </w:tr>
      <w:tr w:rsidR="00675AD8" w:rsidRPr="00BF0D71" w14:paraId="7D3F5E8B" w14:textId="77777777" w:rsidTr="00CC1389">
        <w:trPr>
          <w:jc w:val="center"/>
        </w:trPr>
        <w:tc>
          <w:tcPr>
            <w:tcW w:w="851" w:type="dxa"/>
            <w:shd w:val="clear" w:color="auto" w:fill="auto"/>
            <w:vAlign w:val="center"/>
          </w:tcPr>
          <w:p w14:paraId="7708932B" w14:textId="77777777" w:rsidR="00675AD8" w:rsidRPr="00BF0D71" w:rsidRDefault="00675AD8" w:rsidP="00CC1389">
            <w:pPr>
              <w:pStyle w:val="Tabletext"/>
              <w:jc w:val="center"/>
              <w:rPr>
                <w:b/>
                <w:bCs/>
                <w:lang w:eastAsia="en-GB"/>
              </w:rPr>
            </w:pPr>
            <w:r w:rsidRPr="00BF0D71">
              <w:rPr>
                <w:b/>
                <w:bCs/>
                <w:lang w:eastAsia="en-GB"/>
              </w:rPr>
              <w:t>3</w:t>
            </w:r>
          </w:p>
        </w:tc>
        <w:tc>
          <w:tcPr>
            <w:tcW w:w="5812" w:type="dxa"/>
            <w:shd w:val="clear" w:color="auto" w:fill="auto"/>
            <w:vAlign w:val="center"/>
            <w:hideMark/>
          </w:tcPr>
          <w:p w14:paraId="1F02D90D" w14:textId="77777777" w:rsidR="00675AD8" w:rsidRPr="00BF0D71" w:rsidRDefault="00675AD8" w:rsidP="00CC1389">
            <w:pPr>
              <w:pStyle w:val="Tabletext"/>
              <w:rPr>
                <w:lang w:eastAsia="en-GB"/>
              </w:rPr>
            </w:pPr>
            <w:r w:rsidRPr="00BF0D71">
              <w:rPr>
                <w:lang w:eastAsia="en-GB"/>
              </w:rPr>
              <w:t xml:space="preserve">Activités de l'UIT liées à l'Internet: </w:t>
            </w:r>
            <w:r w:rsidRPr="00BF0D71">
              <w:rPr>
                <w:iCs/>
                <w:lang w:eastAsia="en-GB"/>
              </w:rPr>
              <w:t>Résolutions 101, 102, 133 et 180 de la PP</w:t>
            </w:r>
          </w:p>
        </w:tc>
        <w:tc>
          <w:tcPr>
            <w:tcW w:w="851" w:type="dxa"/>
            <w:shd w:val="clear" w:color="auto" w:fill="auto"/>
            <w:noWrap/>
            <w:vAlign w:val="center"/>
            <w:hideMark/>
          </w:tcPr>
          <w:p w14:paraId="4B4D8816" w14:textId="77777777" w:rsidR="00675AD8" w:rsidRPr="00BF0D71" w:rsidRDefault="00675AD8" w:rsidP="00CC1389">
            <w:pPr>
              <w:pStyle w:val="Tabletext"/>
              <w:jc w:val="center"/>
              <w:rPr>
                <w:lang w:eastAsia="en-GB"/>
              </w:rPr>
            </w:pPr>
            <w:r w:rsidRPr="00BF0D71">
              <w:rPr>
                <w:lang w:eastAsia="en-GB"/>
              </w:rPr>
              <w:t>33</w:t>
            </w:r>
          </w:p>
        </w:tc>
        <w:tc>
          <w:tcPr>
            <w:tcW w:w="1134" w:type="dxa"/>
            <w:shd w:val="clear" w:color="auto" w:fill="auto"/>
            <w:vAlign w:val="center"/>
          </w:tcPr>
          <w:p w14:paraId="786A8EF4"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2AFB141D" w14:textId="77777777" w:rsidR="00675AD8" w:rsidRPr="00BF0D71" w:rsidRDefault="00675AD8" w:rsidP="00CC1389">
            <w:pPr>
              <w:pStyle w:val="Tabletext"/>
              <w:jc w:val="center"/>
              <w:rPr>
                <w:lang w:eastAsia="en-GB"/>
              </w:rPr>
            </w:pPr>
          </w:p>
        </w:tc>
      </w:tr>
      <w:tr w:rsidR="00675AD8" w:rsidRPr="00BF0D71" w14:paraId="51BDE2F0" w14:textId="77777777" w:rsidTr="00CC1389">
        <w:trPr>
          <w:jc w:val="center"/>
        </w:trPr>
        <w:tc>
          <w:tcPr>
            <w:tcW w:w="851" w:type="dxa"/>
            <w:shd w:val="clear" w:color="auto" w:fill="auto"/>
            <w:vAlign w:val="center"/>
          </w:tcPr>
          <w:p w14:paraId="031AFBAD" w14:textId="77777777" w:rsidR="00675AD8" w:rsidRPr="00BF0D71" w:rsidRDefault="00675AD8" w:rsidP="00CC1389">
            <w:pPr>
              <w:pStyle w:val="Tabletext"/>
              <w:jc w:val="center"/>
              <w:rPr>
                <w:b/>
                <w:bCs/>
                <w:lang w:eastAsia="en-GB"/>
              </w:rPr>
            </w:pPr>
            <w:r w:rsidRPr="00BF0D71">
              <w:rPr>
                <w:b/>
                <w:bCs/>
                <w:lang w:eastAsia="en-GB"/>
              </w:rPr>
              <w:t>4</w:t>
            </w:r>
          </w:p>
        </w:tc>
        <w:tc>
          <w:tcPr>
            <w:tcW w:w="5812" w:type="dxa"/>
            <w:shd w:val="clear" w:color="auto" w:fill="auto"/>
            <w:vAlign w:val="center"/>
            <w:hideMark/>
          </w:tcPr>
          <w:p w14:paraId="3D35D505" w14:textId="77777777" w:rsidR="00675AD8" w:rsidRPr="00BF0D71" w:rsidRDefault="00675AD8" w:rsidP="00CC1389">
            <w:pPr>
              <w:pStyle w:val="Tabletext"/>
              <w:rPr>
                <w:lang w:eastAsia="en-GB"/>
              </w:rPr>
            </w:pPr>
            <w:r w:rsidRPr="00BF0D71">
              <w:rPr>
                <w:lang w:eastAsia="en-GB"/>
              </w:rPr>
              <w:t>Activités de l'UIT concernant le renforcement du rôle de l'Union dans l'instauration de la confiance et de la sécurité dans l'utilisation des TIC (</w:t>
            </w:r>
            <w:r w:rsidRPr="00BF0D71">
              <w:rPr>
                <w:i/>
                <w:iCs/>
                <w:lang w:eastAsia="en-GB"/>
              </w:rPr>
              <w:t>Résolutions 130 et 174 de la PP</w:t>
            </w:r>
            <w:r w:rsidRPr="00BF0D71">
              <w:rPr>
                <w:lang w:eastAsia="en-GB"/>
              </w:rPr>
              <w:t>)</w:t>
            </w:r>
          </w:p>
        </w:tc>
        <w:tc>
          <w:tcPr>
            <w:tcW w:w="851" w:type="dxa"/>
            <w:shd w:val="clear" w:color="auto" w:fill="auto"/>
            <w:noWrap/>
            <w:vAlign w:val="center"/>
            <w:hideMark/>
          </w:tcPr>
          <w:p w14:paraId="5539EAFF" w14:textId="77777777" w:rsidR="00675AD8" w:rsidRPr="00BF0D71" w:rsidRDefault="00675AD8" w:rsidP="00CC1389">
            <w:pPr>
              <w:pStyle w:val="Tabletext"/>
              <w:jc w:val="center"/>
              <w:rPr>
                <w:lang w:eastAsia="en-GB"/>
              </w:rPr>
            </w:pPr>
            <w:r w:rsidRPr="00BF0D71">
              <w:rPr>
                <w:lang w:eastAsia="en-GB"/>
              </w:rPr>
              <w:t>18</w:t>
            </w:r>
          </w:p>
        </w:tc>
        <w:tc>
          <w:tcPr>
            <w:tcW w:w="1134" w:type="dxa"/>
            <w:shd w:val="clear" w:color="auto" w:fill="auto"/>
            <w:vAlign w:val="center"/>
          </w:tcPr>
          <w:p w14:paraId="29F922BD"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55B667ED" w14:textId="77777777" w:rsidR="00675AD8" w:rsidRPr="00BF0D71" w:rsidRDefault="00675AD8" w:rsidP="00CC1389">
            <w:pPr>
              <w:pStyle w:val="Tabletext"/>
              <w:jc w:val="center"/>
              <w:rPr>
                <w:lang w:eastAsia="en-GB"/>
              </w:rPr>
            </w:pPr>
          </w:p>
        </w:tc>
      </w:tr>
      <w:tr w:rsidR="00675AD8" w:rsidRPr="00BF0D71" w14:paraId="546F1D47" w14:textId="77777777" w:rsidTr="00CC1389">
        <w:trPr>
          <w:jc w:val="center"/>
        </w:trPr>
        <w:tc>
          <w:tcPr>
            <w:tcW w:w="851" w:type="dxa"/>
            <w:shd w:val="clear" w:color="auto" w:fill="auto"/>
            <w:vAlign w:val="center"/>
          </w:tcPr>
          <w:p w14:paraId="7CB7E3FB" w14:textId="77777777" w:rsidR="00675AD8" w:rsidRPr="00BF0D71" w:rsidRDefault="00675AD8" w:rsidP="00CC1389">
            <w:pPr>
              <w:pStyle w:val="Tabletext"/>
              <w:jc w:val="center"/>
              <w:rPr>
                <w:b/>
                <w:bCs/>
                <w:lang w:eastAsia="en-GB"/>
              </w:rPr>
            </w:pPr>
            <w:r w:rsidRPr="00BF0D71">
              <w:rPr>
                <w:b/>
                <w:bCs/>
                <w:lang w:eastAsia="en-GB"/>
              </w:rPr>
              <w:t>5</w:t>
            </w:r>
          </w:p>
        </w:tc>
        <w:tc>
          <w:tcPr>
            <w:tcW w:w="5812" w:type="dxa"/>
            <w:shd w:val="clear" w:color="auto" w:fill="auto"/>
            <w:vAlign w:val="center"/>
            <w:hideMark/>
          </w:tcPr>
          <w:p w14:paraId="35B2095F" w14:textId="77777777" w:rsidR="00675AD8" w:rsidRPr="00BF0D71" w:rsidRDefault="00675AD8" w:rsidP="00CC1389">
            <w:pPr>
              <w:pStyle w:val="Tabletext"/>
              <w:rPr>
                <w:lang w:eastAsia="en-GB"/>
              </w:rPr>
            </w:pPr>
            <w:r w:rsidRPr="00BF0D71">
              <w:rPr>
                <w:bCs/>
                <w:lang w:eastAsia="en-GB"/>
              </w:rPr>
              <w:t>Rapport sur la façon dont le cadre offert par le Programme mondial cybersécurité est actuellement utilisé par l'UIT</w:t>
            </w:r>
          </w:p>
        </w:tc>
        <w:tc>
          <w:tcPr>
            <w:tcW w:w="851" w:type="dxa"/>
            <w:shd w:val="clear" w:color="auto" w:fill="auto"/>
            <w:noWrap/>
            <w:vAlign w:val="center"/>
            <w:hideMark/>
          </w:tcPr>
          <w:p w14:paraId="0A1E5EA7" w14:textId="77777777" w:rsidR="00675AD8" w:rsidRPr="00BF0D71" w:rsidRDefault="00675AD8" w:rsidP="00CC1389">
            <w:pPr>
              <w:pStyle w:val="Tabletext"/>
              <w:jc w:val="center"/>
              <w:rPr>
                <w:lang w:eastAsia="en-GB"/>
              </w:rPr>
            </w:pPr>
            <w:r w:rsidRPr="00BF0D71">
              <w:rPr>
                <w:lang w:eastAsia="en-GB"/>
              </w:rPr>
              <w:t>36</w:t>
            </w:r>
          </w:p>
        </w:tc>
        <w:tc>
          <w:tcPr>
            <w:tcW w:w="1134" w:type="dxa"/>
            <w:shd w:val="clear" w:color="auto" w:fill="auto"/>
            <w:vAlign w:val="center"/>
          </w:tcPr>
          <w:p w14:paraId="4A21D7AD"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0F5BEBBB" w14:textId="77777777" w:rsidR="00675AD8" w:rsidRPr="00BF0D71" w:rsidRDefault="00675AD8" w:rsidP="00CC1389">
            <w:pPr>
              <w:pStyle w:val="Tabletext"/>
              <w:jc w:val="center"/>
              <w:rPr>
                <w:lang w:eastAsia="en-GB"/>
              </w:rPr>
            </w:pPr>
          </w:p>
        </w:tc>
      </w:tr>
      <w:tr w:rsidR="00675AD8" w:rsidRPr="00BF0D71" w14:paraId="4953848A" w14:textId="77777777" w:rsidTr="00CC1389">
        <w:trPr>
          <w:jc w:val="center"/>
        </w:trPr>
        <w:tc>
          <w:tcPr>
            <w:tcW w:w="851" w:type="dxa"/>
            <w:shd w:val="clear" w:color="auto" w:fill="auto"/>
            <w:vAlign w:val="center"/>
          </w:tcPr>
          <w:p w14:paraId="45C31D69" w14:textId="77777777" w:rsidR="00675AD8" w:rsidRPr="00BF0D71" w:rsidRDefault="00675AD8" w:rsidP="00CC1389">
            <w:pPr>
              <w:pStyle w:val="Tabletext"/>
              <w:jc w:val="center"/>
              <w:rPr>
                <w:b/>
                <w:bCs/>
                <w:lang w:eastAsia="en-GB"/>
              </w:rPr>
            </w:pPr>
            <w:r w:rsidRPr="00BF0D71">
              <w:rPr>
                <w:b/>
                <w:bCs/>
                <w:lang w:eastAsia="en-GB"/>
              </w:rPr>
              <w:t>6</w:t>
            </w:r>
          </w:p>
        </w:tc>
        <w:tc>
          <w:tcPr>
            <w:tcW w:w="5812" w:type="dxa"/>
            <w:shd w:val="clear" w:color="auto" w:fill="auto"/>
            <w:vAlign w:val="center"/>
            <w:hideMark/>
          </w:tcPr>
          <w:p w14:paraId="694C1F35" w14:textId="77777777" w:rsidR="00675AD8" w:rsidRPr="00BF0D71" w:rsidRDefault="00675AD8" w:rsidP="00CC1389">
            <w:pPr>
              <w:pStyle w:val="Tabletext"/>
              <w:rPr>
                <w:lang w:eastAsia="en-GB"/>
              </w:rPr>
            </w:pPr>
            <w:r w:rsidRPr="00BF0D71">
              <w:rPr>
                <w:bCs/>
                <w:lang w:eastAsia="en-GB"/>
              </w:rPr>
              <w:t>Lignes directrices relatives à l'utilisation du Programme mondial cybersécurité par l'UIT</w:t>
            </w:r>
          </w:p>
        </w:tc>
        <w:tc>
          <w:tcPr>
            <w:tcW w:w="851" w:type="dxa"/>
            <w:shd w:val="clear" w:color="auto" w:fill="auto"/>
            <w:noWrap/>
            <w:vAlign w:val="center"/>
          </w:tcPr>
          <w:p w14:paraId="28561AD5" w14:textId="77777777" w:rsidR="00675AD8" w:rsidRPr="00BF0D71" w:rsidRDefault="00675AD8" w:rsidP="00CC1389">
            <w:pPr>
              <w:pStyle w:val="Tabletext"/>
              <w:jc w:val="center"/>
              <w:rPr>
                <w:lang w:eastAsia="en-GB"/>
              </w:rPr>
            </w:pPr>
            <w:r w:rsidRPr="00BF0D71">
              <w:rPr>
                <w:lang w:eastAsia="en-GB"/>
              </w:rPr>
              <w:t>65</w:t>
            </w:r>
          </w:p>
        </w:tc>
        <w:tc>
          <w:tcPr>
            <w:tcW w:w="1134" w:type="dxa"/>
            <w:shd w:val="clear" w:color="auto" w:fill="auto"/>
            <w:vAlign w:val="center"/>
          </w:tcPr>
          <w:p w14:paraId="0A502A69"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4077A721" w14:textId="77777777" w:rsidR="00675AD8" w:rsidRPr="00BF0D71" w:rsidRDefault="00675AD8" w:rsidP="00CC1389">
            <w:pPr>
              <w:pStyle w:val="Tabletext"/>
              <w:jc w:val="center"/>
              <w:rPr>
                <w:lang w:eastAsia="en-GB"/>
              </w:rPr>
            </w:pPr>
          </w:p>
        </w:tc>
      </w:tr>
      <w:tr w:rsidR="00675AD8" w:rsidRPr="00BF0D71" w14:paraId="4D7F3F4A" w14:textId="77777777" w:rsidTr="00CC1389">
        <w:trPr>
          <w:jc w:val="center"/>
        </w:trPr>
        <w:tc>
          <w:tcPr>
            <w:tcW w:w="851" w:type="dxa"/>
            <w:shd w:val="clear" w:color="auto" w:fill="auto"/>
            <w:vAlign w:val="center"/>
          </w:tcPr>
          <w:p w14:paraId="24107D06" w14:textId="77777777" w:rsidR="00675AD8" w:rsidRPr="00BF0D71" w:rsidRDefault="00675AD8" w:rsidP="00CC1389">
            <w:pPr>
              <w:pStyle w:val="Tabletext"/>
              <w:jc w:val="center"/>
              <w:rPr>
                <w:b/>
                <w:bCs/>
                <w:lang w:eastAsia="en-GB"/>
              </w:rPr>
            </w:pPr>
            <w:r w:rsidRPr="00BF0D71">
              <w:rPr>
                <w:b/>
                <w:bCs/>
                <w:lang w:eastAsia="en-GB"/>
              </w:rPr>
              <w:lastRenderedPageBreak/>
              <w:t>7</w:t>
            </w:r>
          </w:p>
        </w:tc>
        <w:tc>
          <w:tcPr>
            <w:tcW w:w="5812" w:type="dxa"/>
            <w:shd w:val="clear" w:color="auto" w:fill="auto"/>
            <w:vAlign w:val="center"/>
            <w:hideMark/>
          </w:tcPr>
          <w:p w14:paraId="27990F52" w14:textId="77777777" w:rsidR="00675AD8" w:rsidRPr="00BF0D71" w:rsidRDefault="00675AD8" w:rsidP="00CC1389">
            <w:pPr>
              <w:pStyle w:val="Tabletext"/>
              <w:rPr>
                <w:lang w:eastAsia="en-GB"/>
              </w:rPr>
            </w:pPr>
            <w:r w:rsidRPr="00BF0D71">
              <w:rPr>
                <w:bCs/>
                <w:lang w:eastAsia="en-GB"/>
              </w:rPr>
              <w:t>Rapport du Groupe de travail du Conseil sur la protection en ligne des enfants (</w:t>
            </w:r>
            <w:r w:rsidRPr="00BF0D71">
              <w:rPr>
                <w:bCs/>
                <w:i/>
                <w:iCs/>
                <w:lang w:eastAsia="en-GB"/>
              </w:rPr>
              <w:t>Résolution 179 de la PP, Résolution 1306 (MOD) du Conseil</w:t>
            </w:r>
            <w:r w:rsidRPr="00BF0D71">
              <w:rPr>
                <w:bCs/>
                <w:lang w:eastAsia="en-GB"/>
              </w:rPr>
              <w:t>)</w:t>
            </w:r>
          </w:p>
        </w:tc>
        <w:tc>
          <w:tcPr>
            <w:tcW w:w="851" w:type="dxa"/>
            <w:shd w:val="clear" w:color="auto" w:fill="auto"/>
            <w:noWrap/>
            <w:vAlign w:val="center"/>
            <w:hideMark/>
          </w:tcPr>
          <w:p w14:paraId="35ED82D9" w14:textId="77777777" w:rsidR="00675AD8" w:rsidRPr="00BF0D71" w:rsidRDefault="00675AD8" w:rsidP="00CC1389">
            <w:pPr>
              <w:pStyle w:val="Tabletext"/>
              <w:jc w:val="center"/>
              <w:rPr>
                <w:lang w:eastAsia="en-GB"/>
              </w:rPr>
            </w:pPr>
            <w:r w:rsidRPr="00BF0D71">
              <w:rPr>
                <w:lang w:eastAsia="en-GB"/>
              </w:rPr>
              <w:t>57</w:t>
            </w:r>
          </w:p>
        </w:tc>
        <w:tc>
          <w:tcPr>
            <w:tcW w:w="1134" w:type="dxa"/>
            <w:shd w:val="clear" w:color="auto" w:fill="auto"/>
            <w:vAlign w:val="center"/>
          </w:tcPr>
          <w:p w14:paraId="73C1924D"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64167B26" w14:textId="77777777" w:rsidR="00675AD8" w:rsidRPr="00BF0D71" w:rsidRDefault="00675AD8" w:rsidP="00CC1389">
            <w:pPr>
              <w:pStyle w:val="Tabletext"/>
              <w:jc w:val="center"/>
              <w:rPr>
                <w:lang w:eastAsia="en-GB"/>
              </w:rPr>
            </w:pPr>
          </w:p>
        </w:tc>
      </w:tr>
      <w:tr w:rsidR="00675AD8" w:rsidRPr="00BF0D71" w14:paraId="5FA55BEF" w14:textId="77777777" w:rsidTr="00CC1389">
        <w:trPr>
          <w:jc w:val="center"/>
        </w:trPr>
        <w:tc>
          <w:tcPr>
            <w:tcW w:w="851" w:type="dxa"/>
            <w:shd w:val="clear" w:color="auto" w:fill="auto"/>
            <w:vAlign w:val="center"/>
          </w:tcPr>
          <w:p w14:paraId="25ABD599" w14:textId="77777777" w:rsidR="00675AD8" w:rsidRPr="00BF0D71" w:rsidRDefault="00675AD8" w:rsidP="00CC1389">
            <w:pPr>
              <w:pStyle w:val="Tabletext"/>
              <w:jc w:val="center"/>
              <w:rPr>
                <w:b/>
                <w:bCs/>
                <w:lang w:eastAsia="en-GB"/>
              </w:rPr>
            </w:pPr>
            <w:r w:rsidRPr="00BF0D71">
              <w:rPr>
                <w:b/>
                <w:bCs/>
                <w:lang w:eastAsia="en-GB"/>
              </w:rPr>
              <w:t>8</w:t>
            </w:r>
          </w:p>
        </w:tc>
        <w:tc>
          <w:tcPr>
            <w:tcW w:w="5812" w:type="dxa"/>
            <w:shd w:val="clear" w:color="auto" w:fill="auto"/>
            <w:vAlign w:val="center"/>
            <w:hideMark/>
          </w:tcPr>
          <w:p w14:paraId="4C2E0EA5" w14:textId="77777777" w:rsidR="00675AD8" w:rsidRPr="00BF0D71" w:rsidRDefault="00675AD8" w:rsidP="00CC1389">
            <w:pPr>
              <w:pStyle w:val="Tabletext"/>
              <w:rPr>
                <w:lang w:eastAsia="en-GB"/>
              </w:rPr>
            </w:pPr>
            <w:r w:rsidRPr="00BF0D71">
              <w:rPr>
                <w:lang w:eastAsia="en-GB"/>
              </w:rPr>
              <w:t>Rapport du Groupe de travail du Conseil sur l'utilisation des langues (</w:t>
            </w:r>
            <w:r w:rsidRPr="00BF0D71">
              <w:rPr>
                <w:i/>
                <w:iCs/>
                <w:lang w:eastAsia="en-GB"/>
              </w:rPr>
              <w:t>Résolution 154 de la PP, Résolution 1372 (MOD) du Conseil</w:t>
            </w:r>
            <w:r w:rsidRPr="00BF0D71">
              <w:rPr>
                <w:lang w:eastAsia="en-GB"/>
              </w:rPr>
              <w:t>)</w:t>
            </w:r>
          </w:p>
        </w:tc>
        <w:tc>
          <w:tcPr>
            <w:tcW w:w="851" w:type="dxa"/>
            <w:shd w:val="clear" w:color="auto" w:fill="auto"/>
            <w:noWrap/>
            <w:vAlign w:val="center"/>
            <w:hideMark/>
          </w:tcPr>
          <w:p w14:paraId="1DF4B566" w14:textId="77777777" w:rsidR="00675AD8" w:rsidRPr="00BF0D71" w:rsidRDefault="00675AD8" w:rsidP="00CC1389">
            <w:pPr>
              <w:pStyle w:val="Tabletext"/>
              <w:jc w:val="center"/>
              <w:rPr>
                <w:lang w:eastAsia="en-GB"/>
              </w:rPr>
            </w:pPr>
            <w:r w:rsidRPr="00BF0D71">
              <w:rPr>
                <w:lang w:eastAsia="en-GB"/>
              </w:rPr>
              <w:t>12</w:t>
            </w:r>
          </w:p>
        </w:tc>
        <w:tc>
          <w:tcPr>
            <w:tcW w:w="1134" w:type="dxa"/>
            <w:shd w:val="clear" w:color="auto" w:fill="auto"/>
            <w:vAlign w:val="center"/>
          </w:tcPr>
          <w:p w14:paraId="4FDFBB48"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55209FF5" w14:textId="77777777" w:rsidR="00675AD8" w:rsidRPr="00BF0D71" w:rsidRDefault="00675AD8" w:rsidP="00CC1389">
            <w:pPr>
              <w:pStyle w:val="Tabletext"/>
              <w:jc w:val="center"/>
              <w:rPr>
                <w:lang w:eastAsia="en-GB"/>
              </w:rPr>
            </w:pPr>
          </w:p>
        </w:tc>
      </w:tr>
      <w:tr w:rsidR="00675AD8" w:rsidRPr="00BF0D71" w14:paraId="7313A8E3" w14:textId="77777777" w:rsidTr="00CC1389">
        <w:trPr>
          <w:jc w:val="center"/>
        </w:trPr>
        <w:tc>
          <w:tcPr>
            <w:tcW w:w="851" w:type="dxa"/>
            <w:shd w:val="clear" w:color="auto" w:fill="auto"/>
            <w:vAlign w:val="center"/>
          </w:tcPr>
          <w:p w14:paraId="65C4C92C" w14:textId="77777777" w:rsidR="00675AD8" w:rsidRPr="00BF0D71" w:rsidRDefault="00675AD8" w:rsidP="00CC1389">
            <w:pPr>
              <w:pStyle w:val="Tabletext"/>
              <w:jc w:val="center"/>
              <w:rPr>
                <w:b/>
                <w:bCs/>
                <w:lang w:eastAsia="en-GB"/>
              </w:rPr>
            </w:pPr>
            <w:r w:rsidRPr="00BF0D71">
              <w:rPr>
                <w:b/>
                <w:bCs/>
                <w:lang w:eastAsia="en-GB"/>
              </w:rPr>
              <w:t>9</w:t>
            </w:r>
          </w:p>
        </w:tc>
        <w:tc>
          <w:tcPr>
            <w:tcW w:w="5812" w:type="dxa"/>
            <w:shd w:val="clear" w:color="auto" w:fill="auto"/>
            <w:vAlign w:val="center"/>
            <w:hideMark/>
          </w:tcPr>
          <w:p w14:paraId="496685A9" w14:textId="77777777" w:rsidR="00675AD8" w:rsidRPr="00BF0D71" w:rsidRDefault="00675AD8" w:rsidP="00CC1389">
            <w:pPr>
              <w:pStyle w:val="Tabletext"/>
              <w:rPr>
                <w:lang w:eastAsia="en-GB"/>
              </w:rPr>
            </w:pPr>
            <w:r w:rsidRPr="00BF0D71">
              <w:rPr>
                <w:lang w:eastAsia="en-GB"/>
              </w:rPr>
              <w:t>Rapport du Groupe EG-RTI (</w:t>
            </w:r>
            <w:r w:rsidRPr="00BF0D71">
              <w:rPr>
                <w:i/>
                <w:lang w:eastAsia="en-GB"/>
              </w:rPr>
              <w:t xml:space="preserve">Résolution 146 de la PP, Résolution 1379 </w:t>
            </w:r>
            <w:r w:rsidRPr="00BF0D71">
              <w:rPr>
                <w:i/>
                <w:iCs/>
                <w:lang w:eastAsia="en-GB"/>
              </w:rPr>
              <w:t>(MOD</w:t>
            </w:r>
            <w:r w:rsidRPr="00BF0D71">
              <w:rPr>
                <w:i/>
                <w:lang w:eastAsia="en-GB"/>
              </w:rPr>
              <w:t>) du Conseil</w:t>
            </w:r>
            <w:r w:rsidRPr="00BF0D71">
              <w:rPr>
                <w:i/>
                <w:iCs/>
                <w:lang w:eastAsia="en-GB"/>
              </w:rPr>
              <w:t>)</w:t>
            </w:r>
          </w:p>
        </w:tc>
        <w:tc>
          <w:tcPr>
            <w:tcW w:w="851" w:type="dxa"/>
            <w:shd w:val="clear" w:color="auto" w:fill="auto"/>
            <w:noWrap/>
            <w:vAlign w:val="center"/>
            <w:hideMark/>
          </w:tcPr>
          <w:p w14:paraId="7D2274B7" w14:textId="77777777" w:rsidR="00675AD8" w:rsidRPr="00BF0D71" w:rsidRDefault="00675AD8" w:rsidP="00CC1389">
            <w:pPr>
              <w:pStyle w:val="Tabletext"/>
              <w:jc w:val="center"/>
              <w:rPr>
                <w:lang w:eastAsia="en-GB"/>
              </w:rPr>
            </w:pPr>
            <w:r w:rsidRPr="00BF0D71">
              <w:rPr>
                <w:lang w:eastAsia="en-GB"/>
              </w:rPr>
              <w:t>26</w:t>
            </w:r>
          </w:p>
        </w:tc>
        <w:tc>
          <w:tcPr>
            <w:tcW w:w="1134" w:type="dxa"/>
            <w:shd w:val="clear" w:color="auto" w:fill="auto"/>
            <w:vAlign w:val="center"/>
          </w:tcPr>
          <w:p w14:paraId="2DE485E5"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32F16DF2" w14:textId="77777777" w:rsidR="00675AD8" w:rsidRPr="00BF0D71" w:rsidRDefault="00675AD8" w:rsidP="00CC1389">
            <w:pPr>
              <w:pStyle w:val="Tabletext"/>
              <w:jc w:val="center"/>
              <w:rPr>
                <w:lang w:eastAsia="en-GB"/>
              </w:rPr>
            </w:pPr>
          </w:p>
        </w:tc>
      </w:tr>
      <w:tr w:rsidR="00675AD8" w:rsidRPr="00BF0D71" w14:paraId="4023AC0A" w14:textId="77777777" w:rsidTr="00CC1389">
        <w:trPr>
          <w:jc w:val="center"/>
        </w:trPr>
        <w:tc>
          <w:tcPr>
            <w:tcW w:w="851" w:type="dxa"/>
            <w:shd w:val="clear" w:color="auto" w:fill="auto"/>
            <w:vAlign w:val="center"/>
          </w:tcPr>
          <w:p w14:paraId="544313B6" w14:textId="77777777" w:rsidR="00675AD8" w:rsidRPr="00BF0D71" w:rsidRDefault="00675AD8" w:rsidP="00CC1389">
            <w:pPr>
              <w:pStyle w:val="Tabletext"/>
              <w:jc w:val="center"/>
              <w:rPr>
                <w:b/>
                <w:bCs/>
                <w:lang w:eastAsia="en-GB"/>
              </w:rPr>
            </w:pPr>
            <w:r w:rsidRPr="00BF0D71">
              <w:rPr>
                <w:b/>
                <w:bCs/>
                <w:lang w:eastAsia="en-GB"/>
              </w:rPr>
              <w:t>10</w:t>
            </w:r>
          </w:p>
        </w:tc>
        <w:tc>
          <w:tcPr>
            <w:tcW w:w="5812" w:type="dxa"/>
            <w:shd w:val="clear" w:color="auto" w:fill="auto"/>
            <w:vAlign w:val="center"/>
            <w:hideMark/>
          </w:tcPr>
          <w:p w14:paraId="2C5801B6" w14:textId="31EA3EB4" w:rsidR="00675AD8" w:rsidRPr="00BF0D71" w:rsidRDefault="00675AD8" w:rsidP="00CC1389">
            <w:pPr>
              <w:pStyle w:val="Tabletext"/>
              <w:rPr>
                <w:lang w:eastAsia="en-GB"/>
              </w:rPr>
            </w:pPr>
            <w:r w:rsidRPr="00BF0D71">
              <w:rPr>
                <w:lang w:eastAsia="en-GB"/>
              </w:rPr>
              <w:t>Activités de l'UIT relatives à la Résolution 70 (Rév. Dubaï, 2018) de la</w:t>
            </w:r>
            <w:r w:rsidR="00330AC7" w:rsidRPr="00BF0D71">
              <w:rPr>
                <w:lang w:eastAsia="en-GB"/>
              </w:rPr>
              <w:t> </w:t>
            </w:r>
            <w:r w:rsidRPr="00BF0D71">
              <w:rPr>
                <w:lang w:eastAsia="en-GB"/>
              </w:rPr>
              <w:t>PP</w:t>
            </w:r>
          </w:p>
        </w:tc>
        <w:tc>
          <w:tcPr>
            <w:tcW w:w="851" w:type="dxa"/>
            <w:shd w:val="clear" w:color="auto" w:fill="auto"/>
            <w:vAlign w:val="center"/>
            <w:hideMark/>
          </w:tcPr>
          <w:p w14:paraId="47467FBA" w14:textId="77777777" w:rsidR="00675AD8" w:rsidRPr="00BF0D71" w:rsidRDefault="00675AD8" w:rsidP="00CC1389">
            <w:pPr>
              <w:pStyle w:val="Tabletext"/>
              <w:jc w:val="center"/>
              <w:rPr>
                <w:lang w:eastAsia="en-GB"/>
              </w:rPr>
            </w:pPr>
            <w:r w:rsidRPr="00BF0D71">
              <w:rPr>
                <w:lang w:eastAsia="en-GB"/>
              </w:rPr>
              <w:t>6</w:t>
            </w:r>
          </w:p>
        </w:tc>
        <w:tc>
          <w:tcPr>
            <w:tcW w:w="1134" w:type="dxa"/>
            <w:shd w:val="clear" w:color="auto" w:fill="auto"/>
            <w:vAlign w:val="center"/>
          </w:tcPr>
          <w:p w14:paraId="769EEFE3"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4A65D831" w14:textId="77777777" w:rsidR="00675AD8" w:rsidRPr="00BF0D71" w:rsidRDefault="00675AD8" w:rsidP="00CC1389">
            <w:pPr>
              <w:pStyle w:val="Tabletext"/>
              <w:jc w:val="center"/>
              <w:rPr>
                <w:lang w:eastAsia="en-GB"/>
              </w:rPr>
            </w:pPr>
          </w:p>
        </w:tc>
      </w:tr>
      <w:tr w:rsidR="00675AD8" w:rsidRPr="00BF0D71" w14:paraId="1DEFDE35" w14:textId="77777777" w:rsidTr="00CC1389">
        <w:trPr>
          <w:jc w:val="center"/>
        </w:trPr>
        <w:tc>
          <w:tcPr>
            <w:tcW w:w="851" w:type="dxa"/>
            <w:shd w:val="clear" w:color="auto" w:fill="auto"/>
            <w:vAlign w:val="center"/>
          </w:tcPr>
          <w:p w14:paraId="338BC61D" w14:textId="77777777" w:rsidR="00675AD8" w:rsidRPr="00BF0D71" w:rsidRDefault="00675AD8" w:rsidP="00CC1389">
            <w:pPr>
              <w:pStyle w:val="Tabletext"/>
              <w:jc w:val="center"/>
              <w:rPr>
                <w:b/>
                <w:bCs/>
                <w:lang w:eastAsia="en-GB"/>
              </w:rPr>
            </w:pPr>
            <w:r w:rsidRPr="00BF0D71">
              <w:rPr>
                <w:b/>
                <w:bCs/>
                <w:lang w:eastAsia="en-GB"/>
              </w:rPr>
              <w:t>11</w:t>
            </w:r>
          </w:p>
        </w:tc>
        <w:tc>
          <w:tcPr>
            <w:tcW w:w="5812" w:type="dxa"/>
            <w:shd w:val="clear" w:color="auto" w:fill="auto"/>
            <w:vAlign w:val="center"/>
            <w:hideMark/>
          </w:tcPr>
          <w:p w14:paraId="143C0F25" w14:textId="77777777" w:rsidR="00675AD8" w:rsidRPr="00BF0D71" w:rsidRDefault="00675AD8" w:rsidP="00CC1389">
            <w:pPr>
              <w:pStyle w:val="Tabletext"/>
              <w:rPr>
                <w:lang w:eastAsia="en-GB"/>
              </w:rPr>
            </w:pPr>
            <w:bookmarkStart w:id="19" w:name="RANGE!C13"/>
            <w:r w:rsidRPr="00BF0D71">
              <w:rPr>
                <w:lang w:eastAsia="en-GB"/>
              </w:rPr>
              <w:t xml:space="preserve">Projet de Plan opérationnel quadriennal du Secrétariat général pour la période 2021-2024 (numéros 87A, 181A, 205A, 223A de la Convention) </w:t>
            </w:r>
            <w:bookmarkEnd w:id="19"/>
          </w:p>
        </w:tc>
        <w:tc>
          <w:tcPr>
            <w:tcW w:w="851" w:type="dxa"/>
            <w:shd w:val="clear" w:color="auto" w:fill="auto"/>
            <w:vAlign w:val="center"/>
            <w:hideMark/>
          </w:tcPr>
          <w:p w14:paraId="5F1DB24A" w14:textId="77777777" w:rsidR="00675AD8" w:rsidRPr="00BF0D71" w:rsidRDefault="00675AD8" w:rsidP="00CC1389">
            <w:pPr>
              <w:pStyle w:val="Tabletext"/>
              <w:jc w:val="center"/>
              <w:rPr>
                <w:lang w:eastAsia="en-GB"/>
              </w:rPr>
            </w:pPr>
            <w:r w:rsidRPr="00BF0D71">
              <w:rPr>
                <w:lang w:eastAsia="en-GB"/>
              </w:rPr>
              <w:t>28</w:t>
            </w:r>
          </w:p>
        </w:tc>
        <w:tc>
          <w:tcPr>
            <w:tcW w:w="1134" w:type="dxa"/>
            <w:shd w:val="clear" w:color="auto" w:fill="auto"/>
            <w:vAlign w:val="center"/>
          </w:tcPr>
          <w:p w14:paraId="114DB566" w14:textId="77777777" w:rsidR="00675AD8" w:rsidRPr="00BF0D71" w:rsidRDefault="00675AD8" w:rsidP="00CC1389">
            <w:pPr>
              <w:pStyle w:val="Tabletext"/>
              <w:jc w:val="center"/>
              <w:rPr>
                <w:lang w:eastAsia="en-GB"/>
              </w:rPr>
            </w:pPr>
            <w:r w:rsidRPr="00BF0D71">
              <w:rPr>
                <w:lang w:eastAsia="en-GB"/>
              </w:rPr>
              <w:t>Résolution</w:t>
            </w:r>
          </w:p>
        </w:tc>
        <w:tc>
          <w:tcPr>
            <w:tcW w:w="1275" w:type="dxa"/>
            <w:shd w:val="clear" w:color="auto" w:fill="auto"/>
            <w:vAlign w:val="center"/>
          </w:tcPr>
          <w:p w14:paraId="6D34CED6" w14:textId="77777777" w:rsidR="00675AD8" w:rsidRPr="00BF0D71" w:rsidRDefault="00675AD8" w:rsidP="00CC1389">
            <w:pPr>
              <w:pStyle w:val="Tabletext"/>
              <w:jc w:val="center"/>
              <w:rPr>
                <w:lang w:eastAsia="en-GB"/>
              </w:rPr>
            </w:pPr>
          </w:p>
        </w:tc>
      </w:tr>
      <w:tr w:rsidR="00675AD8" w:rsidRPr="00BF0D71" w14:paraId="254BFDB5" w14:textId="77777777" w:rsidTr="00CC1389">
        <w:trPr>
          <w:jc w:val="center"/>
        </w:trPr>
        <w:tc>
          <w:tcPr>
            <w:tcW w:w="851" w:type="dxa"/>
            <w:shd w:val="clear" w:color="auto" w:fill="auto"/>
            <w:vAlign w:val="center"/>
          </w:tcPr>
          <w:p w14:paraId="162C517A" w14:textId="77777777" w:rsidR="00675AD8" w:rsidRPr="00BF0D71" w:rsidRDefault="00675AD8" w:rsidP="00CC1389">
            <w:pPr>
              <w:pStyle w:val="Tabletext"/>
              <w:jc w:val="center"/>
              <w:rPr>
                <w:b/>
                <w:bCs/>
                <w:lang w:eastAsia="en-GB"/>
              </w:rPr>
            </w:pPr>
            <w:r w:rsidRPr="00BF0D71">
              <w:rPr>
                <w:b/>
                <w:bCs/>
                <w:lang w:eastAsia="en-GB"/>
              </w:rPr>
              <w:t>12</w:t>
            </w:r>
          </w:p>
        </w:tc>
        <w:tc>
          <w:tcPr>
            <w:tcW w:w="5812" w:type="dxa"/>
            <w:shd w:val="clear" w:color="auto" w:fill="auto"/>
            <w:noWrap/>
            <w:vAlign w:val="center"/>
            <w:hideMark/>
          </w:tcPr>
          <w:p w14:paraId="3D3E6DF7" w14:textId="77777777" w:rsidR="00675AD8" w:rsidRPr="00BF0D71" w:rsidRDefault="00675AD8" w:rsidP="00CC1389">
            <w:pPr>
              <w:pStyle w:val="Tabletext"/>
              <w:rPr>
                <w:lang w:eastAsia="en-GB"/>
              </w:rPr>
            </w:pPr>
            <w:r w:rsidRPr="00BF0D71">
              <w:rPr>
                <w:lang w:eastAsia="en-GB"/>
              </w:rPr>
              <w:t>Rapport sur les manifestations ITU Telecom World (</w:t>
            </w:r>
            <w:r w:rsidRPr="00BF0D71">
              <w:rPr>
                <w:i/>
                <w:iCs/>
                <w:lang w:eastAsia="en-GB"/>
              </w:rPr>
              <w:t>Résolution 11 de la PP, Résolution 1292 du Conseil</w:t>
            </w:r>
            <w:r w:rsidRPr="00BF0D71">
              <w:rPr>
                <w:lang w:eastAsia="en-GB"/>
              </w:rPr>
              <w:t>)</w:t>
            </w:r>
          </w:p>
        </w:tc>
        <w:tc>
          <w:tcPr>
            <w:tcW w:w="851" w:type="dxa"/>
            <w:shd w:val="clear" w:color="auto" w:fill="auto"/>
            <w:noWrap/>
            <w:vAlign w:val="center"/>
            <w:hideMark/>
          </w:tcPr>
          <w:p w14:paraId="1F0D82DC" w14:textId="77777777" w:rsidR="00675AD8" w:rsidRPr="00BF0D71" w:rsidRDefault="00675AD8" w:rsidP="00CC1389">
            <w:pPr>
              <w:pStyle w:val="Tabletext"/>
              <w:jc w:val="center"/>
              <w:rPr>
                <w:lang w:eastAsia="en-GB"/>
              </w:rPr>
            </w:pPr>
            <w:r w:rsidRPr="00BF0D71">
              <w:rPr>
                <w:lang w:eastAsia="en-GB"/>
              </w:rPr>
              <w:t>19</w:t>
            </w:r>
          </w:p>
        </w:tc>
        <w:tc>
          <w:tcPr>
            <w:tcW w:w="1134" w:type="dxa"/>
            <w:shd w:val="clear" w:color="auto" w:fill="auto"/>
            <w:vAlign w:val="center"/>
          </w:tcPr>
          <w:p w14:paraId="6461FB80"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1DFA4594" w14:textId="77777777" w:rsidR="00675AD8" w:rsidRPr="00BF0D71" w:rsidRDefault="00675AD8" w:rsidP="00CC1389">
            <w:pPr>
              <w:pStyle w:val="Tabletext"/>
              <w:jc w:val="center"/>
              <w:rPr>
                <w:lang w:eastAsia="en-GB"/>
              </w:rPr>
            </w:pPr>
          </w:p>
        </w:tc>
      </w:tr>
      <w:tr w:rsidR="00675AD8" w:rsidRPr="00BF0D71" w14:paraId="5D4B4814" w14:textId="77777777" w:rsidTr="00CC1389">
        <w:trPr>
          <w:jc w:val="center"/>
        </w:trPr>
        <w:tc>
          <w:tcPr>
            <w:tcW w:w="851" w:type="dxa"/>
            <w:shd w:val="clear" w:color="auto" w:fill="auto"/>
            <w:vAlign w:val="center"/>
          </w:tcPr>
          <w:p w14:paraId="6F50D268" w14:textId="77777777" w:rsidR="00675AD8" w:rsidRPr="00BF0D71" w:rsidRDefault="00675AD8" w:rsidP="00CC1389">
            <w:pPr>
              <w:pStyle w:val="Tabletext"/>
              <w:jc w:val="center"/>
              <w:rPr>
                <w:b/>
                <w:bCs/>
                <w:lang w:eastAsia="en-GB"/>
              </w:rPr>
            </w:pPr>
            <w:r w:rsidRPr="00BF0D71">
              <w:rPr>
                <w:b/>
                <w:bCs/>
                <w:lang w:eastAsia="en-GB"/>
              </w:rPr>
              <w:t>13</w:t>
            </w:r>
          </w:p>
        </w:tc>
        <w:tc>
          <w:tcPr>
            <w:tcW w:w="5812" w:type="dxa"/>
            <w:shd w:val="clear" w:color="auto" w:fill="auto"/>
            <w:vAlign w:val="center"/>
            <w:hideMark/>
          </w:tcPr>
          <w:p w14:paraId="0AA4CED4" w14:textId="77777777" w:rsidR="00675AD8" w:rsidRPr="00BF0D71" w:rsidRDefault="00675AD8" w:rsidP="00CC1389">
            <w:pPr>
              <w:pStyle w:val="Tabletext"/>
              <w:rPr>
                <w:lang w:eastAsia="en-GB"/>
              </w:rPr>
            </w:pPr>
            <w:r w:rsidRPr="00BF0D71">
              <w:rPr>
                <w:bCs/>
                <w:lang w:eastAsia="en-GB"/>
              </w:rPr>
              <w:t xml:space="preserve">Rapport sur le recrutement d'un cabinet de conseil en gestion externe indépendant, comprenant des recommandations et diverses stratégies </w:t>
            </w:r>
            <w:r w:rsidRPr="00BF0D71">
              <w:rPr>
                <w:bCs/>
                <w:i/>
                <w:iCs/>
                <w:lang w:eastAsia="en-GB"/>
              </w:rPr>
              <w:t>(</w:t>
            </w:r>
            <w:r w:rsidRPr="00BF0D71">
              <w:rPr>
                <w:i/>
                <w:iCs/>
                <w:lang w:eastAsia="en-GB"/>
              </w:rPr>
              <w:t>Résolution 11 de la PP</w:t>
            </w:r>
            <w:r w:rsidRPr="00BF0D71">
              <w:rPr>
                <w:bCs/>
                <w:i/>
                <w:iCs/>
                <w:lang w:eastAsia="en-GB"/>
              </w:rPr>
              <w:t>)</w:t>
            </w:r>
          </w:p>
        </w:tc>
        <w:tc>
          <w:tcPr>
            <w:tcW w:w="851" w:type="dxa"/>
            <w:shd w:val="clear" w:color="auto" w:fill="auto"/>
            <w:noWrap/>
            <w:vAlign w:val="center"/>
            <w:hideMark/>
          </w:tcPr>
          <w:p w14:paraId="6F9F55FB" w14:textId="77777777" w:rsidR="00675AD8" w:rsidRPr="00BF0D71" w:rsidRDefault="00675AD8" w:rsidP="00CC1389">
            <w:pPr>
              <w:pStyle w:val="Tabletext"/>
              <w:jc w:val="center"/>
              <w:rPr>
                <w:lang w:eastAsia="en-GB"/>
              </w:rPr>
            </w:pPr>
            <w:r w:rsidRPr="00BF0D71">
              <w:rPr>
                <w:lang w:eastAsia="en-GB"/>
              </w:rPr>
              <w:t>10</w:t>
            </w:r>
          </w:p>
        </w:tc>
        <w:tc>
          <w:tcPr>
            <w:tcW w:w="1134" w:type="dxa"/>
            <w:shd w:val="clear" w:color="auto" w:fill="auto"/>
            <w:vAlign w:val="center"/>
          </w:tcPr>
          <w:p w14:paraId="4EB27C83"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305F9105" w14:textId="77777777" w:rsidR="00675AD8" w:rsidRPr="00BF0D71" w:rsidRDefault="00675AD8" w:rsidP="00CC1389">
            <w:pPr>
              <w:pStyle w:val="Tabletext"/>
              <w:jc w:val="center"/>
              <w:rPr>
                <w:lang w:eastAsia="en-GB"/>
              </w:rPr>
            </w:pPr>
          </w:p>
        </w:tc>
      </w:tr>
      <w:tr w:rsidR="00675AD8" w:rsidRPr="00BF0D71" w14:paraId="2967B1AA" w14:textId="77777777" w:rsidTr="00CC1389">
        <w:trPr>
          <w:jc w:val="center"/>
        </w:trPr>
        <w:tc>
          <w:tcPr>
            <w:tcW w:w="851" w:type="dxa"/>
            <w:shd w:val="clear" w:color="auto" w:fill="auto"/>
            <w:vAlign w:val="center"/>
          </w:tcPr>
          <w:p w14:paraId="2C190A3F" w14:textId="77777777" w:rsidR="00675AD8" w:rsidRPr="00BF0D71" w:rsidRDefault="00675AD8" w:rsidP="00CC1389">
            <w:pPr>
              <w:pStyle w:val="Tabletext"/>
              <w:jc w:val="center"/>
              <w:rPr>
                <w:b/>
                <w:bCs/>
                <w:lang w:eastAsia="en-GB"/>
              </w:rPr>
            </w:pPr>
            <w:r w:rsidRPr="00BF0D71">
              <w:rPr>
                <w:b/>
                <w:bCs/>
                <w:lang w:eastAsia="en-GB"/>
              </w:rPr>
              <w:t>14</w:t>
            </w:r>
          </w:p>
        </w:tc>
        <w:tc>
          <w:tcPr>
            <w:tcW w:w="5812" w:type="dxa"/>
            <w:shd w:val="clear" w:color="auto" w:fill="auto"/>
            <w:noWrap/>
            <w:vAlign w:val="center"/>
            <w:hideMark/>
          </w:tcPr>
          <w:p w14:paraId="57AAEAB4" w14:textId="77777777" w:rsidR="00675AD8" w:rsidRPr="00BF0D71" w:rsidRDefault="00675AD8" w:rsidP="00CC1389">
            <w:pPr>
              <w:pStyle w:val="Tabletext"/>
              <w:rPr>
                <w:lang w:eastAsia="en-GB"/>
              </w:rPr>
            </w:pPr>
            <w:r w:rsidRPr="00BF0D71">
              <w:rPr>
                <w:bCs/>
                <w:lang w:eastAsia="en-GB"/>
              </w:rPr>
              <w:t>Propositions d'améliorations concernant les Conférences de plénipotentiaires</w:t>
            </w:r>
          </w:p>
        </w:tc>
        <w:tc>
          <w:tcPr>
            <w:tcW w:w="851" w:type="dxa"/>
            <w:shd w:val="clear" w:color="auto" w:fill="auto"/>
            <w:noWrap/>
            <w:vAlign w:val="center"/>
            <w:hideMark/>
          </w:tcPr>
          <w:p w14:paraId="52FAD0BC" w14:textId="77777777" w:rsidR="00675AD8" w:rsidRPr="00BF0D71" w:rsidRDefault="00675AD8" w:rsidP="00CC1389">
            <w:pPr>
              <w:pStyle w:val="Tabletext"/>
              <w:jc w:val="center"/>
              <w:rPr>
                <w:lang w:eastAsia="en-GB"/>
              </w:rPr>
            </w:pPr>
            <w:r w:rsidRPr="00BF0D71">
              <w:rPr>
                <w:lang w:eastAsia="en-GB"/>
              </w:rPr>
              <w:t>13</w:t>
            </w:r>
          </w:p>
        </w:tc>
        <w:tc>
          <w:tcPr>
            <w:tcW w:w="1134" w:type="dxa"/>
            <w:shd w:val="clear" w:color="auto" w:fill="auto"/>
            <w:vAlign w:val="center"/>
          </w:tcPr>
          <w:p w14:paraId="7B2691DD"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11B6B5C3" w14:textId="77777777" w:rsidR="00675AD8" w:rsidRPr="00BF0D71" w:rsidRDefault="00675AD8" w:rsidP="00CC1389">
            <w:pPr>
              <w:pStyle w:val="Tabletext"/>
              <w:jc w:val="center"/>
              <w:rPr>
                <w:lang w:eastAsia="en-GB"/>
              </w:rPr>
            </w:pPr>
          </w:p>
        </w:tc>
      </w:tr>
      <w:tr w:rsidR="00675AD8" w:rsidRPr="00BF0D71" w14:paraId="6D8D4E1D" w14:textId="77777777" w:rsidTr="00CC1389">
        <w:trPr>
          <w:jc w:val="center"/>
        </w:trPr>
        <w:tc>
          <w:tcPr>
            <w:tcW w:w="851" w:type="dxa"/>
            <w:shd w:val="clear" w:color="auto" w:fill="auto"/>
            <w:vAlign w:val="center"/>
          </w:tcPr>
          <w:p w14:paraId="0A17869A" w14:textId="77777777" w:rsidR="00675AD8" w:rsidRPr="00BF0D71" w:rsidRDefault="00675AD8" w:rsidP="00CC1389">
            <w:pPr>
              <w:pStyle w:val="Tabletext"/>
              <w:jc w:val="center"/>
              <w:rPr>
                <w:b/>
                <w:bCs/>
                <w:lang w:eastAsia="en-GB"/>
              </w:rPr>
            </w:pPr>
            <w:r w:rsidRPr="00BF0D71">
              <w:rPr>
                <w:b/>
                <w:bCs/>
                <w:lang w:eastAsia="en-GB"/>
              </w:rPr>
              <w:t>15</w:t>
            </w:r>
          </w:p>
        </w:tc>
        <w:tc>
          <w:tcPr>
            <w:tcW w:w="5812" w:type="dxa"/>
            <w:shd w:val="clear" w:color="auto" w:fill="auto"/>
            <w:vAlign w:val="center"/>
            <w:hideMark/>
          </w:tcPr>
          <w:p w14:paraId="43936C21" w14:textId="77777777" w:rsidR="00675AD8" w:rsidRPr="00BF0D71" w:rsidRDefault="00675AD8" w:rsidP="00CC1389">
            <w:pPr>
              <w:pStyle w:val="Tabletext"/>
              <w:rPr>
                <w:lang w:eastAsia="en-GB"/>
              </w:rPr>
            </w:pPr>
            <w:r w:rsidRPr="00BF0D71">
              <w:rPr>
                <w:bCs/>
                <w:lang w:eastAsia="en-GB"/>
              </w:rPr>
              <w:t>Mise en œuvre des Recommandations 6 et 7 de la Commission 5 de la PP-18 (processus d'élection)</w:t>
            </w:r>
          </w:p>
        </w:tc>
        <w:tc>
          <w:tcPr>
            <w:tcW w:w="851" w:type="dxa"/>
            <w:shd w:val="clear" w:color="auto" w:fill="auto"/>
            <w:noWrap/>
            <w:vAlign w:val="center"/>
            <w:hideMark/>
          </w:tcPr>
          <w:p w14:paraId="09A811F2" w14:textId="77777777" w:rsidR="00675AD8" w:rsidRPr="00BF0D71" w:rsidRDefault="00675AD8" w:rsidP="00CC1389">
            <w:pPr>
              <w:pStyle w:val="Tabletext"/>
              <w:jc w:val="center"/>
              <w:rPr>
                <w:lang w:eastAsia="en-GB"/>
              </w:rPr>
            </w:pPr>
            <w:r w:rsidRPr="00BF0D71">
              <w:rPr>
                <w:lang w:eastAsia="en-GB"/>
              </w:rPr>
              <w:t>4</w:t>
            </w:r>
          </w:p>
        </w:tc>
        <w:tc>
          <w:tcPr>
            <w:tcW w:w="1134" w:type="dxa"/>
            <w:shd w:val="clear" w:color="auto" w:fill="auto"/>
            <w:vAlign w:val="center"/>
          </w:tcPr>
          <w:p w14:paraId="0FC5303B"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1AD80D92" w14:textId="77777777" w:rsidR="00675AD8" w:rsidRPr="00BF0D71" w:rsidRDefault="00675AD8" w:rsidP="00CC1389">
            <w:pPr>
              <w:pStyle w:val="Tabletext"/>
              <w:jc w:val="center"/>
              <w:rPr>
                <w:lang w:eastAsia="en-GB"/>
              </w:rPr>
            </w:pPr>
          </w:p>
        </w:tc>
      </w:tr>
      <w:tr w:rsidR="00675AD8" w:rsidRPr="00BF0D71" w14:paraId="09168A1D" w14:textId="77777777" w:rsidTr="00CC1389">
        <w:trPr>
          <w:jc w:val="center"/>
        </w:trPr>
        <w:tc>
          <w:tcPr>
            <w:tcW w:w="851" w:type="dxa"/>
            <w:shd w:val="clear" w:color="auto" w:fill="auto"/>
            <w:vAlign w:val="center"/>
          </w:tcPr>
          <w:p w14:paraId="60FA9197" w14:textId="77777777" w:rsidR="00675AD8" w:rsidRPr="00BF0D71" w:rsidRDefault="00675AD8" w:rsidP="00CC1389">
            <w:pPr>
              <w:pStyle w:val="Tabletext"/>
              <w:jc w:val="center"/>
              <w:rPr>
                <w:b/>
                <w:bCs/>
                <w:lang w:eastAsia="en-GB"/>
              </w:rPr>
            </w:pPr>
            <w:r w:rsidRPr="00BF0D71">
              <w:rPr>
                <w:b/>
                <w:bCs/>
                <w:lang w:eastAsia="en-GB"/>
              </w:rPr>
              <w:t>16</w:t>
            </w:r>
          </w:p>
        </w:tc>
        <w:tc>
          <w:tcPr>
            <w:tcW w:w="5812" w:type="dxa"/>
            <w:shd w:val="clear" w:color="auto" w:fill="auto"/>
            <w:vAlign w:val="center"/>
            <w:hideMark/>
          </w:tcPr>
          <w:p w14:paraId="07B02CCB" w14:textId="77777777" w:rsidR="00675AD8" w:rsidRPr="00BF0D71" w:rsidRDefault="00675AD8" w:rsidP="00CC1389">
            <w:pPr>
              <w:pStyle w:val="Tabletext"/>
              <w:rPr>
                <w:lang w:eastAsia="en-GB"/>
              </w:rPr>
            </w:pPr>
            <w:r w:rsidRPr="00BF0D71">
              <w:rPr>
                <w:lang w:eastAsia="en-GB"/>
              </w:rPr>
              <w:t>Rapport sur l'AR-19 et la CMR-19</w:t>
            </w:r>
          </w:p>
        </w:tc>
        <w:tc>
          <w:tcPr>
            <w:tcW w:w="851" w:type="dxa"/>
            <w:shd w:val="clear" w:color="auto" w:fill="auto"/>
            <w:noWrap/>
            <w:vAlign w:val="center"/>
            <w:hideMark/>
          </w:tcPr>
          <w:p w14:paraId="0CB3208C" w14:textId="77777777" w:rsidR="00675AD8" w:rsidRPr="00BF0D71" w:rsidRDefault="00675AD8" w:rsidP="00CC1389">
            <w:pPr>
              <w:pStyle w:val="Tabletext"/>
              <w:jc w:val="center"/>
              <w:rPr>
                <w:lang w:eastAsia="en-GB"/>
              </w:rPr>
            </w:pPr>
            <w:r w:rsidRPr="00BF0D71">
              <w:rPr>
                <w:lang w:eastAsia="en-GB"/>
              </w:rPr>
              <w:t>27</w:t>
            </w:r>
          </w:p>
        </w:tc>
        <w:tc>
          <w:tcPr>
            <w:tcW w:w="1134" w:type="dxa"/>
            <w:shd w:val="clear" w:color="auto" w:fill="auto"/>
            <w:vAlign w:val="center"/>
          </w:tcPr>
          <w:p w14:paraId="4EF44232"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0B9C5FDE" w14:textId="77777777" w:rsidR="00675AD8" w:rsidRPr="00BF0D71" w:rsidRDefault="00675AD8" w:rsidP="00CC1389">
            <w:pPr>
              <w:pStyle w:val="Tabletext"/>
              <w:jc w:val="center"/>
              <w:rPr>
                <w:lang w:eastAsia="en-GB"/>
              </w:rPr>
            </w:pPr>
          </w:p>
        </w:tc>
      </w:tr>
      <w:tr w:rsidR="00675AD8" w:rsidRPr="00BF0D71" w14:paraId="72E52D42" w14:textId="77777777" w:rsidTr="00CC1389">
        <w:trPr>
          <w:jc w:val="center"/>
        </w:trPr>
        <w:tc>
          <w:tcPr>
            <w:tcW w:w="851" w:type="dxa"/>
            <w:shd w:val="clear" w:color="auto" w:fill="auto"/>
            <w:vAlign w:val="center"/>
          </w:tcPr>
          <w:p w14:paraId="40BD326F" w14:textId="77777777" w:rsidR="00675AD8" w:rsidRPr="00BF0D71" w:rsidRDefault="00675AD8" w:rsidP="00CC1389">
            <w:pPr>
              <w:pStyle w:val="Tabletext"/>
              <w:jc w:val="center"/>
              <w:rPr>
                <w:b/>
                <w:bCs/>
                <w:lang w:eastAsia="en-GB"/>
              </w:rPr>
            </w:pPr>
            <w:r w:rsidRPr="00BF0D71">
              <w:rPr>
                <w:b/>
                <w:bCs/>
                <w:lang w:eastAsia="en-GB"/>
              </w:rPr>
              <w:t>17</w:t>
            </w:r>
          </w:p>
        </w:tc>
        <w:tc>
          <w:tcPr>
            <w:tcW w:w="5812" w:type="dxa"/>
            <w:shd w:val="clear" w:color="auto" w:fill="auto"/>
            <w:vAlign w:val="center"/>
            <w:hideMark/>
          </w:tcPr>
          <w:p w14:paraId="35449322" w14:textId="77777777" w:rsidR="00675AD8" w:rsidRPr="00BF0D71" w:rsidRDefault="00675AD8" w:rsidP="00CC1389">
            <w:pPr>
              <w:pStyle w:val="Tabletext"/>
              <w:rPr>
                <w:lang w:eastAsia="en-GB"/>
              </w:rPr>
            </w:pPr>
            <w:r w:rsidRPr="00BF0D71">
              <w:rPr>
                <w:lang w:eastAsia="en-GB"/>
              </w:rPr>
              <w:t>Calendrier des futures conférences, assemblées et réunions de l'Union: 2020-2023 (</w:t>
            </w:r>
            <w:r w:rsidRPr="00BF0D71">
              <w:rPr>
                <w:i/>
                <w:iCs/>
                <w:lang w:eastAsia="en-GB"/>
              </w:rPr>
              <w:t>Résolutions 77 et 111 de la PP</w:t>
            </w:r>
            <w:r w:rsidRPr="00BF0D71">
              <w:rPr>
                <w:lang w:eastAsia="en-GB"/>
              </w:rPr>
              <w:t>)</w:t>
            </w:r>
          </w:p>
        </w:tc>
        <w:tc>
          <w:tcPr>
            <w:tcW w:w="851" w:type="dxa"/>
            <w:shd w:val="clear" w:color="auto" w:fill="auto"/>
            <w:noWrap/>
            <w:vAlign w:val="center"/>
            <w:hideMark/>
          </w:tcPr>
          <w:p w14:paraId="22CD4BC8" w14:textId="77777777" w:rsidR="00675AD8" w:rsidRPr="00BF0D71" w:rsidRDefault="00675AD8" w:rsidP="00CC1389">
            <w:pPr>
              <w:pStyle w:val="Tabletext"/>
              <w:jc w:val="center"/>
              <w:rPr>
                <w:lang w:eastAsia="en-GB"/>
              </w:rPr>
            </w:pPr>
            <w:r w:rsidRPr="00BF0D71">
              <w:rPr>
                <w:lang w:eastAsia="en-GB"/>
              </w:rPr>
              <w:t>37</w:t>
            </w:r>
          </w:p>
        </w:tc>
        <w:tc>
          <w:tcPr>
            <w:tcW w:w="1134" w:type="dxa"/>
            <w:shd w:val="clear" w:color="auto" w:fill="auto"/>
            <w:vAlign w:val="center"/>
          </w:tcPr>
          <w:p w14:paraId="38E0F59F"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293BB6EB" w14:textId="77777777" w:rsidR="00675AD8" w:rsidRPr="00BF0D71" w:rsidRDefault="00675AD8" w:rsidP="00CC1389">
            <w:pPr>
              <w:pStyle w:val="Tabletext"/>
              <w:jc w:val="center"/>
              <w:rPr>
                <w:lang w:eastAsia="en-GB"/>
              </w:rPr>
            </w:pPr>
          </w:p>
        </w:tc>
      </w:tr>
      <w:tr w:rsidR="00675AD8" w:rsidRPr="00BF0D71" w14:paraId="29830081" w14:textId="77777777" w:rsidTr="00CC1389">
        <w:trPr>
          <w:jc w:val="center"/>
        </w:trPr>
        <w:tc>
          <w:tcPr>
            <w:tcW w:w="851" w:type="dxa"/>
            <w:shd w:val="clear" w:color="auto" w:fill="auto"/>
            <w:vAlign w:val="center"/>
          </w:tcPr>
          <w:p w14:paraId="5D063FA6" w14:textId="77777777" w:rsidR="00675AD8" w:rsidRPr="00BF0D71" w:rsidRDefault="00675AD8" w:rsidP="00CC1389">
            <w:pPr>
              <w:pStyle w:val="Tabletext"/>
              <w:jc w:val="center"/>
              <w:rPr>
                <w:b/>
                <w:bCs/>
                <w:lang w:eastAsia="en-GB"/>
              </w:rPr>
            </w:pPr>
            <w:r w:rsidRPr="00BF0D71">
              <w:rPr>
                <w:b/>
                <w:bCs/>
                <w:lang w:eastAsia="en-GB"/>
              </w:rPr>
              <w:t>18</w:t>
            </w:r>
          </w:p>
        </w:tc>
        <w:tc>
          <w:tcPr>
            <w:tcW w:w="5812" w:type="dxa"/>
            <w:shd w:val="clear" w:color="auto" w:fill="auto"/>
            <w:vAlign w:val="center"/>
            <w:hideMark/>
          </w:tcPr>
          <w:p w14:paraId="53C4BB1D" w14:textId="77777777" w:rsidR="00675AD8" w:rsidRPr="00BF0D71" w:rsidRDefault="00675AD8" w:rsidP="00CC1389">
            <w:pPr>
              <w:pStyle w:val="Tabletext"/>
              <w:rPr>
                <w:lang w:eastAsia="en-GB"/>
              </w:rPr>
            </w:pPr>
            <w:r w:rsidRPr="00BF0D71">
              <w:rPr>
                <w:lang w:eastAsia="en-GB"/>
              </w:rPr>
              <w:t>Travaux préparatoires en vue du FMPT-21 (</w:t>
            </w:r>
            <w:r w:rsidRPr="00BF0D71">
              <w:rPr>
                <w:i/>
                <w:iCs/>
                <w:lang w:eastAsia="en-GB"/>
              </w:rPr>
              <w:t>Résolution 2 de la PP, Décision 611 du Conseil</w:t>
            </w:r>
            <w:r w:rsidRPr="00BF0D71">
              <w:rPr>
                <w:lang w:eastAsia="en-GB"/>
              </w:rPr>
              <w:t>)</w:t>
            </w:r>
          </w:p>
        </w:tc>
        <w:tc>
          <w:tcPr>
            <w:tcW w:w="851" w:type="dxa"/>
            <w:shd w:val="clear" w:color="auto" w:fill="auto"/>
            <w:noWrap/>
            <w:vAlign w:val="center"/>
            <w:hideMark/>
          </w:tcPr>
          <w:p w14:paraId="3D4B3262" w14:textId="77777777" w:rsidR="00675AD8" w:rsidRPr="00BF0D71" w:rsidRDefault="00675AD8" w:rsidP="00CC1389">
            <w:pPr>
              <w:pStyle w:val="Tabletext"/>
              <w:jc w:val="center"/>
              <w:rPr>
                <w:lang w:eastAsia="en-GB"/>
              </w:rPr>
            </w:pPr>
            <w:r w:rsidRPr="00BF0D71">
              <w:rPr>
                <w:lang w:eastAsia="en-GB"/>
              </w:rPr>
              <w:t>5</w:t>
            </w:r>
          </w:p>
        </w:tc>
        <w:tc>
          <w:tcPr>
            <w:tcW w:w="1134" w:type="dxa"/>
            <w:shd w:val="clear" w:color="auto" w:fill="auto"/>
            <w:vAlign w:val="center"/>
          </w:tcPr>
          <w:p w14:paraId="08D8B432"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7C85866D" w14:textId="77777777" w:rsidR="00675AD8" w:rsidRPr="00BF0D71" w:rsidRDefault="00675AD8" w:rsidP="00CC1389">
            <w:pPr>
              <w:pStyle w:val="Tabletext"/>
              <w:jc w:val="center"/>
              <w:rPr>
                <w:lang w:eastAsia="en-GB"/>
              </w:rPr>
            </w:pPr>
          </w:p>
        </w:tc>
      </w:tr>
      <w:tr w:rsidR="00675AD8" w:rsidRPr="00BF0D71" w14:paraId="230B3361" w14:textId="77777777" w:rsidTr="00CC1389">
        <w:trPr>
          <w:jc w:val="center"/>
        </w:trPr>
        <w:tc>
          <w:tcPr>
            <w:tcW w:w="851" w:type="dxa"/>
            <w:shd w:val="clear" w:color="auto" w:fill="auto"/>
            <w:vAlign w:val="center"/>
          </w:tcPr>
          <w:p w14:paraId="21B726E9" w14:textId="77777777" w:rsidR="00675AD8" w:rsidRPr="00BF0D71" w:rsidRDefault="00675AD8" w:rsidP="00CC1389">
            <w:pPr>
              <w:pStyle w:val="Tabletext"/>
              <w:jc w:val="center"/>
              <w:rPr>
                <w:b/>
                <w:bCs/>
                <w:lang w:eastAsia="en-GB"/>
              </w:rPr>
            </w:pPr>
            <w:r w:rsidRPr="00BF0D71">
              <w:rPr>
                <w:b/>
                <w:bCs/>
                <w:lang w:eastAsia="en-GB"/>
              </w:rPr>
              <w:t>19</w:t>
            </w:r>
          </w:p>
        </w:tc>
        <w:tc>
          <w:tcPr>
            <w:tcW w:w="5812" w:type="dxa"/>
            <w:shd w:val="clear" w:color="auto" w:fill="auto"/>
            <w:vAlign w:val="center"/>
            <w:hideMark/>
          </w:tcPr>
          <w:p w14:paraId="0A5C8E84" w14:textId="77777777" w:rsidR="00675AD8" w:rsidRPr="00BF0D71" w:rsidRDefault="00675AD8" w:rsidP="00CC1389">
            <w:pPr>
              <w:pStyle w:val="Tabletext"/>
              <w:rPr>
                <w:lang w:eastAsia="en-GB"/>
              </w:rPr>
            </w:pPr>
            <w:r w:rsidRPr="00BF0D71">
              <w:rPr>
                <w:lang w:eastAsia="en-GB"/>
              </w:rPr>
              <w:t>Travaux préparatoires en vue de la CMDT-21</w:t>
            </w:r>
          </w:p>
        </w:tc>
        <w:tc>
          <w:tcPr>
            <w:tcW w:w="851" w:type="dxa"/>
            <w:shd w:val="clear" w:color="auto" w:fill="auto"/>
            <w:noWrap/>
            <w:vAlign w:val="center"/>
            <w:hideMark/>
          </w:tcPr>
          <w:p w14:paraId="1BD41793" w14:textId="77777777" w:rsidR="00675AD8" w:rsidRPr="00BF0D71" w:rsidRDefault="00675AD8" w:rsidP="00CC1389">
            <w:pPr>
              <w:pStyle w:val="Tabletext"/>
              <w:jc w:val="center"/>
              <w:rPr>
                <w:lang w:eastAsia="en-GB"/>
              </w:rPr>
            </w:pPr>
            <w:r w:rsidRPr="00BF0D71">
              <w:rPr>
                <w:lang w:eastAsia="en-GB"/>
              </w:rPr>
              <w:t>30</w:t>
            </w:r>
          </w:p>
        </w:tc>
        <w:tc>
          <w:tcPr>
            <w:tcW w:w="1134" w:type="dxa"/>
            <w:shd w:val="clear" w:color="auto" w:fill="auto"/>
            <w:vAlign w:val="center"/>
          </w:tcPr>
          <w:p w14:paraId="32993007"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39D45D47" w14:textId="77777777" w:rsidR="00675AD8" w:rsidRPr="00BF0D71" w:rsidRDefault="00675AD8" w:rsidP="00CC1389">
            <w:pPr>
              <w:pStyle w:val="Tabletext"/>
              <w:jc w:val="center"/>
              <w:rPr>
                <w:lang w:eastAsia="en-GB"/>
              </w:rPr>
            </w:pPr>
          </w:p>
        </w:tc>
      </w:tr>
      <w:tr w:rsidR="00675AD8" w:rsidRPr="00BF0D71" w14:paraId="7BA5A671" w14:textId="77777777" w:rsidTr="00CC1389">
        <w:trPr>
          <w:jc w:val="center"/>
        </w:trPr>
        <w:tc>
          <w:tcPr>
            <w:tcW w:w="851" w:type="dxa"/>
            <w:shd w:val="clear" w:color="auto" w:fill="auto"/>
            <w:vAlign w:val="center"/>
          </w:tcPr>
          <w:p w14:paraId="7FBEC7C2" w14:textId="77777777" w:rsidR="00675AD8" w:rsidRPr="00BF0D71" w:rsidRDefault="00675AD8" w:rsidP="00CC1389">
            <w:pPr>
              <w:pStyle w:val="Tabletext"/>
              <w:jc w:val="center"/>
              <w:rPr>
                <w:b/>
                <w:bCs/>
                <w:lang w:eastAsia="en-GB"/>
              </w:rPr>
            </w:pPr>
            <w:r w:rsidRPr="00BF0D71">
              <w:rPr>
                <w:b/>
                <w:bCs/>
                <w:lang w:eastAsia="en-GB"/>
              </w:rPr>
              <w:t>20</w:t>
            </w:r>
          </w:p>
        </w:tc>
        <w:tc>
          <w:tcPr>
            <w:tcW w:w="5812" w:type="dxa"/>
            <w:shd w:val="clear" w:color="auto" w:fill="auto"/>
            <w:vAlign w:val="center"/>
            <w:hideMark/>
          </w:tcPr>
          <w:p w14:paraId="55024E2B" w14:textId="77777777" w:rsidR="00675AD8" w:rsidRPr="00BF0D71" w:rsidRDefault="00675AD8" w:rsidP="00CC1389">
            <w:pPr>
              <w:pStyle w:val="Tabletext"/>
              <w:rPr>
                <w:lang w:eastAsia="en-GB"/>
              </w:rPr>
            </w:pPr>
            <w:r w:rsidRPr="00BF0D71">
              <w:rPr>
                <w:lang w:eastAsia="en-GB"/>
              </w:rPr>
              <w:t xml:space="preserve">Rapport sur la mise en œuvre du Plan stratégique et sur les activités de l'Union pour la période 2019-2020 </w:t>
            </w:r>
            <w:r w:rsidRPr="00BF0D71">
              <w:rPr>
                <w:iCs/>
                <w:lang w:eastAsia="en-GB"/>
              </w:rPr>
              <w:t>(numéros 61, 82 et 102 de la Convention)</w:t>
            </w:r>
          </w:p>
        </w:tc>
        <w:tc>
          <w:tcPr>
            <w:tcW w:w="851" w:type="dxa"/>
            <w:shd w:val="clear" w:color="auto" w:fill="auto"/>
            <w:vAlign w:val="center"/>
            <w:hideMark/>
          </w:tcPr>
          <w:p w14:paraId="547DA8A7" w14:textId="77777777" w:rsidR="00675AD8" w:rsidRPr="00BF0D71" w:rsidRDefault="00675AD8" w:rsidP="00CC1389">
            <w:pPr>
              <w:pStyle w:val="Tabletext"/>
              <w:jc w:val="center"/>
              <w:rPr>
                <w:lang w:eastAsia="en-GB"/>
              </w:rPr>
            </w:pPr>
            <w:r w:rsidRPr="00BF0D71">
              <w:rPr>
                <w:lang w:eastAsia="en-GB"/>
              </w:rPr>
              <w:t>35</w:t>
            </w:r>
          </w:p>
        </w:tc>
        <w:tc>
          <w:tcPr>
            <w:tcW w:w="1134" w:type="dxa"/>
            <w:shd w:val="clear" w:color="auto" w:fill="auto"/>
            <w:vAlign w:val="center"/>
          </w:tcPr>
          <w:p w14:paraId="73BBF11F"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0C1E2608" w14:textId="77777777" w:rsidR="00675AD8" w:rsidRPr="00BF0D71" w:rsidRDefault="00675AD8" w:rsidP="00CC1389">
            <w:pPr>
              <w:pStyle w:val="Tabletext"/>
              <w:jc w:val="center"/>
              <w:rPr>
                <w:lang w:eastAsia="en-GB"/>
              </w:rPr>
            </w:pPr>
          </w:p>
        </w:tc>
      </w:tr>
      <w:tr w:rsidR="00675AD8" w:rsidRPr="00BF0D71" w14:paraId="4367A916" w14:textId="77777777" w:rsidTr="00CC1389">
        <w:trPr>
          <w:jc w:val="center"/>
        </w:trPr>
        <w:tc>
          <w:tcPr>
            <w:tcW w:w="851" w:type="dxa"/>
            <w:shd w:val="clear" w:color="auto" w:fill="auto"/>
            <w:vAlign w:val="center"/>
          </w:tcPr>
          <w:p w14:paraId="1CEF3D55" w14:textId="77777777" w:rsidR="00675AD8" w:rsidRPr="00BF0D71" w:rsidRDefault="00675AD8" w:rsidP="00CC1389">
            <w:pPr>
              <w:pStyle w:val="Tabletext"/>
              <w:jc w:val="center"/>
              <w:rPr>
                <w:b/>
                <w:bCs/>
                <w:lang w:eastAsia="en-GB"/>
              </w:rPr>
            </w:pPr>
            <w:r w:rsidRPr="00BF0D71">
              <w:rPr>
                <w:b/>
                <w:bCs/>
                <w:lang w:eastAsia="en-GB"/>
              </w:rPr>
              <w:t>21</w:t>
            </w:r>
          </w:p>
        </w:tc>
        <w:tc>
          <w:tcPr>
            <w:tcW w:w="5812" w:type="dxa"/>
            <w:shd w:val="clear" w:color="auto" w:fill="auto"/>
            <w:vAlign w:val="center"/>
            <w:hideMark/>
          </w:tcPr>
          <w:p w14:paraId="21109828" w14:textId="77777777" w:rsidR="00675AD8" w:rsidRPr="00BF0D71" w:rsidRDefault="00675AD8" w:rsidP="00CC1389">
            <w:pPr>
              <w:pStyle w:val="Tabletext"/>
              <w:rPr>
                <w:lang w:eastAsia="en-GB"/>
              </w:rPr>
            </w:pPr>
            <w:r w:rsidRPr="00BF0D71">
              <w:rPr>
                <w:lang w:eastAsia="en-GB"/>
              </w:rPr>
              <w:t>Nouvel indice de l'UIT</w:t>
            </w:r>
          </w:p>
        </w:tc>
        <w:tc>
          <w:tcPr>
            <w:tcW w:w="851" w:type="dxa"/>
            <w:shd w:val="clear" w:color="auto" w:fill="auto"/>
            <w:noWrap/>
            <w:vAlign w:val="center"/>
            <w:hideMark/>
          </w:tcPr>
          <w:p w14:paraId="14AA0BCD" w14:textId="77777777" w:rsidR="00675AD8" w:rsidRPr="00BF0D71" w:rsidRDefault="00675AD8" w:rsidP="00CC1389">
            <w:pPr>
              <w:pStyle w:val="Tabletext"/>
              <w:jc w:val="center"/>
              <w:rPr>
                <w:lang w:eastAsia="en-GB"/>
              </w:rPr>
            </w:pPr>
            <w:r w:rsidRPr="00BF0D71">
              <w:rPr>
                <w:lang w:eastAsia="en-GB"/>
              </w:rPr>
              <w:t>62</w:t>
            </w:r>
          </w:p>
        </w:tc>
        <w:tc>
          <w:tcPr>
            <w:tcW w:w="1134" w:type="dxa"/>
            <w:shd w:val="clear" w:color="auto" w:fill="auto"/>
            <w:vAlign w:val="center"/>
          </w:tcPr>
          <w:p w14:paraId="5A938612"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688B4F22" w14:textId="77777777" w:rsidR="00675AD8" w:rsidRPr="00BF0D71" w:rsidRDefault="00675AD8" w:rsidP="00CC1389">
            <w:pPr>
              <w:pStyle w:val="Tabletext"/>
              <w:jc w:val="center"/>
              <w:rPr>
                <w:lang w:eastAsia="en-GB"/>
              </w:rPr>
            </w:pPr>
          </w:p>
        </w:tc>
      </w:tr>
      <w:tr w:rsidR="00675AD8" w:rsidRPr="00BF0D71" w14:paraId="59225244" w14:textId="77777777" w:rsidTr="00CC1389">
        <w:trPr>
          <w:jc w:val="center"/>
        </w:trPr>
        <w:tc>
          <w:tcPr>
            <w:tcW w:w="851" w:type="dxa"/>
            <w:shd w:val="clear" w:color="auto" w:fill="auto"/>
            <w:vAlign w:val="center"/>
          </w:tcPr>
          <w:p w14:paraId="7ACE93BF" w14:textId="77777777" w:rsidR="00675AD8" w:rsidRPr="00BF0D71" w:rsidRDefault="00675AD8" w:rsidP="00CC1389">
            <w:pPr>
              <w:pStyle w:val="Tabletext"/>
              <w:jc w:val="center"/>
              <w:rPr>
                <w:b/>
                <w:bCs/>
                <w:lang w:eastAsia="en-GB"/>
              </w:rPr>
            </w:pPr>
            <w:r w:rsidRPr="00BF0D71">
              <w:rPr>
                <w:b/>
                <w:bCs/>
                <w:lang w:eastAsia="en-GB"/>
              </w:rPr>
              <w:t>22</w:t>
            </w:r>
          </w:p>
        </w:tc>
        <w:tc>
          <w:tcPr>
            <w:tcW w:w="5812" w:type="dxa"/>
            <w:shd w:val="clear" w:color="auto" w:fill="auto"/>
            <w:vAlign w:val="center"/>
            <w:hideMark/>
          </w:tcPr>
          <w:p w14:paraId="6206EFA9" w14:textId="77777777" w:rsidR="00675AD8" w:rsidRPr="00BF0D71" w:rsidRDefault="00675AD8" w:rsidP="00CC1389">
            <w:pPr>
              <w:pStyle w:val="Tabletext"/>
              <w:rPr>
                <w:lang w:eastAsia="en-GB"/>
              </w:rPr>
            </w:pPr>
            <w:r w:rsidRPr="00BF0D71">
              <w:rPr>
                <w:lang w:eastAsia="en-GB"/>
              </w:rPr>
              <w:t>Rapport de la Commission permanente de l'administration et de la gestion</w:t>
            </w:r>
          </w:p>
        </w:tc>
        <w:tc>
          <w:tcPr>
            <w:tcW w:w="851" w:type="dxa"/>
            <w:shd w:val="clear" w:color="auto" w:fill="auto"/>
            <w:noWrap/>
            <w:vAlign w:val="center"/>
            <w:hideMark/>
          </w:tcPr>
          <w:p w14:paraId="3F25082D" w14:textId="77777777" w:rsidR="00675AD8" w:rsidRPr="00BF0D71" w:rsidRDefault="00675AD8" w:rsidP="00CC1389">
            <w:pPr>
              <w:pStyle w:val="Tabletext"/>
              <w:jc w:val="center"/>
              <w:rPr>
                <w:lang w:eastAsia="en-GB"/>
              </w:rPr>
            </w:pPr>
            <w:r w:rsidRPr="00BF0D71">
              <w:rPr>
                <w:lang w:eastAsia="en-GB"/>
              </w:rPr>
              <w:t>-</w:t>
            </w:r>
          </w:p>
        </w:tc>
        <w:tc>
          <w:tcPr>
            <w:tcW w:w="1134" w:type="dxa"/>
            <w:shd w:val="clear" w:color="auto" w:fill="auto"/>
            <w:vAlign w:val="center"/>
          </w:tcPr>
          <w:p w14:paraId="0AB781C4"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3CF9E065" w14:textId="77777777" w:rsidR="00675AD8" w:rsidRPr="00BF0D71" w:rsidRDefault="00675AD8" w:rsidP="00CC1389">
            <w:pPr>
              <w:pStyle w:val="Tabletext"/>
              <w:jc w:val="center"/>
              <w:rPr>
                <w:i/>
                <w:iCs/>
                <w:lang w:eastAsia="en-GB"/>
              </w:rPr>
            </w:pPr>
          </w:p>
        </w:tc>
      </w:tr>
      <w:tr w:rsidR="00675AD8" w:rsidRPr="00BF0D71" w14:paraId="5FE9BC5D" w14:textId="77777777" w:rsidTr="00CC1389">
        <w:trPr>
          <w:jc w:val="center"/>
        </w:trPr>
        <w:tc>
          <w:tcPr>
            <w:tcW w:w="851" w:type="dxa"/>
            <w:shd w:val="clear" w:color="auto" w:fill="auto"/>
            <w:vAlign w:val="center"/>
          </w:tcPr>
          <w:p w14:paraId="14BAD0CC" w14:textId="77777777" w:rsidR="00675AD8" w:rsidRPr="00BF0D71" w:rsidRDefault="00675AD8" w:rsidP="00CC1389">
            <w:pPr>
              <w:pStyle w:val="Tabletext"/>
              <w:jc w:val="center"/>
              <w:rPr>
                <w:b/>
                <w:bCs/>
                <w:lang w:eastAsia="en-GB"/>
              </w:rPr>
            </w:pPr>
            <w:r w:rsidRPr="00BF0D71">
              <w:rPr>
                <w:b/>
                <w:bCs/>
                <w:lang w:eastAsia="en-GB"/>
              </w:rPr>
              <w:t>23</w:t>
            </w:r>
          </w:p>
        </w:tc>
        <w:tc>
          <w:tcPr>
            <w:tcW w:w="5812" w:type="dxa"/>
            <w:shd w:val="clear" w:color="auto" w:fill="auto"/>
            <w:noWrap/>
            <w:vAlign w:val="center"/>
            <w:hideMark/>
          </w:tcPr>
          <w:p w14:paraId="5DE8F0A2" w14:textId="77777777" w:rsidR="00675AD8" w:rsidRPr="00BF0D71" w:rsidRDefault="00675AD8" w:rsidP="00CC1389">
            <w:pPr>
              <w:pStyle w:val="Tabletext"/>
              <w:rPr>
                <w:lang w:eastAsia="en-GB"/>
              </w:rPr>
            </w:pPr>
            <w:r w:rsidRPr="00BF0D71">
              <w:rPr>
                <w:lang w:eastAsia="en-GB"/>
              </w:rPr>
              <w:t>Résolutions et Décisions du Conseil devenues caduques</w:t>
            </w:r>
          </w:p>
        </w:tc>
        <w:tc>
          <w:tcPr>
            <w:tcW w:w="851" w:type="dxa"/>
            <w:shd w:val="clear" w:color="auto" w:fill="auto"/>
            <w:vAlign w:val="center"/>
            <w:hideMark/>
          </w:tcPr>
          <w:p w14:paraId="4C645E7A" w14:textId="77777777" w:rsidR="00675AD8" w:rsidRPr="00BF0D71" w:rsidRDefault="00675AD8" w:rsidP="00CC1389">
            <w:pPr>
              <w:pStyle w:val="Tabletext"/>
              <w:jc w:val="center"/>
              <w:rPr>
                <w:lang w:eastAsia="en-GB"/>
              </w:rPr>
            </w:pPr>
            <w:r w:rsidRPr="00BF0D71">
              <w:rPr>
                <w:lang w:eastAsia="en-GB"/>
              </w:rPr>
              <w:t>3</w:t>
            </w:r>
          </w:p>
        </w:tc>
        <w:tc>
          <w:tcPr>
            <w:tcW w:w="1134" w:type="dxa"/>
            <w:shd w:val="clear" w:color="auto" w:fill="auto"/>
            <w:vAlign w:val="center"/>
          </w:tcPr>
          <w:p w14:paraId="4189502D"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4BD5B0BA" w14:textId="77777777" w:rsidR="00675AD8" w:rsidRPr="00BF0D71" w:rsidRDefault="00675AD8" w:rsidP="00CC1389">
            <w:pPr>
              <w:pStyle w:val="Tabletext"/>
              <w:jc w:val="center"/>
              <w:rPr>
                <w:lang w:eastAsia="en-GB"/>
              </w:rPr>
            </w:pPr>
          </w:p>
        </w:tc>
      </w:tr>
      <w:tr w:rsidR="00675AD8" w:rsidRPr="00BF0D71" w14:paraId="3658CA94" w14:textId="77777777" w:rsidTr="00CC1389">
        <w:trPr>
          <w:jc w:val="center"/>
        </w:trPr>
        <w:tc>
          <w:tcPr>
            <w:tcW w:w="851" w:type="dxa"/>
            <w:shd w:val="clear" w:color="auto" w:fill="auto"/>
            <w:vAlign w:val="center"/>
          </w:tcPr>
          <w:p w14:paraId="24EC3219" w14:textId="77777777" w:rsidR="00675AD8" w:rsidRPr="00BF0D71" w:rsidRDefault="00675AD8" w:rsidP="00CC1389">
            <w:pPr>
              <w:pStyle w:val="Tabletext"/>
              <w:jc w:val="center"/>
              <w:rPr>
                <w:b/>
                <w:bCs/>
                <w:lang w:eastAsia="en-GB"/>
              </w:rPr>
            </w:pPr>
            <w:r w:rsidRPr="00BF0D71">
              <w:rPr>
                <w:b/>
                <w:bCs/>
                <w:lang w:eastAsia="en-GB"/>
              </w:rPr>
              <w:t>24</w:t>
            </w:r>
          </w:p>
        </w:tc>
        <w:tc>
          <w:tcPr>
            <w:tcW w:w="5812" w:type="dxa"/>
            <w:shd w:val="clear" w:color="auto" w:fill="auto"/>
            <w:vAlign w:val="center"/>
            <w:hideMark/>
          </w:tcPr>
          <w:p w14:paraId="144ABBA8" w14:textId="77777777" w:rsidR="00675AD8" w:rsidRPr="00BF0D71" w:rsidRDefault="00675AD8" w:rsidP="00CC1389">
            <w:pPr>
              <w:pStyle w:val="Tabletext"/>
              <w:rPr>
                <w:lang w:eastAsia="en-GB"/>
              </w:rPr>
            </w:pPr>
            <w:r w:rsidRPr="00BF0D71">
              <w:rPr>
                <w:lang w:eastAsia="en-GB"/>
              </w:rPr>
              <w:t>Produits et charges (</w:t>
            </w:r>
            <w:r w:rsidRPr="00BF0D71">
              <w:rPr>
                <w:i/>
                <w:lang w:eastAsia="en-GB"/>
              </w:rPr>
              <w:t>Décision 5 de la PP</w:t>
            </w:r>
            <w:r w:rsidRPr="00BF0D71">
              <w:rPr>
                <w:lang w:eastAsia="en-GB"/>
              </w:rPr>
              <w:t>): Examen annuel des produits et des charges (</w:t>
            </w:r>
            <w:r w:rsidRPr="00BF0D71">
              <w:rPr>
                <w:i/>
                <w:iCs/>
                <w:lang w:eastAsia="en-GB"/>
              </w:rPr>
              <w:t>Décision 5 de la PP</w:t>
            </w:r>
            <w:r w:rsidRPr="00BF0D71">
              <w:rPr>
                <w:lang w:eastAsia="en-GB"/>
              </w:rPr>
              <w:t>) et mesures d'efficacité</w:t>
            </w:r>
          </w:p>
        </w:tc>
        <w:tc>
          <w:tcPr>
            <w:tcW w:w="851" w:type="dxa"/>
            <w:shd w:val="clear" w:color="auto" w:fill="auto"/>
            <w:noWrap/>
            <w:vAlign w:val="center"/>
            <w:hideMark/>
          </w:tcPr>
          <w:p w14:paraId="120DD5F4" w14:textId="77777777" w:rsidR="00675AD8" w:rsidRPr="00BF0D71" w:rsidRDefault="00675AD8" w:rsidP="00CC1389">
            <w:pPr>
              <w:pStyle w:val="Tabletext"/>
              <w:jc w:val="center"/>
              <w:rPr>
                <w:lang w:eastAsia="en-GB"/>
              </w:rPr>
            </w:pPr>
            <w:r w:rsidRPr="00BF0D71">
              <w:rPr>
                <w:lang w:eastAsia="en-GB"/>
              </w:rPr>
              <w:t>9</w:t>
            </w:r>
          </w:p>
        </w:tc>
        <w:tc>
          <w:tcPr>
            <w:tcW w:w="1134" w:type="dxa"/>
            <w:shd w:val="clear" w:color="auto" w:fill="auto"/>
            <w:vAlign w:val="center"/>
          </w:tcPr>
          <w:p w14:paraId="37D5B4C7"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1C85068B" w14:textId="77777777" w:rsidR="00675AD8" w:rsidRPr="00BF0D71" w:rsidRDefault="00675AD8" w:rsidP="00CC1389">
            <w:pPr>
              <w:pStyle w:val="Tabletext"/>
              <w:jc w:val="center"/>
              <w:rPr>
                <w:lang w:eastAsia="en-GB"/>
              </w:rPr>
            </w:pPr>
          </w:p>
        </w:tc>
      </w:tr>
      <w:tr w:rsidR="00675AD8" w:rsidRPr="00BF0D71" w14:paraId="3BFE880A" w14:textId="77777777" w:rsidTr="00CC1389">
        <w:trPr>
          <w:jc w:val="center"/>
        </w:trPr>
        <w:tc>
          <w:tcPr>
            <w:tcW w:w="851" w:type="dxa"/>
            <w:shd w:val="clear" w:color="auto" w:fill="auto"/>
            <w:vAlign w:val="center"/>
          </w:tcPr>
          <w:p w14:paraId="07605F91" w14:textId="77777777" w:rsidR="00675AD8" w:rsidRPr="00BF0D71" w:rsidRDefault="00675AD8" w:rsidP="00CC1389">
            <w:pPr>
              <w:pStyle w:val="Tabletext"/>
              <w:jc w:val="center"/>
              <w:rPr>
                <w:b/>
                <w:bCs/>
                <w:lang w:eastAsia="en-GB"/>
              </w:rPr>
            </w:pPr>
            <w:r w:rsidRPr="00BF0D71">
              <w:rPr>
                <w:b/>
                <w:bCs/>
                <w:lang w:eastAsia="en-GB"/>
              </w:rPr>
              <w:t>25</w:t>
            </w:r>
          </w:p>
        </w:tc>
        <w:tc>
          <w:tcPr>
            <w:tcW w:w="5812" w:type="dxa"/>
            <w:shd w:val="clear" w:color="auto" w:fill="auto"/>
            <w:vAlign w:val="center"/>
            <w:hideMark/>
          </w:tcPr>
          <w:p w14:paraId="173F0250" w14:textId="77777777" w:rsidR="00675AD8" w:rsidRPr="00BF0D71" w:rsidRDefault="00675AD8" w:rsidP="00CC1389">
            <w:pPr>
              <w:pStyle w:val="Tabletext"/>
              <w:rPr>
                <w:lang w:eastAsia="en-GB"/>
              </w:rPr>
            </w:pPr>
            <w:r w:rsidRPr="00BF0D71">
              <w:rPr>
                <w:lang w:eastAsia="en-GB"/>
              </w:rPr>
              <w:t>Participation provisoire des entités s'occupant de questions de télécommunication aux activités de l'UIT</w:t>
            </w:r>
          </w:p>
        </w:tc>
        <w:tc>
          <w:tcPr>
            <w:tcW w:w="851" w:type="dxa"/>
            <w:shd w:val="clear" w:color="auto" w:fill="auto"/>
            <w:vAlign w:val="center"/>
            <w:hideMark/>
          </w:tcPr>
          <w:p w14:paraId="67487939" w14:textId="77777777" w:rsidR="00675AD8" w:rsidRPr="00BF0D71" w:rsidRDefault="00675AD8" w:rsidP="00CC1389">
            <w:pPr>
              <w:pStyle w:val="Tabletext"/>
              <w:jc w:val="center"/>
              <w:rPr>
                <w:lang w:eastAsia="en-GB"/>
              </w:rPr>
            </w:pPr>
            <w:r w:rsidRPr="00BF0D71">
              <w:rPr>
                <w:lang w:eastAsia="en-GB"/>
              </w:rPr>
              <w:t>20</w:t>
            </w:r>
          </w:p>
        </w:tc>
        <w:tc>
          <w:tcPr>
            <w:tcW w:w="1134" w:type="dxa"/>
            <w:shd w:val="clear" w:color="auto" w:fill="auto"/>
            <w:vAlign w:val="center"/>
          </w:tcPr>
          <w:p w14:paraId="625F6874"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013727CD" w14:textId="77777777" w:rsidR="00675AD8" w:rsidRPr="00BF0D71" w:rsidRDefault="00675AD8" w:rsidP="00CC1389">
            <w:pPr>
              <w:pStyle w:val="Tabletext"/>
              <w:jc w:val="center"/>
              <w:rPr>
                <w:lang w:eastAsia="en-GB"/>
              </w:rPr>
            </w:pPr>
          </w:p>
        </w:tc>
      </w:tr>
      <w:tr w:rsidR="00675AD8" w:rsidRPr="00BF0D71" w14:paraId="7F2FF11C" w14:textId="77777777" w:rsidTr="00CC1389">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B5B3B0" w14:textId="77777777" w:rsidR="00675AD8" w:rsidRPr="00BF0D71" w:rsidRDefault="00675AD8" w:rsidP="00CC1389">
            <w:pPr>
              <w:pStyle w:val="Tabletext"/>
              <w:keepNext/>
              <w:keepLines/>
              <w:jc w:val="center"/>
              <w:rPr>
                <w:b/>
                <w:bCs/>
                <w:lang w:eastAsia="en-GB"/>
              </w:rPr>
            </w:pPr>
            <w:r w:rsidRPr="00BF0D71">
              <w:rPr>
                <w:b/>
                <w:bCs/>
                <w:lang w:eastAsia="en-GB"/>
              </w:rPr>
              <w:lastRenderedPageBreak/>
              <w:t>26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B33E4" w14:textId="77777777" w:rsidR="00675AD8" w:rsidRPr="00BF0D71" w:rsidRDefault="00675AD8" w:rsidP="00CC1389">
            <w:pPr>
              <w:pStyle w:val="Tabletext"/>
              <w:keepNext/>
              <w:keepLines/>
              <w:rPr>
                <w:lang w:eastAsia="en-GB"/>
              </w:rPr>
            </w:pPr>
            <w:r w:rsidRPr="00BF0D71">
              <w:rPr>
                <w:lang w:eastAsia="en-GB"/>
              </w:rPr>
              <w:t xml:space="preserve">Rapport du Président du Groupe de travail du Conseil sur les ressources financières et les ressources humaines (GTC-FHR) (Décisions 558 et 563(MOD)) </w:t>
            </w:r>
            <w:r w:rsidRPr="00BF0D71">
              <w:rPr>
                <w:i/>
                <w:iCs/>
                <w:lang w:eastAsia="en-GB"/>
              </w:rPr>
              <w:t>(Résolutions 151, 152, 158, 169 et 170 de la PP, Décisions 558 et 563 (MOD))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27A36" w14:textId="77777777" w:rsidR="00675AD8" w:rsidRPr="00BF0D71" w:rsidRDefault="00675AD8" w:rsidP="00CC1389">
            <w:pPr>
              <w:pStyle w:val="Tabletext"/>
              <w:keepNext/>
              <w:keepLines/>
              <w:jc w:val="center"/>
              <w:rPr>
                <w:lang w:eastAsia="en-GB"/>
              </w:rPr>
            </w:pPr>
            <w:r w:rsidRPr="00BF0D71">
              <w:rPr>
                <w:lang w:eastAsia="en-GB"/>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D72EEC" w14:textId="77777777" w:rsidR="00675AD8" w:rsidRPr="00BF0D71" w:rsidRDefault="00675AD8" w:rsidP="00CC1389">
            <w:pPr>
              <w:pStyle w:val="Tabletext"/>
              <w:keepNext/>
              <w:keepLines/>
              <w:jc w:val="center"/>
              <w:rPr>
                <w:lang w:eastAsia="en-GB"/>
              </w:rPr>
            </w:pPr>
            <w:r w:rsidRPr="00BF0D71">
              <w:rPr>
                <w:lang w:eastAsia="en-GB"/>
              </w:rPr>
              <w:t>Décision</w:t>
            </w:r>
          </w:p>
          <w:p w14:paraId="5C30149C" w14:textId="77777777" w:rsidR="00675AD8" w:rsidRPr="00BF0D71" w:rsidRDefault="00675AD8" w:rsidP="00CC1389">
            <w:pPr>
              <w:pStyle w:val="Tabletext"/>
              <w:keepNext/>
              <w:keepLines/>
              <w:jc w:val="center"/>
              <w:rPr>
                <w:lang w:eastAsia="en-GB"/>
              </w:rPr>
            </w:pPr>
            <w:r w:rsidRPr="00BF0D71">
              <w:rPr>
                <w:lang w:eastAsia="en-GB"/>
              </w:rPr>
              <w:t>Résolution</w:t>
            </w:r>
          </w:p>
          <w:p w14:paraId="3B938EB2" w14:textId="76144076" w:rsidR="00675AD8" w:rsidRPr="00BF0D71" w:rsidRDefault="00675AD8" w:rsidP="00CC1389">
            <w:pPr>
              <w:pStyle w:val="Tabletext"/>
              <w:keepNext/>
              <w:keepLines/>
              <w:jc w:val="center"/>
              <w:rPr>
                <w:lang w:eastAsia="en-GB"/>
              </w:rPr>
            </w:pPr>
            <w:r w:rsidRPr="00BF0D71">
              <w:rPr>
                <w:lang w:eastAsia="en-GB"/>
              </w:rPr>
              <w:t>Mod</w:t>
            </w:r>
            <w:r w:rsidR="00361E97" w:rsidRPr="00BF0D71">
              <w:rPr>
                <w:lang w:eastAsia="en-GB"/>
              </w:rPr>
              <w:t>.</w:t>
            </w:r>
            <w:r w:rsidRPr="00BF0D71">
              <w:rPr>
                <w:lang w:eastAsia="en-GB"/>
              </w:rPr>
              <w:t xml:space="preserve"> Règlement financier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D61D54" w14:textId="77777777" w:rsidR="00675AD8" w:rsidRPr="00BF0D71" w:rsidRDefault="00675AD8" w:rsidP="00CC1389">
            <w:pPr>
              <w:pStyle w:val="Tabletext"/>
              <w:keepNext/>
              <w:keepLines/>
              <w:jc w:val="center"/>
              <w:rPr>
                <w:lang w:eastAsia="en-GB"/>
              </w:rPr>
            </w:pPr>
          </w:p>
        </w:tc>
      </w:tr>
      <w:tr w:rsidR="00675AD8" w:rsidRPr="00BF0D71" w14:paraId="42C51158" w14:textId="77777777" w:rsidTr="00CC1389">
        <w:trPr>
          <w:jc w:val="center"/>
        </w:trPr>
        <w:tc>
          <w:tcPr>
            <w:tcW w:w="851" w:type="dxa"/>
            <w:shd w:val="clear" w:color="auto" w:fill="auto"/>
            <w:vAlign w:val="center"/>
          </w:tcPr>
          <w:p w14:paraId="6D41B7F4" w14:textId="77777777" w:rsidR="00675AD8" w:rsidRPr="00BF0D71" w:rsidRDefault="00675AD8" w:rsidP="00CC1389">
            <w:pPr>
              <w:pStyle w:val="Tabletext"/>
              <w:jc w:val="center"/>
              <w:rPr>
                <w:b/>
                <w:bCs/>
                <w:lang w:eastAsia="en-GB"/>
              </w:rPr>
            </w:pPr>
            <w:r w:rsidRPr="00BF0D71">
              <w:rPr>
                <w:b/>
                <w:bCs/>
                <w:lang w:eastAsia="en-GB"/>
              </w:rPr>
              <w:t>27</w:t>
            </w:r>
          </w:p>
        </w:tc>
        <w:tc>
          <w:tcPr>
            <w:tcW w:w="5812" w:type="dxa"/>
            <w:shd w:val="clear" w:color="auto" w:fill="auto"/>
            <w:vAlign w:val="center"/>
            <w:hideMark/>
          </w:tcPr>
          <w:p w14:paraId="0D3B045B" w14:textId="77777777" w:rsidR="00675AD8" w:rsidRPr="00BF0D71" w:rsidRDefault="00675AD8" w:rsidP="00CC1389">
            <w:pPr>
              <w:pStyle w:val="Tabletext"/>
              <w:rPr>
                <w:lang w:eastAsia="en-GB"/>
              </w:rPr>
            </w:pPr>
            <w:r w:rsidRPr="00BF0D71">
              <w:rPr>
                <w:lang w:eastAsia="en-GB"/>
              </w:rPr>
              <w:t>Rapport du Groupe de travail sur les contrôles internes</w:t>
            </w:r>
          </w:p>
        </w:tc>
        <w:tc>
          <w:tcPr>
            <w:tcW w:w="851" w:type="dxa"/>
            <w:shd w:val="clear" w:color="auto" w:fill="auto"/>
            <w:vAlign w:val="center"/>
          </w:tcPr>
          <w:p w14:paraId="2C22BC26" w14:textId="77777777" w:rsidR="00675AD8" w:rsidRPr="00BF0D71" w:rsidRDefault="00675AD8" w:rsidP="00CC1389">
            <w:pPr>
              <w:pStyle w:val="Tabletext"/>
              <w:jc w:val="center"/>
              <w:rPr>
                <w:lang w:eastAsia="en-GB"/>
              </w:rPr>
            </w:pPr>
            <w:r w:rsidRPr="00BF0D71">
              <w:rPr>
                <w:lang w:eastAsia="en-GB"/>
              </w:rPr>
              <w:t>63</w:t>
            </w:r>
          </w:p>
        </w:tc>
        <w:tc>
          <w:tcPr>
            <w:tcW w:w="1134" w:type="dxa"/>
            <w:shd w:val="clear" w:color="auto" w:fill="auto"/>
            <w:vAlign w:val="center"/>
          </w:tcPr>
          <w:p w14:paraId="4B98D446"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41144C6F" w14:textId="77777777" w:rsidR="00675AD8" w:rsidRPr="00BF0D71" w:rsidRDefault="00675AD8" w:rsidP="00CC1389">
            <w:pPr>
              <w:pStyle w:val="Tabletext"/>
              <w:jc w:val="center"/>
              <w:rPr>
                <w:lang w:eastAsia="en-GB"/>
              </w:rPr>
            </w:pPr>
          </w:p>
        </w:tc>
      </w:tr>
      <w:tr w:rsidR="00675AD8" w:rsidRPr="00BF0D71" w14:paraId="086CA030" w14:textId="77777777" w:rsidTr="00CC1389">
        <w:trPr>
          <w:jc w:val="center"/>
        </w:trPr>
        <w:tc>
          <w:tcPr>
            <w:tcW w:w="851" w:type="dxa"/>
            <w:shd w:val="clear" w:color="auto" w:fill="auto"/>
            <w:vAlign w:val="center"/>
          </w:tcPr>
          <w:p w14:paraId="1D3740B3" w14:textId="77777777" w:rsidR="00675AD8" w:rsidRPr="00BF0D71" w:rsidRDefault="00675AD8" w:rsidP="00CC1389">
            <w:pPr>
              <w:pStyle w:val="Tabletext"/>
              <w:jc w:val="center"/>
              <w:rPr>
                <w:b/>
                <w:bCs/>
                <w:lang w:eastAsia="en-GB"/>
              </w:rPr>
            </w:pPr>
            <w:r w:rsidRPr="00BF0D71">
              <w:rPr>
                <w:b/>
                <w:bCs/>
                <w:lang w:eastAsia="en-GB"/>
              </w:rPr>
              <w:t>28</w:t>
            </w:r>
          </w:p>
        </w:tc>
        <w:tc>
          <w:tcPr>
            <w:tcW w:w="5812" w:type="dxa"/>
            <w:shd w:val="clear" w:color="auto" w:fill="auto"/>
            <w:vAlign w:val="center"/>
            <w:hideMark/>
          </w:tcPr>
          <w:p w14:paraId="6BB9E3CC" w14:textId="77777777" w:rsidR="00675AD8" w:rsidRPr="00BF0D71" w:rsidRDefault="00675AD8" w:rsidP="00CC1389">
            <w:pPr>
              <w:pStyle w:val="Tabletext"/>
              <w:rPr>
                <w:lang w:eastAsia="en-GB"/>
              </w:rPr>
            </w:pPr>
            <w:r w:rsidRPr="00BF0D71">
              <w:rPr>
                <w:lang w:eastAsia="en-GB"/>
              </w:rPr>
              <w:t>Rapport d'activité sur la mise en œuvre des Décisions 600 et 601 du Conseil (numéros UIFN et IIN)</w:t>
            </w:r>
          </w:p>
        </w:tc>
        <w:tc>
          <w:tcPr>
            <w:tcW w:w="851" w:type="dxa"/>
            <w:shd w:val="clear" w:color="auto" w:fill="auto"/>
            <w:vAlign w:val="center"/>
            <w:hideMark/>
          </w:tcPr>
          <w:p w14:paraId="556501F8" w14:textId="77777777" w:rsidR="00675AD8" w:rsidRPr="00BF0D71" w:rsidRDefault="00675AD8" w:rsidP="00CC1389">
            <w:pPr>
              <w:pStyle w:val="Tabletext"/>
              <w:jc w:val="center"/>
              <w:rPr>
                <w:lang w:eastAsia="en-GB"/>
              </w:rPr>
            </w:pPr>
            <w:r w:rsidRPr="00BF0D71">
              <w:rPr>
                <w:lang w:eastAsia="en-GB"/>
              </w:rPr>
              <w:t>47</w:t>
            </w:r>
          </w:p>
        </w:tc>
        <w:tc>
          <w:tcPr>
            <w:tcW w:w="1134" w:type="dxa"/>
            <w:shd w:val="clear" w:color="auto" w:fill="auto"/>
            <w:vAlign w:val="center"/>
          </w:tcPr>
          <w:p w14:paraId="1F09607C"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45C74346" w14:textId="77777777" w:rsidR="00675AD8" w:rsidRPr="00BF0D71" w:rsidRDefault="00675AD8" w:rsidP="00CC1389">
            <w:pPr>
              <w:pStyle w:val="Tabletext"/>
              <w:jc w:val="center"/>
              <w:rPr>
                <w:lang w:eastAsia="en-GB"/>
              </w:rPr>
            </w:pPr>
          </w:p>
        </w:tc>
      </w:tr>
      <w:tr w:rsidR="00675AD8" w:rsidRPr="00BF0D71" w14:paraId="6EA3FFF2" w14:textId="77777777" w:rsidTr="00CC1389">
        <w:trPr>
          <w:jc w:val="center"/>
        </w:trPr>
        <w:tc>
          <w:tcPr>
            <w:tcW w:w="851" w:type="dxa"/>
            <w:shd w:val="clear" w:color="auto" w:fill="auto"/>
            <w:vAlign w:val="center"/>
          </w:tcPr>
          <w:p w14:paraId="4A49F70D" w14:textId="77777777" w:rsidR="00675AD8" w:rsidRPr="00BF0D71" w:rsidRDefault="00675AD8" w:rsidP="00CC1389">
            <w:pPr>
              <w:pStyle w:val="Tabletext"/>
              <w:jc w:val="center"/>
              <w:rPr>
                <w:b/>
                <w:bCs/>
                <w:lang w:eastAsia="en-GB"/>
              </w:rPr>
            </w:pPr>
            <w:r w:rsidRPr="00BF0D71">
              <w:rPr>
                <w:b/>
                <w:bCs/>
                <w:lang w:eastAsia="en-GB"/>
              </w:rPr>
              <w:t>29</w:t>
            </w:r>
          </w:p>
        </w:tc>
        <w:tc>
          <w:tcPr>
            <w:tcW w:w="5812" w:type="dxa"/>
            <w:shd w:val="clear" w:color="auto" w:fill="auto"/>
            <w:vAlign w:val="center"/>
          </w:tcPr>
          <w:p w14:paraId="12978E9C" w14:textId="77777777" w:rsidR="00675AD8" w:rsidRPr="00BF0D71" w:rsidRDefault="00675AD8" w:rsidP="00CC1389">
            <w:pPr>
              <w:pStyle w:val="Tabletext"/>
              <w:rPr>
                <w:lang w:eastAsia="en-GB"/>
              </w:rPr>
            </w:pPr>
            <w:r w:rsidRPr="00BF0D71">
              <w:rPr>
                <w:rFonts w:cstheme="minorHAnsi"/>
                <w:bCs/>
                <w:lang w:eastAsia="en-GB"/>
              </w:rPr>
              <w:t>Système de gestion de la résilience de l'organisation (ORMS)</w:t>
            </w:r>
          </w:p>
        </w:tc>
        <w:tc>
          <w:tcPr>
            <w:tcW w:w="851" w:type="dxa"/>
            <w:shd w:val="clear" w:color="auto" w:fill="auto"/>
            <w:vAlign w:val="center"/>
          </w:tcPr>
          <w:p w14:paraId="5B46A4D4" w14:textId="77777777" w:rsidR="00675AD8" w:rsidRPr="00BF0D71" w:rsidRDefault="00675AD8" w:rsidP="00CC1389">
            <w:pPr>
              <w:pStyle w:val="Tabletext"/>
              <w:jc w:val="center"/>
              <w:rPr>
                <w:lang w:eastAsia="en-GB"/>
              </w:rPr>
            </w:pPr>
            <w:r w:rsidRPr="00BF0D71">
              <w:rPr>
                <w:lang w:eastAsia="en-GB"/>
              </w:rPr>
              <w:t>15</w:t>
            </w:r>
          </w:p>
        </w:tc>
        <w:tc>
          <w:tcPr>
            <w:tcW w:w="1134" w:type="dxa"/>
            <w:shd w:val="clear" w:color="auto" w:fill="auto"/>
            <w:vAlign w:val="center"/>
          </w:tcPr>
          <w:p w14:paraId="402E2EA9"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46C0D479" w14:textId="77777777" w:rsidR="00675AD8" w:rsidRPr="00BF0D71" w:rsidRDefault="00675AD8" w:rsidP="00CC1389">
            <w:pPr>
              <w:pStyle w:val="Tabletext"/>
              <w:jc w:val="center"/>
              <w:rPr>
                <w:lang w:eastAsia="en-GB"/>
              </w:rPr>
            </w:pPr>
          </w:p>
        </w:tc>
      </w:tr>
      <w:tr w:rsidR="00675AD8" w:rsidRPr="00BF0D71" w14:paraId="015F1769" w14:textId="77777777" w:rsidTr="00CC1389">
        <w:trPr>
          <w:jc w:val="center"/>
        </w:trPr>
        <w:tc>
          <w:tcPr>
            <w:tcW w:w="851" w:type="dxa"/>
            <w:shd w:val="clear" w:color="auto" w:fill="auto"/>
            <w:vAlign w:val="center"/>
          </w:tcPr>
          <w:p w14:paraId="249EC686" w14:textId="77777777" w:rsidR="00675AD8" w:rsidRPr="00BF0D71" w:rsidRDefault="00675AD8" w:rsidP="00CC1389">
            <w:pPr>
              <w:pStyle w:val="Tabletext"/>
              <w:jc w:val="center"/>
              <w:rPr>
                <w:b/>
                <w:bCs/>
                <w:lang w:eastAsia="en-GB"/>
              </w:rPr>
            </w:pPr>
            <w:r w:rsidRPr="00BF0D71">
              <w:rPr>
                <w:b/>
                <w:bCs/>
                <w:lang w:eastAsia="en-GB"/>
              </w:rPr>
              <w:t>30</w:t>
            </w:r>
          </w:p>
        </w:tc>
        <w:tc>
          <w:tcPr>
            <w:tcW w:w="5812" w:type="dxa"/>
            <w:shd w:val="clear" w:color="auto" w:fill="auto"/>
            <w:vAlign w:val="center"/>
            <w:hideMark/>
          </w:tcPr>
          <w:p w14:paraId="7A32D3D3" w14:textId="77777777" w:rsidR="00675AD8" w:rsidRPr="00BF0D71" w:rsidRDefault="00675AD8" w:rsidP="00CC1389">
            <w:pPr>
              <w:pStyle w:val="Tabletext"/>
              <w:rPr>
                <w:lang w:eastAsia="en-GB"/>
              </w:rPr>
            </w:pPr>
            <w:r w:rsidRPr="00BF0D71">
              <w:rPr>
                <w:lang w:eastAsia="en-GB"/>
              </w:rPr>
              <w:t>Participation de l'UIT aux mémorandums d'accord ayant des incidences financières et/ou stratégiques</w:t>
            </w:r>
          </w:p>
        </w:tc>
        <w:tc>
          <w:tcPr>
            <w:tcW w:w="851" w:type="dxa"/>
            <w:shd w:val="clear" w:color="auto" w:fill="auto"/>
            <w:vAlign w:val="center"/>
            <w:hideMark/>
          </w:tcPr>
          <w:p w14:paraId="0AF53AFE" w14:textId="77777777" w:rsidR="00675AD8" w:rsidRPr="00BF0D71" w:rsidRDefault="00675AD8" w:rsidP="00CC1389">
            <w:pPr>
              <w:pStyle w:val="Tabletext"/>
              <w:jc w:val="center"/>
              <w:rPr>
                <w:lang w:eastAsia="en-GB"/>
              </w:rPr>
            </w:pPr>
            <w:r w:rsidRPr="00BF0D71">
              <w:rPr>
                <w:lang w:eastAsia="en-GB"/>
              </w:rPr>
              <w:t>45</w:t>
            </w:r>
          </w:p>
        </w:tc>
        <w:tc>
          <w:tcPr>
            <w:tcW w:w="1134" w:type="dxa"/>
            <w:shd w:val="clear" w:color="auto" w:fill="auto"/>
            <w:vAlign w:val="center"/>
          </w:tcPr>
          <w:p w14:paraId="7CE4E721"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7483DA6A" w14:textId="77777777" w:rsidR="00675AD8" w:rsidRPr="00BF0D71" w:rsidRDefault="00675AD8" w:rsidP="00CC1389">
            <w:pPr>
              <w:pStyle w:val="Tabletext"/>
              <w:jc w:val="center"/>
              <w:rPr>
                <w:lang w:eastAsia="en-GB"/>
              </w:rPr>
            </w:pPr>
          </w:p>
        </w:tc>
      </w:tr>
      <w:tr w:rsidR="00675AD8" w:rsidRPr="00BF0D71" w14:paraId="696B2582" w14:textId="77777777" w:rsidTr="00CC1389">
        <w:trPr>
          <w:jc w:val="center"/>
        </w:trPr>
        <w:tc>
          <w:tcPr>
            <w:tcW w:w="851" w:type="dxa"/>
            <w:shd w:val="clear" w:color="auto" w:fill="auto"/>
            <w:vAlign w:val="center"/>
          </w:tcPr>
          <w:p w14:paraId="3811D736" w14:textId="77777777" w:rsidR="00675AD8" w:rsidRPr="00BF0D71" w:rsidRDefault="00675AD8" w:rsidP="00CC1389">
            <w:pPr>
              <w:pStyle w:val="Tabletext"/>
              <w:jc w:val="center"/>
              <w:rPr>
                <w:b/>
                <w:bCs/>
                <w:lang w:eastAsia="en-GB"/>
              </w:rPr>
            </w:pPr>
            <w:r w:rsidRPr="00BF0D71">
              <w:rPr>
                <w:b/>
                <w:bCs/>
                <w:lang w:eastAsia="en-GB"/>
              </w:rPr>
              <w:t>31</w:t>
            </w:r>
          </w:p>
        </w:tc>
        <w:tc>
          <w:tcPr>
            <w:tcW w:w="5812" w:type="dxa"/>
            <w:shd w:val="clear" w:color="auto" w:fill="auto"/>
            <w:vAlign w:val="center"/>
            <w:hideMark/>
          </w:tcPr>
          <w:p w14:paraId="1F79F1B6" w14:textId="77777777" w:rsidR="00675AD8" w:rsidRPr="00BF0D71" w:rsidRDefault="00675AD8" w:rsidP="00CC1389">
            <w:pPr>
              <w:pStyle w:val="Tabletext"/>
              <w:rPr>
                <w:lang w:eastAsia="en-GB"/>
              </w:rPr>
            </w:pPr>
            <w:r w:rsidRPr="00BF0D71">
              <w:rPr>
                <w:bCs/>
                <w:lang w:eastAsia="en-GB"/>
              </w:rPr>
              <w:t>Compilation des décisions adoptées par la PP-18 et visées dans les comptes rendus de ses séances plénières</w:t>
            </w:r>
            <w:r w:rsidRPr="00BF0D71">
              <w:rPr>
                <w:lang w:eastAsia="en-GB"/>
              </w:rPr>
              <w:t>, en particulier les décisions basées sur les recommandations des Commissions et du Groupe de travail de la plénière</w:t>
            </w:r>
          </w:p>
        </w:tc>
        <w:tc>
          <w:tcPr>
            <w:tcW w:w="851" w:type="dxa"/>
            <w:shd w:val="clear" w:color="auto" w:fill="auto"/>
            <w:vAlign w:val="center"/>
            <w:hideMark/>
          </w:tcPr>
          <w:p w14:paraId="243A8FD0" w14:textId="77777777" w:rsidR="00675AD8" w:rsidRPr="00BF0D71" w:rsidRDefault="00675AD8" w:rsidP="00CC1389">
            <w:pPr>
              <w:pStyle w:val="Tabletext"/>
              <w:jc w:val="center"/>
              <w:rPr>
                <w:lang w:eastAsia="en-GB"/>
              </w:rPr>
            </w:pPr>
            <w:r w:rsidRPr="00BF0D71">
              <w:rPr>
                <w:lang w:eastAsia="en-GB"/>
              </w:rPr>
              <w:t>58</w:t>
            </w:r>
          </w:p>
        </w:tc>
        <w:tc>
          <w:tcPr>
            <w:tcW w:w="1134" w:type="dxa"/>
            <w:shd w:val="clear" w:color="auto" w:fill="auto"/>
            <w:vAlign w:val="center"/>
          </w:tcPr>
          <w:p w14:paraId="75ABD6FB"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5C6352C5" w14:textId="77777777" w:rsidR="00675AD8" w:rsidRPr="00BF0D71" w:rsidRDefault="00675AD8" w:rsidP="00CC1389">
            <w:pPr>
              <w:pStyle w:val="Tabletext"/>
              <w:jc w:val="center"/>
              <w:rPr>
                <w:lang w:eastAsia="en-GB"/>
              </w:rPr>
            </w:pPr>
          </w:p>
        </w:tc>
      </w:tr>
      <w:tr w:rsidR="00675AD8" w:rsidRPr="00BF0D71" w14:paraId="6BC26B3D" w14:textId="77777777" w:rsidTr="00CC1389">
        <w:trPr>
          <w:jc w:val="center"/>
        </w:trPr>
        <w:tc>
          <w:tcPr>
            <w:tcW w:w="851" w:type="dxa"/>
            <w:shd w:val="clear" w:color="auto" w:fill="auto"/>
            <w:vAlign w:val="center"/>
          </w:tcPr>
          <w:p w14:paraId="4E8AD32D" w14:textId="77777777" w:rsidR="00675AD8" w:rsidRPr="00BF0D71" w:rsidRDefault="00675AD8" w:rsidP="00CC1389">
            <w:pPr>
              <w:pStyle w:val="Tabletext"/>
              <w:jc w:val="center"/>
              <w:rPr>
                <w:b/>
                <w:bCs/>
                <w:lang w:eastAsia="en-GB"/>
              </w:rPr>
            </w:pPr>
            <w:r w:rsidRPr="00BF0D71">
              <w:rPr>
                <w:b/>
                <w:bCs/>
                <w:lang w:eastAsia="en-GB"/>
              </w:rPr>
              <w:t>32</w:t>
            </w:r>
          </w:p>
        </w:tc>
        <w:tc>
          <w:tcPr>
            <w:tcW w:w="5812" w:type="dxa"/>
            <w:shd w:val="clear" w:color="auto" w:fill="auto"/>
            <w:vAlign w:val="center"/>
            <w:hideMark/>
          </w:tcPr>
          <w:p w14:paraId="3ED45537" w14:textId="77777777" w:rsidR="00675AD8" w:rsidRPr="00BF0D71" w:rsidRDefault="00675AD8" w:rsidP="00CC1389">
            <w:pPr>
              <w:pStyle w:val="Tabletext"/>
              <w:rPr>
                <w:lang w:eastAsia="en-GB"/>
              </w:rPr>
            </w:pPr>
            <w:r w:rsidRPr="00BF0D71">
              <w:rPr>
                <w:lang w:eastAsia="en-GB"/>
              </w:rPr>
              <w:t>Amélioration de la gestion et du suivi de la contribution des Membres de Secteur, des Associés et des établissements universitaires aux dépenses de l'UIT</w:t>
            </w:r>
          </w:p>
        </w:tc>
        <w:tc>
          <w:tcPr>
            <w:tcW w:w="851" w:type="dxa"/>
            <w:shd w:val="clear" w:color="auto" w:fill="auto"/>
            <w:vAlign w:val="center"/>
            <w:hideMark/>
          </w:tcPr>
          <w:p w14:paraId="72D60016" w14:textId="77777777" w:rsidR="00675AD8" w:rsidRPr="00BF0D71" w:rsidRDefault="00675AD8" w:rsidP="00CC1389">
            <w:pPr>
              <w:pStyle w:val="Tabletext"/>
              <w:jc w:val="center"/>
              <w:rPr>
                <w:lang w:eastAsia="en-GB"/>
              </w:rPr>
            </w:pPr>
            <w:r w:rsidRPr="00BF0D71">
              <w:rPr>
                <w:lang w:eastAsia="en-GB"/>
              </w:rPr>
              <w:t>52</w:t>
            </w:r>
          </w:p>
        </w:tc>
        <w:tc>
          <w:tcPr>
            <w:tcW w:w="1134" w:type="dxa"/>
            <w:shd w:val="clear" w:color="auto" w:fill="auto"/>
            <w:vAlign w:val="center"/>
          </w:tcPr>
          <w:p w14:paraId="16CE356B"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7FE41339" w14:textId="77777777" w:rsidR="00675AD8" w:rsidRPr="00BF0D71" w:rsidRDefault="00675AD8" w:rsidP="00CC1389">
            <w:pPr>
              <w:pStyle w:val="Tabletext"/>
              <w:jc w:val="center"/>
              <w:rPr>
                <w:lang w:eastAsia="en-GB"/>
              </w:rPr>
            </w:pPr>
          </w:p>
        </w:tc>
      </w:tr>
      <w:tr w:rsidR="00675AD8" w:rsidRPr="00BF0D71" w14:paraId="55A1076F" w14:textId="77777777" w:rsidTr="00CC1389">
        <w:trPr>
          <w:jc w:val="center"/>
        </w:trPr>
        <w:tc>
          <w:tcPr>
            <w:tcW w:w="851" w:type="dxa"/>
            <w:shd w:val="clear" w:color="auto" w:fill="auto"/>
            <w:vAlign w:val="center"/>
          </w:tcPr>
          <w:p w14:paraId="1C98F4FB" w14:textId="77777777" w:rsidR="00675AD8" w:rsidRPr="00BF0D71" w:rsidRDefault="00675AD8" w:rsidP="00CC1389">
            <w:pPr>
              <w:pStyle w:val="Tabletext"/>
              <w:jc w:val="center"/>
              <w:rPr>
                <w:b/>
                <w:bCs/>
                <w:lang w:eastAsia="en-GB"/>
              </w:rPr>
            </w:pPr>
            <w:r w:rsidRPr="00BF0D71">
              <w:rPr>
                <w:b/>
                <w:bCs/>
                <w:lang w:eastAsia="en-GB"/>
              </w:rPr>
              <w:t>33</w:t>
            </w:r>
          </w:p>
        </w:tc>
        <w:tc>
          <w:tcPr>
            <w:tcW w:w="5812" w:type="dxa"/>
            <w:shd w:val="clear" w:color="auto" w:fill="auto"/>
            <w:vAlign w:val="center"/>
          </w:tcPr>
          <w:p w14:paraId="32FAF15D" w14:textId="77777777" w:rsidR="00675AD8" w:rsidRPr="00BF0D71" w:rsidRDefault="00675AD8" w:rsidP="00CC1389">
            <w:pPr>
              <w:pStyle w:val="Tabletext"/>
              <w:rPr>
                <w:lang w:eastAsia="en-GB"/>
              </w:rPr>
            </w:pPr>
            <w:r w:rsidRPr="00BF0D71">
              <w:rPr>
                <w:rFonts w:cstheme="minorHAnsi"/>
                <w:lang w:eastAsia="en-GB"/>
              </w:rPr>
              <w:t>Arriérés et comptes spéciaux d'arriérés (</w:t>
            </w:r>
            <w:r w:rsidRPr="00BF0D71">
              <w:rPr>
                <w:rFonts w:cstheme="minorHAnsi"/>
                <w:i/>
                <w:iCs/>
                <w:lang w:eastAsia="en-GB"/>
              </w:rPr>
              <w:t>Résolution 41 de la PP</w:t>
            </w:r>
            <w:r w:rsidRPr="00BF0D71">
              <w:rPr>
                <w:rFonts w:cstheme="minorHAnsi"/>
                <w:lang w:eastAsia="en-GB"/>
              </w:rPr>
              <w:t>)</w:t>
            </w:r>
          </w:p>
        </w:tc>
        <w:tc>
          <w:tcPr>
            <w:tcW w:w="851" w:type="dxa"/>
            <w:shd w:val="clear" w:color="auto" w:fill="auto"/>
            <w:vAlign w:val="center"/>
          </w:tcPr>
          <w:p w14:paraId="600A4EC1" w14:textId="77777777" w:rsidR="00675AD8" w:rsidRPr="00BF0D71" w:rsidRDefault="00675AD8" w:rsidP="00CC1389">
            <w:pPr>
              <w:pStyle w:val="Tabletext"/>
              <w:jc w:val="center"/>
              <w:rPr>
                <w:lang w:eastAsia="en-GB"/>
              </w:rPr>
            </w:pPr>
            <w:r w:rsidRPr="00BF0D71">
              <w:rPr>
                <w:rFonts w:cstheme="minorHAnsi"/>
                <w:lang w:eastAsia="en-GB"/>
              </w:rPr>
              <w:t>11</w:t>
            </w:r>
          </w:p>
        </w:tc>
        <w:tc>
          <w:tcPr>
            <w:tcW w:w="1134" w:type="dxa"/>
            <w:shd w:val="clear" w:color="auto" w:fill="auto"/>
            <w:vAlign w:val="center"/>
          </w:tcPr>
          <w:p w14:paraId="067C3761" w14:textId="77777777" w:rsidR="00675AD8" w:rsidRPr="00BF0D71" w:rsidRDefault="00675AD8" w:rsidP="00CC1389">
            <w:pPr>
              <w:pStyle w:val="Tabletext"/>
              <w:jc w:val="center"/>
              <w:rPr>
                <w:lang w:eastAsia="en-GB"/>
              </w:rPr>
            </w:pPr>
            <w:r w:rsidRPr="00BF0D71">
              <w:rPr>
                <w:rFonts w:cstheme="minorHAnsi"/>
                <w:lang w:eastAsia="en-GB"/>
              </w:rPr>
              <w:t>Décision</w:t>
            </w:r>
          </w:p>
        </w:tc>
        <w:tc>
          <w:tcPr>
            <w:tcW w:w="1275" w:type="dxa"/>
            <w:shd w:val="clear" w:color="auto" w:fill="auto"/>
            <w:vAlign w:val="center"/>
          </w:tcPr>
          <w:p w14:paraId="666541FA" w14:textId="77777777" w:rsidR="00675AD8" w:rsidRPr="00BF0D71" w:rsidRDefault="00675AD8" w:rsidP="00CC1389">
            <w:pPr>
              <w:pStyle w:val="Tabletext"/>
              <w:jc w:val="center"/>
              <w:rPr>
                <w:lang w:eastAsia="en-GB"/>
              </w:rPr>
            </w:pPr>
          </w:p>
        </w:tc>
      </w:tr>
      <w:tr w:rsidR="00675AD8" w:rsidRPr="00BF0D71" w14:paraId="5255A2C1" w14:textId="77777777" w:rsidTr="00CC1389">
        <w:trPr>
          <w:jc w:val="center"/>
        </w:trPr>
        <w:tc>
          <w:tcPr>
            <w:tcW w:w="851" w:type="dxa"/>
            <w:shd w:val="clear" w:color="auto" w:fill="auto"/>
            <w:vAlign w:val="center"/>
          </w:tcPr>
          <w:p w14:paraId="1DA71195" w14:textId="77777777" w:rsidR="00675AD8" w:rsidRPr="00BF0D71" w:rsidRDefault="00675AD8" w:rsidP="00CC1389">
            <w:pPr>
              <w:pStyle w:val="Tabletext"/>
              <w:jc w:val="center"/>
              <w:rPr>
                <w:b/>
                <w:bCs/>
                <w:lang w:eastAsia="en-GB"/>
              </w:rPr>
            </w:pPr>
            <w:r w:rsidRPr="00BF0D71">
              <w:rPr>
                <w:rFonts w:cstheme="minorHAnsi"/>
                <w:b/>
                <w:bCs/>
                <w:lang w:eastAsia="en-GB"/>
              </w:rPr>
              <w:t>34</w:t>
            </w:r>
          </w:p>
        </w:tc>
        <w:tc>
          <w:tcPr>
            <w:tcW w:w="5812" w:type="dxa"/>
            <w:shd w:val="clear" w:color="auto" w:fill="auto"/>
            <w:vAlign w:val="center"/>
          </w:tcPr>
          <w:p w14:paraId="2D5A35F4" w14:textId="77777777" w:rsidR="00675AD8" w:rsidRPr="00BF0D71" w:rsidRDefault="00675AD8" w:rsidP="00CC1389">
            <w:pPr>
              <w:pStyle w:val="Tabletext"/>
              <w:rPr>
                <w:lang w:eastAsia="en-GB"/>
              </w:rPr>
            </w:pPr>
            <w:r w:rsidRPr="00BF0D71">
              <w:rPr>
                <w:rFonts w:cstheme="minorHAnsi"/>
                <w:lang w:eastAsia="en-GB"/>
              </w:rPr>
              <w:t>Demandes d'exonération</w:t>
            </w:r>
          </w:p>
        </w:tc>
        <w:tc>
          <w:tcPr>
            <w:tcW w:w="851" w:type="dxa"/>
            <w:shd w:val="clear" w:color="auto" w:fill="auto"/>
            <w:vAlign w:val="center"/>
          </w:tcPr>
          <w:p w14:paraId="78D4ADA6" w14:textId="77777777" w:rsidR="00675AD8" w:rsidRPr="00BF0D71" w:rsidRDefault="00675AD8" w:rsidP="00CC1389">
            <w:pPr>
              <w:pStyle w:val="Tabletext"/>
              <w:jc w:val="center"/>
              <w:rPr>
                <w:lang w:eastAsia="en-GB"/>
              </w:rPr>
            </w:pPr>
            <w:r w:rsidRPr="00BF0D71">
              <w:rPr>
                <w:rFonts w:cstheme="minorHAnsi"/>
                <w:lang w:eastAsia="en-GB"/>
              </w:rPr>
              <w:t>39</w:t>
            </w:r>
          </w:p>
        </w:tc>
        <w:tc>
          <w:tcPr>
            <w:tcW w:w="1134" w:type="dxa"/>
            <w:shd w:val="clear" w:color="auto" w:fill="auto"/>
            <w:vAlign w:val="center"/>
          </w:tcPr>
          <w:p w14:paraId="1216BB9C" w14:textId="77777777" w:rsidR="00675AD8" w:rsidRPr="00BF0D71" w:rsidRDefault="00675AD8" w:rsidP="00CC1389">
            <w:pPr>
              <w:pStyle w:val="Tabletext"/>
              <w:jc w:val="center"/>
              <w:rPr>
                <w:lang w:eastAsia="en-GB"/>
              </w:rPr>
            </w:pPr>
            <w:r w:rsidRPr="00BF0D71">
              <w:rPr>
                <w:rFonts w:cstheme="minorHAnsi"/>
                <w:lang w:eastAsia="en-GB"/>
              </w:rPr>
              <w:t>Non</w:t>
            </w:r>
          </w:p>
        </w:tc>
        <w:tc>
          <w:tcPr>
            <w:tcW w:w="1275" w:type="dxa"/>
            <w:shd w:val="clear" w:color="auto" w:fill="auto"/>
            <w:vAlign w:val="center"/>
          </w:tcPr>
          <w:p w14:paraId="0D27FE5B" w14:textId="77777777" w:rsidR="00675AD8" w:rsidRPr="00BF0D71" w:rsidRDefault="00675AD8" w:rsidP="00CC1389">
            <w:pPr>
              <w:pStyle w:val="Tabletext"/>
              <w:jc w:val="center"/>
              <w:rPr>
                <w:lang w:eastAsia="en-GB"/>
              </w:rPr>
            </w:pPr>
          </w:p>
        </w:tc>
      </w:tr>
      <w:tr w:rsidR="00675AD8" w:rsidRPr="00BF0D71" w14:paraId="2C45EE72" w14:textId="77777777" w:rsidTr="00CC1389">
        <w:trPr>
          <w:jc w:val="center"/>
        </w:trPr>
        <w:tc>
          <w:tcPr>
            <w:tcW w:w="851" w:type="dxa"/>
            <w:shd w:val="clear" w:color="auto" w:fill="auto"/>
            <w:vAlign w:val="center"/>
          </w:tcPr>
          <w:p w14:paraId="3A519AB5" w14:textId="77777777" w:rsidR="00675AD8" w:rsidRPr="00BF0D71" w:rsidRDefault="00675AD8" w:rsidP="00CC1389">
            <w:pPr>
              <w:pStyle w:val="Tabletext"/>
              <w:jc w:val="center"/>
              <w:rPr>
                <w:b/>
                <w:bCs/>
                <w:lang w:eastAsia="en-GB"/>
              </w:rPr>
            </w:pPr>
            <w:r w:rsidRPr="00BF0D71">
              <w:rPr>
                <w:rFonts w:cstheme="minorHAnsi"/>
                <w:b/>
                <w:bCs/>
                <w:lang w:eastAsia="en-GB"/>
              </w:rPr>
              <w:t>35</w:t>
            </w:r>
          </w:p>
        </w:tc>
        <w:tc>
          <w:tcPr>
            <w:tcW w:w="5812" w:type="dxa"/>
            <w:shd w:val="clear" w:color="auto" w:fill="auto"/>
            <w:vAlign w:val="center"/>
          </w:tcPr>
          <w:p w14:paraId="67A8EE5D" w14:textId="77777777" w:rsidR="00675AD8" w:rsidRPr="00BF0D71" w:rsidRDefault="00675AD8" w:rsidP="00CC1389">
            <w:pPr>
              <w:pStyle w:val="Tabletext"/>
              <w:rPr>
                <w:lang w:eastAsia="en-GB"/>
              </w:rPr>
            </w:pPr>
            <w:r w:rsidRPr="00BF0D71">
              <w:rPr>
                <w:rFonts w:cstheme="minorHAnsi"/>
                <w:lang w:eastAsia="en-GB"/>
              </w:rPr>
              <w:t>Fonds pour le développement des technologies de l'information et de la communication (FDTIC)</w:t>
            </w:r>
            <w:r w:rsidRPr="00BF0D71">
              <w:rPr>
                <w:rFonts w:cstheme="minorHAnsi"/>
                <w:i/>
                <w:iCs/>
                <w:lang w:eastAsia="en-GB"/>
              </w:rPr>
              <w:t xml:space="preserve"> </w:t>
            </w:r>
            <w:r w:rsidRPr="00BF0D71">
              <w:rPr>
                <w:rFonts w:cstheme="minorHAnsi"/>
                <w:lang w:eastAsia="en-GB"/>
              </w:rPr>
              <w:t>(</w:t>
            </w:r>
            <w:r w:rsidRPr="00BF0D71">
              <w:rPr>
                <w:rFonts w:cstheme="minorHAnsi"/>
                <w:i/>
                <w:iCs/>
                <w:lang w:eastAsia="en-GB"/>
              </w:rPr>
              <w:t>Décision 11 de la PP</w:t>
            </w:r>
            <w:r w:rsidRPr="00BF0D71">
              <w:rPr>
                <w:rFonts w:cstheme="minorHAnsi"/>
                <w:lang w:eastAsia="en-GB"/>
              </w:rPr>
              <w:t>)</w:t>
            </w:r>
          </w:p>
        </w:tc>
        <w:tc>
          <w:tcPr>
            <w:tcW w:w="851" w:type="dxa"/>
            <w:shd w:val="clear" w:color="auto" w:fill="auto"/>
            <w:vAlign w:val="center"/>
          </w:tcPr>
          <w:p w14:paraId="56CD531B" w14:textId="77777777" w:rsidR="00675AD8" w:rsidRPr="00BF0D71" w:rsidRDefault="00675AD8" w:rsidP="00CC1389">
            <w:pPr>
              <w:pStyle w:val="Tabletext"/>
              <w:jc w:val="center"/>
              <w:rPr>
                <w:lang w:eastAsia="en-GB"/>
              </w:rPr>
            </w:pPr>
            <w:r w:rsidRPr="00BF0D71">
              <w:rPr>
                <w:rFonts w:cstheme="minorHAnsi"/>
                <w:lang w:eastAsia="en-GB"/>
              </w:rPr>
              <w:t>34</w:t>
            </w:r>
          </w:p>
        </w:tc>
        <w:tc>
          <w:tcPr>
            <w:tcW w:w="1134" w:type="dxa"/>
            <w:shd w:val="clear" w:color="auto" w:fill="auto"/>
            <w:vAlign w:val="center"/>
          </w:tcPr>
          <w:p w14:paraId="1DFA0D2D" w14:textId="77777777" w:rsidR="00675AD8" w:rsidRPr="00BF0D71" w:rsidRDefault="00675AD8" w:rsidP="00CC1389">
            <w:pPr>
              <w:pStyle w:val="Tabletext"/>
              <w:jc w:val="center"/>
              <w:rPr>
                <w:lang w:eastAsia="en-GB"/>
              </w:rPr>
            </w:pPr>
            <w:r w:rsidRPr="00BF0D71">
              <w:rPr>
                <w:rFonts w:cstheme="minorHAnsi"/>
                <w:lang w:eastAsia="en-GB"/>
              </w:rPr>
              <w:t>Non</w:t>
            </w:r>
          </w:p>
        </w:tc>
        <w:tc>
          <w:tcPr>
            <w:tcW w:w="1275" w:type="dxa"/>
            <w:shd w:val="clear" w:color="auto" w:fill="auto"/>
            <w:vAlign w:val="center"/>
          </w:tcPr>
          <w:p w14:paraId="1CD82D13" w14:textId="77777777" w:rsidR="00675AD8" w:rsidRPr="00BF0D71" w:rsidRDefault="00675AD8" w:rsidP="00CC1389">
            <w:pPr>
              <w:pStyle w:val="Tabletext"/>
              <w:jc w:val="center"/>
              <w:rPr>
                <w:lang w:eastAsia="en-GB"/>
              </w:rPr>
            </w:pPr>
          </w:p>
        </w:tc>
      </w:tr>
      <w:tr w:rsidR="00675AD8" w:rsidRPr="00BF0D71" w14:paraId="6D39117B" w14:textId="77777777" w:rsidTr="00CC1389">
        <w:trPr>
          <w:jc w:val="center"/>
        </w:trPr>
        <w:tc>
          <w:tcPr>
            <w:tcW w:w="851" w:type="dxa"/>
            <w:shd w:val="clear" w:color="auto" w:fill="auto"/>
            <w:vAlign w:val="center"/>
          </w:tcPr>
          <w:p w14:paraId="11D95C44" w14:textId="77777777" w:rsidR="00675AD8" w:rsidRPr="00BF0D71" w:rsidRDefault="00675AD8" w:rsidP="00CC1389">
            <w:pPr>
              <w:pStyle w:val="Tabletext"/>
              <w:jc w:val="center"/>
              <w:rPr>
                <w:rFonts w:cstheme="minorHAnsi"/>
                <w:b/>
                <w:bCs/>
                <w:lang w:eastAsia="en-GB"/>
              </w:rPr>
            </w:pPr>
            <w:r w:rsidRPr="00BF0D71">
              <w:rPr>
                <w:rFonts w:cstheme="minorHAnsi"/>
                <w:b/>
                <w:bCs/>
                <w:lang w:eastAsia="en-GB"/>
              </w:rPr>
              <w:t>36</w:t>
            </w:r>
          </w:p>
        </w:tc>
        <w:tc>
          <w:tcPr>
            <w:tcW w:w="5812" w:type="dxa"/>
            <w:shd w:val="clear" w:color="auto" w:fill="auto"/>
            <w:vAlign w:val="center"/>
          </w:tcPr>
          <w:p w14:paraId="5AB54FCE" w14:textId="77777777" w:rsidR="00675AD8" w:rsidRPr="00BF0D71" w:rsidRDefault="00675AD8" w:rsidP="00CC1389">
            <w:pPr>
              <w:pStyle w:val="Tabletext"/>
              <w:rPr>
                <w:rFonts w:cstheme="minorHAnsi"/>
                <w:lang w:eastAsia="en-GB"/>
              </w:rPr>
            </w:pPr>
            <w:r w:rsidRPr="00BF0D71">
              <w:rPr>
                <w:rFonts w:cstheme="minorHAnsi"/>
                <w:lang w:eastAsia="en-GB"/>
              </w:rPr>
              <w:t>Rapport du Comité consultatif indépendant pour les questions de gestion (CCIG) (</w:t>
            </w:r>
            <w:r w:rsidRPr="00BF0D71">
              <w:rPr>
                <w:rFonts w:cstheme="minorHAnsi"/>
                <w:i/>
                <w:iCs/>
                <w:lang w:eastAsia="en-GB"/>
              </w:rPr>
              <w:t>Résolution 162 de la PP, Décision 565 du Conseil</w:t>
            </w:r>
            <w:r w:rsidRPr="00BF0D71">
              <w:rPr>
                <w:rFonts w:cstheme="minorHAnsi"/>
                <w:lang w:eastAsia="en-GB"/>
              </w:rPr>
              <w:t>)</w:t>
            </w:r>
          </w:p>
        </w:tc>
        <w:tc>
          <w:tcPr>
            <w:tcW w:w="851" w:type="dxa"/>
            <w:shd w:val="clear" w:color="auto" w:fill="auto"/>
            <w:vAlign w:val="center"/>
          </w:tcPr>
          <w:p w14:paraId="78C36707" w14:textId="77777777" w:rsidR="00675AD8" w:rsidRPr="00BF0D71" w:rsidRDefault="00675AD8" w:rsidP="00CC1389">
            <w:pPr>
              <w:pStyle w:val="Tabletext"/>
              <w:jc w:val="center"/>
              <w:rPr>
                <w:rFonts w:cstheme="minorHAnsi"/>
                <w:lang w:eastAsia="en-GB"/>
              </w:rPr>
            </w:pPr>
            <w:r w:rsidRPr="00BF0D71">
              <w:rPr>
                <w:rFonts w:cstheme="minorHAnsi"/>
                <w:lang w:eastAsia="en-GB"/>
              </w:rPr>
              <w:t>22</w:t>
            </w:r>
          </w:p>
        </w:tc>
        <w:tc>
          <w:tcPr>
            <w:tcW w:w="1134" w:type="dxa"/>
            <w:shd w:val="clear" w:color="auto" w:fill="auto"/>
            <w:vAlign w:val="center"/>
          </w:tcPr>
          <w:p w14:paraId="7B546589" w14:textId="77777777" w:rsidR="00675AD8" w:rsidRPr="00BF0D71" w:rsidRDefault="00675AD8" w:rsidP="00CC1389">
            <w:pPr>
              <w:pStyle w:val="Tabletext"/>
              <w:jc w:val="center"/>
              <w:rPr>
                <w:rFonts w:cstheme="minorHAnsi"/>
                <w:lang w:eastAsia="en-GB"/>
              </w:rPr>
            </w:pPr>
            <w:r w:rsidRPr="00BF0D71">
              <w:rPr>
                <w:rFonts w:cstheme="minorHAnsi"/>
                <w:lang w:eastAsia="en-GB"/>
              </w:rPr>
              <w:t>Non</w:t>
            </w:r>
          </w:p>
        </w:tc>
        <w:tc>
          <w:tcPr>
            <w:tcW w:w="1275" w:type="dxa"/>
            <w:shd w:val="clear" w:color="auto" w:fill="auto"/>
            <w:vAlign w:val="center"/>
          </w:tcPr>
          <w:p w14:paraId="6FC82B7B" w14:textId="77777777" w:rsidR="00675AD8" w:rsidRPr="00BF0D71" w:rsidRDefault="00675AD8" w:rsidP="00CC1389">
            <w:pPr>
              <w:pStyle w:val="Tabletext"/>
              <w:jc w:val="center"/>
              <w:rPr>
                <w:rFonts w:cstheme="minorHAnsi"/>
                <w:lang w:eastAsia="en-GB"/>
              </w:rPr>
            </w:pPr>
          </w:p>
        </w:tc>
      </w:tr>
      <w:tr w:rsidR="00675AD8" w:rsidRPr="00BF0D71" w14:paraId="2F87F51B" w14:textId="77777777" w:rsidTr="00CC1389">
        <w:trPr>
          <w:jc w:val="center"/>
        </w:trPr>
        <w:tc>
          <w:tcPr>
            <w:tcW w:w="851" w:type="dxa"/>
            <w:shd w:val="clear" w:color="auto" w:fill="auto"/>
            <w:vAlign w:val="center"/>
          </w:tcPr>
          <w:p w14:paraId="41608901" w14:textId="77777777" w:rsidR="00675AD8" w:rsidRPr="00BF0D71" w:rsidRDefault="00675AD8" w:rsidP="00CC1389">
            <w:pPr>
              <w:pStyle w:val="Tabletext"/>
              <w:jc w:val="center"/>
              <w:rPr>
                <w:b/>
                <w:bCs/>
                <w:lang w:eastAsia="en-GB"/>
              </w:rPr>
            </w:pPr>
            <w:r w:rsidRPr="00BF0D71">
              <w:rPr>
                <w:b/>
                <w:bCs/>
                <w:lang w:eastAsia="en-GB"/>
              </w:rPr>
              <w:t>37</w:t>
            </w:r>
          </w:p>
        </w:tc>
        <w:tc>
          <w:tcPr>
            <w:tcW w:w="5812" w:type="dxa"/>
            <w:shd w:val="clear" w:color="auto" w:fill="auto"/>
            <w:vAlign w:val="center"/>
            <w:hideMark/>
          </w:tcPr>
          <w:p w14:paraId="2F74C5CE" w14:textId="77777777" w:rsidR="00675AD8" w:rsidRPr="00BF0D71" w:rsidRDefault="00675AD8" w:rsidP="00CC1389">
            <w:pPr>
              <w:pStyle w:val="Tabletext"/>
              <w:rPr>
                <w:lang w:eastAsia="en-GB"/>
              </w:rPr>
            </w:pPr>
            <w:r w:rsidRPr="00BF0D71">
              <w:rPr>
                <w:lang w:eastAsia="en-GB"/>
              </w:rPr>
              <w:t>Nomination d'un nouveau Vérificateur extérieur des comptes (</w:t>
            </w:r>
            <w:r w:rsidRPr="00BF0D71">
              <w:rPr>
                <w:i/>
                <w:iCs/>
                <w:lang w:eastAsia="en-GB"/>
              </w:rPr>
              <w:t>Résolution 94 de la PP, Décision 614 du Conseil</w:t>
            </w:r>
            <w:r w:rsidRPr="00BF0D71">
              <w:rPr>
                <w:lang w:eastAsia="en-GB"/>
              </w:rPr>
              <w:t>)</w:t>
            </w:r>
          </w:p>
        </w:tc>
        <w:tc>
          <w:tcPr>
            <w:tcW w:w="851" w:type="dxa"/>
            <w:shd w:val="clear" w:color="auto" w:fill="auto"/>
            <w:noWrap/>
            <w:vAlign w:val="center"/>
            <w:hideMark/>
          </w:tcPr>
          <w:p w14:paraId="2DD52C87" w14:textId="77777777" w:rsidR="00675AD8" w:rsidRPr="00BF0D71" w:rsidRDefault="00675AD8" w:rsidP="00CC1389">
            <w:pPr>
              <w:pStyle w:val="Tabletext"/>
              <w:jc w:val="center"/>
              <w:rPr>
                <w:lang w:eastAsia="en-GB"/>
              </w:rPr>
            </w:pPr>
            <w:r w:rsidRPr="00BF0D71">
              <w:rPr>
                <w:lang w:eastAsia="en-GB"/>
              </w:rPr>
              <w:t>49</w:t>
            </w:r>
          </w:p>
        </w:tc>
        <w:tc>
          <w:tcPr>
            <w:tcW w:w="1134" w:type="dxa"/>
            <w:shd w:val="clear" w:color="auto" w:fill="auto"/>
            <w:vAlign w:val="center"/>
          </w:tcPr>
          <w:p w14:paraId="661A15D3" w14:textId="77777777" w:rsidR="00675AD8" w:rsidRPr="00BF0D71" w:rsidRDefault="00675AD8" w:rsidP="00CC1389">
            <w:pPr>
              <w:pStyle w:val="Tabletext"/>
              <w:jc w:val="center"/>
              <w:rPr>
                <w:lang w:eastAsia="en-GB"/>
              </w:rPr>
            </w:pPr>
            <w:r w:rsidRPr="00BF0D71">
              <w:rPr>
                <w:rFonts w:cstheme="minorHAnsi"/>
                <w:lang w:eastAsia="en-GB"/>
              </w:rPr>
              <w:t>Décision</w:t>
            </w:r>
          </w:p>
        </w:tc>
        <w:tc>
          <w:tcPr>
            <w:tcW w:w="1275" w:type="dxa"/>
            <w:shd w:val="clear" w:color="auto" w:fill="auto"/>
            <w:vAlign w:val="center"/>
          </w:tcPr>
          <w:p w14:paraId="11C4373E" w14:textId="77777777" w:rsidR="00675AD8" w:rsidRPr="00BF0D71" w:rsidRDefault="00675AD8" w:rsidP="00CC1389">
            <w:pPr>
              <w:pStyle w:val="Tabletext"/>
              <w:jc w:val="center"/>
              <w:rPr>
                <w:lang w:eastAsia="en-GB"/>
              </w:rPr>
            </w:pPr>
          </w:p>
        </w:tc>
      </w:tr>
      <w:tr w:rsidR="00675AD8" w:rsidRPr="00BF0D71" w14:paraId="2733515E" w14:textId="77777777" w:rsidTr="00CC1389">
        <w:trPr>
          <w:jc w:val="center"/>
        </w:trPr>
        <w:tc>
          <w:tcPr>
            <w:tcW w:w="851" w:type="dxa"/>
            <w:shd w:val="clear" w:color="auto" w:fill="auto"/>
            <w:vAlign w:val="center"/>
          </w:tcPr>
          <w:p w14:paraId="0DD2CD66" w14:textId="77777777" w:rsidR="00675AD8" w:rsidRPr="00BF0D71" w:rsidRDefault="00675AD8" w:rsidP="00CC1389">
            <w:pPr>
              <w:pStyle w:val="Tabletext"/>
              <w:jc w:val="center"/>
              <w:rPr>
                <w:b/>
                <w:bCs/>
                <w:lang w:eastAsia="en-GB"/>
              </w:rPr>
            </w:pPr>
            <w:r w:rsidRPr="00BF0D71">
              <w:rPr>
                <w:b/>
                <w:bCs/>
                <w:lang w:eastAsia="en-GB"/>
              </w:rPr>
              <w:t>38</w:t>
            </w:r>
          </w:p>
        </w:tc>
        <w:tc>
          <w:tcPr>
            <w:tcW w:w="5812" w:type="dxa"/>
            <w:shd w:val="clear" w:color="auto" w:fill="auto"/>
            <w:vAlign w:val="center"/>
            <w:hideMark/>
          </w:tcPr>
          <w:p w14:paraId="6B1E8B8F" w14:textId="77777777" w:rsidR="00675AD8" w:rsidRPr="00BF0D71" w:rsidRDefault="00675AD8" w:rsidP="00CC1389">
            <w:pPr>
              <w:pStyle w:val="Tabletext"/>
              <w:rPr>
                <w:lang w:eastAsia="en-GB"/>
              </w:rPr>
            </w:pPr>
            <w:r w:rsidRPr="00BF0D71">
              <w:rPr>
                <w:lang w:eastAsia="en-GB"/>
              </w:rPr>
              <w:t>Passifs de l'assurance maladie après la cession de service (ASHI)</w:t>
            </w:r>
          </w:p>
        </w:tc>
        <w:tc>
          <w:tcPr>
            <w:tcW w:w="851" w:type="dxa"/>
            <w:shd w:val="clear" w:color="auto" w:fill="auto"/>
            <w:noWrap/>
            <w:vAlign w:val="center"/>
            <w:hideMark/>
          </w:tcPr>
          <w:p w14:paraId="0DDCCE0F" w14:textId="77777777" w:rsidR="00675AD8" w:rsidRPr="00BF0D71" w:rsidRDefault="00675AD8" w:rsidP="00CC1389">
            <w:pPr>
              <w:pStyle w:val="Tabletext"/>
              <w:jc w:val="center"/>
              <w:rPr>
                <w:lang w:eastAsia="en-GB"/>
              </w:rPr>
            </w:pPr>
            <w:r w:rsidRPr="00BF0D71">
              <w:rPr>
                <w:lang w:eastAsia="en-GB"/>
              </w:rPr>
              <w:t>46</w:t>
            </w:r>
          </w:p>
        </w:tc>
        <w:tc>
          <w:tcPr>
            <w:tcW w:w="1134" w:type="dxa"/>
            <w:shd w:val="clear" w:color="auto" w:fill="auto"/>
            <w:vAlign w:val="center"/>
          </w:tcPr>
          <w:p w14:paraId="6AD9D882"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4253E2DF" w14:textId="77777777" w:rsidR="00675AD8" w:rsidRPr="00BF0D71" w:rsidRDefault="00675AD8" w:rsidP="00CC1389">
            <w:pPr>
              <w:pStyle w:val="Tabletext"/>
              <w:jc w:val="center"/>
              <w:rPr>
                <w:lang w:eastAsia="en-GB"/>
              </w:rPr>
            </w:pPr>
          </w:p>
        </w:tc>
      </w:tr>
      <w:tr w:rsidR="00675AD8" w:rsidRPr="00BF0D71" w14:paraId="34DF9FF0" w14:textId="77777777" w:rsidTr="00CC1389">
        <w:trPr>
          <w:jc w:val="center"/>
        </w:trPr>
        <w:tc>
          <w:tcPr>
            <w:tcW w:w="851" w:type="dxa"/>
            <w:shd w:val="clear" w:color="auto" w:fill="auto"/>
            <w:vAlign w:val="center"/>
          </w:tcPr>
          <w:p w14:paraId="76C53A25" w14:textId="77777777" w:rsidR="00675AD8" w:rsidRPr="00BF0D71" w:rsidRDefault="00675AD8" w:rsidP="00CC1389">
            <w:pPr>
              <w:pStyle w:val="Tabletext"/>
              <w:jc w:val="center"/>
              <w:rPr>
                <w:b/>
                <w:bCs/>
                <w:lang w:eastAsia="en-GB"/>
              </w:rPr>
            </w:pPr>
            <w:r w:rsidRPr="00BF0D71">
              <w:rPr>
                <w:b/>
                <w:bCs/>
                <w:lang w:eastAsia="en-GB"/>
              </w:rPr>
              <w:t>39</w:t>
            </w:r>
          </w:p>
        </w:tc>
        <w:tc>
          <w:tcPr>
            <w:tcW w:w="5812" w:type="dxa"/>
            <w:shd w:val="clear" w:color="auto" w:fill="auto"/>
            <w:vAlign w:val="center"/>
            <w:hideMark/>
          </w:tcPr>
          <w:p w14:paraId="075483B9" w14:textId="77777777" w:rsidR="00675AD8" w:rsidRPr="00BF0D71" w:rsidRDefault="00675AD8" w:rsidP="00CC1389">
            <w:pPr>
              <w:pStyle w:val="Tabletext"/>
              <w:rPr>
                <w:lang w:eastAsia="en-GB"/>
              </w:rPr>
            </w:pPr>
            <w:r w:rsidRPr="00BF0D71">
              <w:rPr>
                <w:lang w:eastAsia="en-GB"/>
              </w:rPr>
              <w:t>Rapport de l'auditeur interne sur les activités d'audit interne</w:t>
            </w:r>
          </w:p>
        </w:tc>
        <w:tc>
          <w:tcPr>
            <w:tcW w:w="851" w:type="dxa"/>
            <w:shd w:val="clear" w:color="auto" w:fill="auto"/>
            <w:noWrap/>
            <w:vAlign w:val="center"/>
            <w:hideMark/>
          </w:tcPr>
          <w:p w14:paraId="504E016F" w14:textId="77777777" w:rsidR="00675AD8" w:rsidRPr="00BF0D71" w:rsidRDefault="00675AD8" w:rsidP="00CC1389">
            <w:pPr>
              <w:pStyle w:val="Tabletext"/>
              <w:jc w:val="center"/>
              <w:rPr>
                <w:lang w:eastAsia="en-GB"/>
              </w:rPr>
            </w:pPr>
            <w:r w:rsidRPr="00BF0D71">
              <w:rPr>
                <w:lang w:eastAsia="en-GB"/>
              </w:rPr>
              <w:t>44</w:t>
            </w:r>
          </w:p>
        </w:tc>
        <w:tc>
          <w:tcPr>
            <w:tcW w:w="1134" w:type="dxa"/>
            <w:shd w:val="clear" w:color="auto" w:fill="auto"/>
            <w:vAlign w:val="center"/>
          </w:tcPr>
          <w:p w14:paraId="5B99E620"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3A1E3B8F" w14:textId="77777777" w:rsidR="00675AD8" w:rsidRPr="00BF0D71" w:rsidRDefault="00675AD8" w:rsidP="00CC1389">
            <w:pPr>
              <w:pStyle w:val="Tabletext"/>
              <w:jc w:val="center"/>
              <w:rPr>
                <w:lang w:eastAsia="en-GB"/>
              </w:rPr>
            </w:pPr>
          </w:p>
        </w:tc>
      </w:tr>
      <w:tr w:rsidR="00675AD8" w:rsidRPr="00BF0D71" w14:paraId="23DA0F4C" w14:textId="77777777" w:rsidTr="00CC1389">
        <w:trPr>
          <w:jc w:val="center"/>
        </w:trPr>
        <w:tc>
          <w:tcPr>
            <w:tcW w:w="851" w:type="dxa"/>
            <w:shd w:val="clear" w:color="auto" w:fill="auto"/>
            <w:vAlign w:val="center"/>
          </w:tcPr>
          <w:p w14:paraId="02077C81" w14:textId="77777777" w:rsidR="00675AD8" w:rsidRPr="00BF0D71" w:rsidRDefault="00675AD8" w:rsidP="00CC1389">
            <w:pPr>
              <w:pStyle w:val="Tabletext"/>
              <w:jc w:val="center"/>
              <w:rPr>
                <w:b/>
                <w:bCs/>
                <w:lang w:eastAsia="en-GB"/>
              </w:rPr>
            </w:pPr>
            <w:r w:rsidRPr="00BF0D71">
              <w:rPr>
                <w:b/>
                <w:bCs/>
                <w:lang w:eastAsia="en-GB"/>
              </w:rPr>
              <w:t>40</w:t>
            </w:r>
          </w:p>
        </w:tc>
        <w:tc>
          <w:tcPr>
            <w:tcW w:w="5812" w:type="dxa"/>
            <w:shd w:val="clear" w:color="auto" w:fill="auto"/>
            <w:vAlign w:val="center"/>
            <w:hideMark/>
          </w:tcPr>
          <w:p w14:paraId="74400AD2" w14:textId="77777777" w:rsidR="00675AD8" w:rsidRPr="00BF0D71" w:rsidRDefault="00675AD8" w:rsidP="00CC1389">
            <w:pPr>
              <w:pStyle w:val="Tabletext"/>
              <w:rPr>
                <w:lang w:eastAsia="en-GB"/>
              </w:rPr>
            </w:pPr>
            <w:r w:rsidRPr="00BF0D71">
              <w:rPr>
                <w:lang w:eastAsia="en-GB"/>
              </w:rPr>
              <w:t>Stratégie de coordination des efforts entre les trois Secteurs de l'Union (</w:t>
            </w:r>
            <w:r w:rsidRPr="00BF0D71">
              <w:rPr>
                <w:i/>
                <w:iCs/>
                <w:lang w:eastAsia="en-GB"/>
              </w:rPr>
              <w:t>Résolution 191 de la PP</w:t>
            </w:r>
            <w:r w:rsidRPr="00BF0D71">
              <w:rPr>
                <w:lang w:eastAsia="en-GB"/>
              </w:rPr>
              <w:t>)</w:t>
            </w:r>
          </w:p>
        </w:tc>
        <w:tc>
          <w:tcPr>
            <w:tcW w:w="851" w:type="dxa"/>
            <w:shd w:val="clear" w:color="auto" w:fill="auto"/>
            <w:vAlign w:val="center"/>
            <w:hideMark/>
          </w:tcPr>
          <w:p w14:paraId="57EC0FB4" w14:textId="77777777" w:rsidR="00675AD8" w:rsidRPr="00BF0D71" w:rsidRDefault="00675AD8" w:rsidP="00CC1389">
            <w:pPr>
              <w:pStyle w:val="Tabletext"/>
              <w:jc w:val="center"/>
              <w:rPr>
                <w:lang w:eastAsia="en-GB"/>
              </w:rPr>
            </w:pPr>
            <w:r w:rsidRPr="00BF0D71">
              <w:rPr>
                <w:lang w:eastAsia="en-GB"/>
              </w:rPr>
              <w:t>38</w:t>
            </w:r>
          </w:p>
        </w:tc>
        <w:tc>
          <w:tcPr>
            <w:tcW w:w="1134" w:type="dxa"/>
            <w:shd w:val="clear" w:color="auto" w:fill="auto"/>
            <w:vAlign w:val="center"/>
          </w:tcPr>
          <w:p w14:paraId="16234F13"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639D47D8" w14:textId="77777777" w:rsidR="00675AD8" w:rsidRPr="00BF0D71" w:rsidRDefault="00675AD8" w:rsidP="00CC1389">
            <w:pPr>
              <w:pStyle w:val="Tabletext"/>
              <w:jc w:val="center"/>
              <w:rPr>
                <w:lang w:eastAsia="en-GB"/>
              </w:rPr>
            </w:pPr>
          </w:p>
        </w:tc>
      </w:tr>
      <w:tr w:rsidR="00675AD8" w:rsidRPr="00BF0D71" w14:paraId="6B1CF3E0" w14:textId="77777777" w:rsidTr="00CC1389">
        <w:trPr>
          <w:jc w:val="center"/>
        </w:trPr>
        <w:tc>
          <w:tcPr>
            <w:tcW w:w="851" w:type="dxa"/>
            <w:shd w:val="clear" w:color="auto" w:fill="auto"/>
            <w:vAlign w:val="center"/>
          </w:tcPr>
          <w:p w14:paraId="7F89AAAD" w14:textId="77777777" w:rsidR="00675AD8" w:rsidRPr="00BF0D71" w:rsidRDefault="00675AD8" w:rsidP="00CC1389">
            <w:pPr>
              <w:pStyle w:val="Tabletext"/>
              <w:jc w:val="center"/>
              <w:rPr>
                <w:b/>
                <w:bCs/>
                <w:lang w:eastAsia="en-GB"/>
              </w:rPr>
            </w:pPr>
            <w:r w:rsidRPr="00BF0D71">
              <w:rPr>
                <w:b/>
                <w:bCs/>
                <w:lang w:eastAsia="en-GB"/>
              </w:rPr>
              <w:t>41</w:t>
            </w:r>
          </w:p>
        </w:tc>
        <w:tc>
          <w:tcPr>
            <w:tcW w:w="5812" w:type="dxa"/>
            <w:shd w:val="clear" w:color="auto" w:fill="auto"/>
            <w:vAlign w:val="center"/>
            <w:hideMark/>
          </w:tcPr>
          <w:p w14:paraId="5F65A768" w14:textId="77777777" w:rsidR="00675AD8" w:rsidRPr="00BF0D71" w:rsidRDefault="00675AD8" w:rsidP="00CC1389">
            <w:pPr>
              <w:pStyle w:val="Tabletext"/>
              <w:rPr>
                <w:lang w:eastAsia="en-GB"/>
              </w:rPr>
            </w:pPr>
            <w:r w:rsidRPr="00BF0D71">
              <w:rPr>
                <w:lang w:eastAsia="en-GB"/>
              </w:rPr>
              <w:t>Stratégie et plan de mise en œuvre pour les conditions de travail du personnel (</w:t>
            </w:r>
            <w:r w:rsidRPr="00BF0D71">
              <w:rPr>
                <w:i/>
                <w:iCs/>
                <w:lang w:eastAsia="en-GB"/>
              </w:rPr>
              <w:t>Décision 619 du Conseil</w:t>
            </w:r>
            <w:r w:rsidRPr="00BF0D71">
              <w:rPr>
                <w:lang w:eastAsia="en-GB"/>
              </w:rPr>
              <w:t>)</w:t>
            </w:r>
          </w:p>
        </w:tc>
        <w:tc>
          <w:tcPr>
            <w:tcW w:w="851" w:type="dxa"/>
            <w:shd w:val="clear" w:color="auto" w:fill="auto"/>
            <w:vAlign w:val="center"/>
            <w:hideMark/>
          </w:tcPr>
          <w:p w14:paraId="59D424A9" w14:textId="77777777" w:rsidR="00675AD8" w:rsidRPr="00BF0D71" w:rsidRDefault="00675AD8" w:rsidP="00CC1389">
            <w:pPr>
              <w:pStyle w:val="Tabletext"/>
              <w:jc w:val="center"/>
              <w:rPr>
                <w:lang w:eastAsia="en-GB"/>
              </w:rPr>
            </w:pPr>
            <w:r w:rsidRPr="00BF0D71">
              <w:rPr>
                <w:lang w:eastAsia="en-GB"/>
              </w:rPr>
              <w:t>29</w:t>
            </w:r>
          </w:p>
        </w:tc>
        <w:tc>
          <w:tcPr>
            <w:tcW w:w="1134" w:type="dxa"/>
            <w:shd w:val="clear" w:color="auto" w:fill="auto"/>
            <w:vAlign w:val="center"/>
          </w:tcPr>
          <w:p w14:paraId="3A8F461B"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25814411" w14:textId="77777777" w:rsidR="00675AD8" w:rsidRPr="00BF0D71" w:rsidRDefault="00675AD8" w:rsidP="00CC1389">
            <w:pPr>
              <w:pStyle w:val="Tabletext"/>
              <w:jc w:val="center"/>
              <w:rPr>
                <w:lang w:eastAsia="en-GB"/>
              </w:rPr>
            </w:pPr>
          </w:p>
        </w:tc>
      </w:tr>
      <w:tr w:rsidR="00675AD8" w:rsidRPr="00BF0D71" w14:paraId="49409B63" w14:textId="77777777" w:rsidTr="00CC1389">
        <w:trPr>
          <w:jc w:val="center"/>
        </w:trPr>
        <w:tc>
          <w:tcPr>
            <w:tcW w:w="851" w:type="dxa"/>
            <w:shd w:val="clear" w:color="auto" w:fill="auto"/>
            <w:vAlign w:val="center"/>
          </w:tcPr>
          <w:p w14:paraId="50C4BEF3" w14:textId="77777777" w:rsidR="00675AD8" w:rsidRPr="00BF0D71" w:rsidRDefault="00675AD8" w:rsidP="00CC1389">
            <w:pPr>
              <w:pStyle w:val="Tabletext"/>
              <w:jc w:val="center"/>
              <w:rPr>
                <w:b/>
                <w:bCs/>
                <w:lang w:eastAsia="en-GB"/>
              </w:rPr>
            </w:pPr>
            <w:r w:rsidRPr="00BF0D71">
              <w:rPr>
                <w:b/>
                <w:bCs/>
                <w:lang w:eastAsia="en-GB"/>
              </w:rPr>
              <w:t>42</w:t>
            </w:r>
          </w:p>
        </w:tc>
        <w:tc>
          <w:tcPr>
            <w:tcW w:w="5812" w:type="dxa"/>
            <w:shd w:val="clear" w:color="auto" w:fill="auto"/>
            <w:vAlign w:val="center"/>
            <w:hideMark/>
          </w:tcPr>
          <w:p w14:paraId="26DE63BE" w14:textId="77777777" w:rsidR="00675AD8" w:rsidRPr="00BF0D71" w:rsidRDefault="00675AD8" w:rsidP="00CC1389">
            <w:pPr>
              <w:pStyle w:val="Tabletext"/>
              <w:rPr>
                <w:lang w:eastAsia="en-GB"/>
              </w:rPr>
            </w:pPr>
            <w:r w:rsidRPr="00BF0D71">
              <w:rPr>
                <w:lang w:eastAsia="en-GB"/>
              </w:rPr>
              <w:t>Rapport sur l'analyse et l'examen des activités de formation et de renforcement des capacités actuellement menées par le Groupe sur les initiatives relatives au renforcement des capacités, l'Académie de l'UIT et les centres d'excellence, et sur la création possible d'un institut de renforcement des capacités à l'UIT</w:t>
            </w:r>
          </w:p>
        </w:tc>
        <w:tc>
          <w:tcPr>
            <w:tcW w:w="851" w:type="dxa"/>
            <w:shd w:val="clear" w:color="auto" w:fill="auto"/>
            <w:vAlign w:val="center"/>
            <w:hideMark/>
          </w:tcPr>
          <w:p w14:paraId="3CA54657" w14:textId="77777777" w:rsidR="00675AD8" w:rsidRPr="00BF0D71" w:rsidRDefault="00675AD8" w:rsidP="00CC1389">
            <w:pPr>
              <w:pStyle w:val="Tabletext"/>
              <w:jc w:val="center"/>
              <w:rPr>
                <w:lang w:eastAsia="en-GB"/>
              </w:rPr>
            </w:pPr>
            <w:r w:rsidRPr="00BF0D71">
              <w:rPr>
                <w:lang w:eastAsia="en-GB"/>
              </w:rPr>
              <w:t>32</w:t>
            </w:r>
          </w:p>
        </w:tc>
        <w:tc>
          <w:tcPr>
            <w:tcW w:w="1134" w:type="dxa"/>
            <w:shd w:val="clear" w:color="auto" w:fill="auto"/>
            <w:vAlign w:val="center"/>
          </w:tcPr>
          <w:p w14:paraId="2B885B09"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29194389" w14:textId="77777777" w:rsidR="00675AD8" w:rsidRPr="00BF0D71" w:rsidRDefault="00675AD8" w:rsidP="00CC1389">
            <w:pPr>
              <w:pStyle w:val="Tabletext"/>
              <w:jc w:val="center"/>
              <w:rPr>
                <w:lang w:eastAsia="en-GB"/>
              </w:rPr>
            </w:pPr>
          </w:p>
        </w:tc>
      </w:tr>
      <w:tr w:rsidR="00675AD8" w:rsidRPr="00BF0D71" w14:paraId="7D1FE705" w14:textId="77777777" w:rsidTr="00CC1389">
        <w:trPr>
          <w:jc w:val="center"/>
        </w:trPr>
        <w:tc>
          <w:tcPr>
            <w:tcW w:w="851" w:type="dxa"/>
            <w:shd w:val="clear" w:color="auto" w:fill="auto"/>
            <w:vAlign w:val="center"/>
          </w:tcPr>
          <w:p w14:paraId="4E95FCC8" w14:textId="77777777" w:rsidR="00675AD8" w:rsidRPr="00BF0D71" w:rsidRDefault="00675AD8" w:rsidP="00CC1389">
            <w:pPr>
              <w:pStyle w:val="Tabletext"/>
              <w:jc w:val="center"/>
              <w:rPr>
                <w:b/>
                <w:bCs/>
                <w:lang w:eastAsia="en-GB"/>
              </w:rPr>
            </w:pPr>
            <w:r w:rsidRPr="00BF0D71">
              <w:rPr>
                <w:b/>
                <w:bCs/>
                <w:lang w:eastAsia="en-GB"/>
              </w:rPr>
              <w:t>43</w:t>
            </w:r>
          </w:p>
        </w:tc>
        <w:tc>
          <w:tcPr>
            <w:tcW w:w="5812" w:type="dxa"/>
            <w:shd w:val="clear" w:color="auto" w:fill="auto"/>
            <w:vAlign w:val="center"/>
            <w:hideMark/>
          </w:tcPr>
          <w:p w14:paraId="6B0F59FF" w14:textId="77777777" w:rsidR="00675AD8" w:rsidRPr="00BF0D71" w:rsidRDefault="00675AD8" w:rsidP="00CC1389">
            <w:pPr>
              <w:pStyle w:val="Tabletext"/>
              <w:rPr>
                <w:lang w:eastAsia="en-GB"/>
              </w:rPr>
            </w:pPr>
            <w:r w:rsidRPr="00BF0D71">
              <w:rPr>
                <w:lang w:eastAsia="en-GB"/>
              </w:rPr>
              <w:t>Cadre de l'UIT en matière de responsabilisation</w:t>
            </w:r>
          </w:p>
        </w:tc>
        <w:tc>
          <w:tcPr>
            <w:tcW w:w="851" w:type="dxa"/>
            <w:shd w:val="clear" w:color="auto" w:fill="auto"/>
            <w:vAlign w:val="center"/>
            <w:hideMark/>
          </w:tcPr>
          <w:p w14:paraId="46FC8791" w14:textId="77777777" w:rsidR="00675AD8" w:rsidRPr="00BF0D71" w:rsidRDefault="00675AD8" w:rsidP="00CC1389">
            <w:pPr>
              <w:pStyle w:val="Tabletext"/>
              <w:jc w:val="center"/>
              <w:rPr>
                <w:lang w:eastAsia="en-GB"/>
              </w:rPr>
            </w:pPr>
            <w:r w:rsidRPr="00BF0D71">
              <w:rPr>
                <w:lang w:eastAsia="en-GB"/>
              </w:rPr>
              <w:t>43</w:t>
            </w:r>
          </w:p>
        </w:tc>
        <w:tc>
          <w:tcPr>
            <w:tcW w:w="1134" w:type="dxa"/>
            <w:shd w:val="clear" w:color="auto" w:fill="auto"/>
            <w:vAlign w:val="center"/>
          </w:tcPr>
          <w:p w14:paraId="60E9B04C"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001D3FA9" w14:textId="77777777" w:rsidR="00675AD8" w:rsidRPr="00BF0D71" w:rsidRDefault="00675AD8" w:rsidP="00CC1389">
            <w:pPr>
              <w:pStyle w:val="Tabletext"/>
              <w:jc w:val="center"/>
              <w:rPr>
                <w:lang w:eastAsia="en-GB"/>
              </w:rPr>
            </w:pPr>
          </w:p>
        </w:tc>
      </w:tr>
      <w:tr w:rsidR="00675AD8" w:rsidRPr="00BF0D71" w14:paraId="3A60EFF2" w14:textId="77777777" w:rsidTr="00CC1389">
        <w:trPr>
          <w:jc w:val="center"/>
        </w:trPr>
        <w:tc>
          <w:tcPr>
            <w:tcW w:w="851" w:type="dxa"/>
            <w:shd w:val="clear" w:color="auto" w:fill="auto"/>
            <w:vAlign w:val="center"/>
          </w:tcPr>
          <w:p w14:paraId="4BEEA699" w14:textId="77777777" w:rsidR="00675AD8" w:rsidRPr="00BF0D71" w:rsidRDefault="00675AD8" w:rsidP="00CC1389">
            <w:pPr>
              <w:pStyle w:val="Tabletext"/>
              <w:jc w:val="center"/>
              <w:rPr>
                <w:b/>
                <w:bCs/>
                <w:lang w:eastAsia="en-GB"/>
              </w:rPr>
            </w:pPr>
            <w:r w:rsidRPr="00BF0D71">
              <w:rPr>
                <w:b/>
                <w:bCs/>
                <w:lang w:eastAsia="en-GB"/>
              </w:rPr>
              <w:t>44</w:t>
            </w:r>
          </w:p>
        </w:tc>
        <w:tc>
          <w:tcPr>
            <w:tcW w:w="5812" w:type="dxa"/>
            <w:shd w:val="clear" w:color="auto" w:fill="auto"/>
            <w:vAlign w:val="center"/>
            <w:hideMark/>
          </w:tcPr>
          <w:p w14:paraId="1D7A2682" w14:textId="77777777" w:rsidR="00675AD8" w:rsidRPr="00BF0D71" w:rsidRDefault="00675AD8" w:rsidP="00CC1389">
            <w:pPr>
              <w:pStyle w:val="Tabletext"/>
              <w:rPr>
                <w:lang w:eastAsia="en-GB"/>
              </w:rPr>
            </w:pPr>
            <w:r w:rsidRPr="00BF0D71">
              <w:rPr>
                <w:lang w:eastAsia="en-GB"/>
              </w:rPr>
              <w:t>Renforcement de la présence régionale (</w:t>
            </w:r>
            <w:r w:rsidRPr="00BF0D71">
              <w:rPr>
                <w:i/>
                <w:iCs/>
                <w:lang w:eastAsia="en-GB"/>
              </w:rPr>
              <w:t>Résolution 25 de la PP</w:t>
            </w:r>
            <w:r w:rsidRPr="00BF0D71">
              <w:rPr>
                <w:lang w:eastAsia="en-GB"/>
              </w:rPr>
              <w:t>)</w:t>
            </w:r>
          </w:p>
        </w:tc>
        <w:tc>
          <w:tcPr>
            <w:tcW w:w="851" w:type="dxa"/>
            <w:shd w:val="clear" w:color="auto" w:fill="auto"/>
            <w:vAlign w:val="center"/>
            <w:hideMark/>
          </w:tcPr>
          <w:p w14:paraId="7224046B" w14:textId="77777777" w:rsidR="00675AD8" w:rsidRPr="00BF0D71" w:rsidRDefault="00675AD8" w:rsidP="00CC1389">
            <w:pPr>
              <w:pStyle w:val="Tabletext"/>
              <w:jc w:val="center"/>
              <w:rPr>
                <w:lang w:eastAsia="en-GB"/>
              </w:rPr>
            </w:pPr>
            <w:r w:rsidRPr="00BF0D71">
              <w:rPr>
                <w:lang w:eastAsia="en-GB"/>
              </w:rPr>
              <w:t>25</w:t>
            </w:r>
          </w:p>
        </w:tc>
        <w:tc>
          <w:tcPr>
            <w:tcW w:w="1134" w:type="dxa"/>
            <w:shd w:val="clear" w:color="auto" w:fill="auto"/>
            <w:vAlign w:val="center"/>
          </w:tcPr>
          <w:p w14:paraId="6ACA69BD"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72477503" w14:textId="77777777" w:rsidR="00675AD8" w:rsidRPr="00BF0D71" w:rsidRDefault="00675AD8" w:rsidP="00CC1389">
            <w:pPr>
              <w:pStyle w:val="Tabletext"/>
              <w:jc w:val="center"/>
              <w:rPr>
                <w:lang w:eastAsia="en-GB"/>
              </w:rPr>
            </w:pPr>
          </w:p>
        </w:tc>
      </w:tr>
      <w:tr w:rsidR="00675AD8" w:rsidRPr="00BF0D71" w14:paraId="28B7F769" w14:textId="77777777" w:rsidTr="00CC1389">
        <w:trPr>
          <w:jc w:val="center"/>
        </w:trPr>
        <w:tc>
          <w:tcPr>
            <w:tcW w:w="851" w:type="dxa"/>
            <w:shd w:val="clear" w:color="auto" w:fill="auto"/>
            <w:vAlign w:val="center"/>
          </w:tcPr>
          <w:p w14:paraId="33E1FA7F" w14:textId="77777777" w:rsidR="00675AD8" w:rsidRPr="00BF0D71" w:rsidRDefault="00675AD8" w:rsidP="00CC1389">
            <w:pPr>
              <w:pStyle w:val="Tabletext"/>
              <w:keepNext/>
              <w:keepLines/>
              <w:jc w:val="center"/>
              <w:rPr>
                <w:b/>
                <w:bCs/>
                <w:lang w:eastAsia="en-GB"/>
              </w:rPr>
            </w:pPr>
            <w:r w:rsidRPr="00BF0D71">
              <w:rPr>
                <w:b/>
                <w:bCs/>
                <w:lang w:eastAsia="en-GB"/>
              </w:rPr>
              <w:lastRenderedPageBreak/>
              <w:t>45</w:t>
            </w:r>
          </w:p>
        </w:tc>
        <w:tc>
          <w:tcPr>
            <w:tcW w:w="5812" w:type="dxa"/>
            <w:shd w:val="clear" w:color="auto" w:fill="auto"/>
            <w:vAlign w:val="center"/>
            <w:hideMark/>
          </w:tcPr>
          <w:p w14:paraId="7F539CF8" w14:textId="77777777" w:rsidR="00675AD8" w:rsidRPr="00BF0D71" w:rsidRDefault="00675AD8" w:rsidP="00CC1389">
            <w:pPr>
              <w:pStyle w:val="Tabletext"/>
              <w:keepNext/>
              <w:keepLines/>
              <w:rPr>
                <w:lang w:eastAsia="en-GB"/>
              </w:rPr>
            </w:pPr>
            <w:r w:rsidRPr="00BF0D71">
              <w:rPr>
                <w:lang w:eastAsia="en-GB"/>
              </w:rPr>
              <w:t xml:space="preserve">Rapport d'activité sur l'examen global de la présence régionale de l'UIT, comprenant des suggestions sur les mesures propres à continuer d'assurer l'efficacité et l'efficience de la présence régionale de l'UIT, y compris les recommandations formulées dans le cadre de l'étude menée par le consultant extérieur </w:t>
            </w:r>
            <w:r w:rsidRPr="00BF0D71">
              <w:rPr>
                <w:i/>
                <w:iCs/>
                <w:lang w:eastAsia="en-GB"/>
              </w:rPr>
              <w:t>(Résolution 25 de la PP, Décision 616 du Conseil)</w:t>
            </w:r>
          </w:p>
        </w:tc>
        <w:tc>
          <w:tcPr>
            <w:tcW w:w="851" w:type="dxa"/>
            <w:shd w:val="clear" w:color="auto" w:fill="auto"/>
            <w:vAlign w:val="center"/>
          </w:tcPr>
          <w:p w14:paraId="45B9D732" w14:textId="77777777" w:rsidR="00675AD8" w:rsidRPr="00BF0D71" w:rsidRDefault="00675AD8" w:rsidP="00CC1389">
            <w:pPr>
              <w:pStyle w:val="Tabletext"/>
              <w:keepNext/>
              <w:keepLines/>
              <w:jc w:val="center"/>
              <w:rPr>
                <w:lang w:eastAsia="en-GB"/>
              </w:rPr>
            </w:pPr>
          </w:p>
        </w:tc>
        <w:tc>
          <w:tcPr>
            <w:tcW w:w="1134" w:type="dxa"/>
            <w:shd w:val="clear" w:color="auto" w:fill="auto"/>
            <w:vAlign w:val="center"/>
          </w:tcPr>
          <w:p w14:paraId="058171CF" w14:textId="77777777" w:rsidR="00675AD8" w:rsidRPr="00BF0D71" w:rsidRDefault="00675AD8" w:rsidP="00CC1389">
            <w:pPr>
              <w:pStyle w:val="Tabletext"/>
              <w:keepNext/>
              <w:keepLines/>
              <w:jc w:val="center"/>
              <w:rPr>
                <w:lang w:eastAsia="en-GB"/>
              </w:rPr>
            </w:pPr>
            <w:r w:rsidRPr="00BF0D71">
              <w:rPr>
                <w:lang w:eastAsia="en-GB"/>
              </w:rPr>
              <w:t>Non</w:t>
            </w:r>
          </w:p>
        </w:tc>
        <w:tc>
          <w:tcPr>
            <w:tcW w:w="1275" w:type="dxa"/>
            <w:shd w:val="clear" w:color="auto" w:fill="auto"/>
            <w:vAlign w:val="center"/>
          </w:tcPr>
          <w:p w14:paraId="51F7C11B" w14:textId="77777777" w:rsidR="00675AD8" w:rsidRPr="00BF0D71" w:rsidRDefault="00675AD8" w:rsidP="00CC1389">
            <w:pPr>
              <w:pStyle w:val="Tabletext"/>
              <w:keepNext/>
              <w:keepLines/>
              <w:jc w:val="center"/>
              <w:rPr>
                <w:lang w:eastAsia="en-GB"/>
              </w:rPr>
            </w:pPr>
          </w:p>
        </w:tc>
      </w:tr>
      <w:tr w:rsidR="00675AD8" w:rsidRPr="00BF0D71" w14:paraId="320A7329" w14:textId="77777777" w:rsidTr="00CC1389">
        <w:trPr>
          <w:jc w:val="center"/>
        </w:trPr>
        <w:tc>
          <w:tcPr>
            <w:tcW w:w="851" w:type="dxa"/>
            <w:shd w:val="clear" w:color="auto" w:fill="auto"/>
            <w:vAlign w:val="center"/>
          </w:tcPr>
          <w:p w14:paraId="349B3F60" w14:textId="77777777" w:rsidR="00675AD8" w:rsidRPr="00BF0D71" w:rsidRDefault="00675AD8" w:rsidP="00CC1389">
            <w:pPr>
              <w:pStyle w:val="Tabletext"/>
              <w:jc w:val="center"/>
              <w:rPr>
                <w:b/>
                <w:bCs/>
                <w:lang w:eastAsia="en-GB"/>
              </w:rPr>
            </w:pPr>
            <w:r w:rsidRPr="00BF0D71">
              <w:rPr>
                <w:b/>
                <w:bCs/>
                <w:lang w:eastAsia="en-GB"/>
              </w:rPr>
              <w:t>46</w:t>
            </w:r>
          </w:p>
        </w:tc>
        <w:tc>
          <w:tcPr>
            <w:tcW w:w="5812" w:type="dxa"/>
            <w:shd w:val="clear" w:color="auto" w:fill="auto"/>
            <w:vAlign w:val="center"/>
            <w:hideMark/>
          </w:tcPr>
          <w:p w14:paraId="42DB239C" w14:textId="77777777" w:rsidR="00675AD8" w:rsidRPr="00BF0D71" w:rsidRDefault="00675AD8" w:rsidP="00CC1389">
            <w:pPr>
              <w:pStyle w:val="Tabletext"/>
              <w:rPr>
                <w:lang w:eastAsia="en-GB"/>
              </w:rPr>
            </w:pPr>
            <w:r w:rsidRPr="00BF0D71">
              <w:rPr>
                <w:lang w:eastAsia="en-GB"/>
              </w:rPr>
              <w:t>Rapport intérimaire, le cas échéant, de l'entreprise extérieure concernant la vérification juricomptable</w:t>
            </w:r>
          </w:p>
        </w:tc>
        <w:tc>
          <w:tcPr>
            <w:tcW w:w="851" w:type="dxa"/>
            <w:shd w:val="clear" w:color="auto" w:fill="auto"/>
            <w:vAlign w:val="center"/>
          </w:tcPr>
          <w:p w14:paraId="6BF1FA6D" w14:textId="77777777" w:rsidR="00675AD8" w:rsidRPr="00BF0D71" w:rsidRDefault="00675AD8" w:rsidP="00CC1389">
            <w:pPr>
              <w:pStyle w:val="Tabletext"/>
              <w:jc w:val="center"/>
              <w:rPr>
                <w:lang w:eastAsia="en-GB"/>
              </w:rPr>
            </w:pPr>
          </w:p>
        </w:tc>
        <w:tc>
          <w:tcPr>
            <w:tcW w:w="1134" w:type="dxa"/>
            <w:shd w:val="clear" w:color="auto" w:fill="auto"/>
            <w:vAlign w:val="center"/>
          </w:tcPr>
          <w:p w14:paraId="3D2110DF"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tcPr>
          <w:p w14:paraId="38911CCB" w14:textId="77777777" w:rsidR="00675AD8" w:rsidRPr="00BF0D71" w:rsidRDefault="00675AD8" w:rsidP="00CC1389">
            <w:pPr>
              <w:pStyle w:val="Tabletext"/>
              <w:jc w:val="center"/>
              <w:rPr>
                <w:lang w:eastAsia="en-GB"/>
              </w:rPr>
            </w:pPr>
          </w:p>
        </w:tc>
      </w:tr>
      <w:tr w:rsidR="00675AD8" w:rsidRPr="00BF0D71" w14:paraId="2EC3C324" w14:textId="77777777" w:rsidTr="00CC1389">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F0B672" w14:textId="77777777" w:rsidR="00675AD8" w:rsidRPr="00BF0D71" w:rsidRDefault="00675AD8" w:rsidP="00CC1389">
            <w:pPr>
              <w:pStyle w:val="Tabletext"/>
              <w:jc w:val="center"/>
              <w:rPr>
                <w:b/>
                <w:bCs/>
                <w:lang w:eastAsia="en-GB"/>
              </w:rPr>
            </w:pPr>
            <w:r w:rsidRPr="00BF0D71">
              <w:rPr>
                <w:b/>
                <w:bCs/>
                <w:lang w:eastAsia="en-GB"/>
              </w:rPr>
              <w:t>47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4295B" w14:textId="77777777" w:rsidR="00675AD8" w:rsidRPr="00BF0D71" w:rsidRDefault="00675AD8" w:rsidP="00CC1389">
            <w:pPr>
              <w:pStyle w:val="Tabletext"/>
              <w:rPr>
                <w:lang w:eastAsia="en-GB"/>
              </w:rPr>
            </w:pPr>
            <w:r w:rsidRPr="00BF0D71">
              <w:rPr>
                <w:lang w:eastAsia="en-GB"/>
              </w:rPr>
              <w:t>Décisions de l'Assemblée générale des Nations Unies relatives aux conditions d'emploi dans le cadre du régime commun des Nations Unies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337C9" w14:textId="77777777" w:rsidR="00675AD8" w:rsidRPr="00BF0D71" w:rsidRDefault="00675AD8" w:rsidP="00CC1389">
            <w:pPr>
              <w:pStyle w:val="Tabletext"/>
              <w:jc w:val="center"/>
              <w:rPr>
                <w:lang w:eastAsia="en-GB"/>
              </w:rPr>
            </w:pPr>
            <w:r w:rsidRPr="00BF0D71">
              <w:rPr>
                <w:lang w:eastAsia="en-GB"/>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800EE8" w14:textId="77777777" w:rsidR="00675AD8" w:rsidRPr="00BF0D71" w:rsidRDefault="00675AD8" w:rsidP="00CC1389">
            <w:pPr>
              <w:pStyle w:val="Tabletext"/>
              <w:jc w:val="center"/>
              <w:rPr>
                <w:lang w:eastAsia="en-GB"/>
              </w:rPr>
            </w:pPr>
            <w:r w:rsidRPr="00BF0D71">
              <w:rPr>
                <w:lang w:eastAsia="en-GB"/>
              </w:rPr>
              <w:t>Résolution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8C1E9" w14:textId="77777777" w:rsidR="00675AD8" w:rsidRPr="00BF0D71" w:rsidRDefault="00675AD8" w:rsidP="00CC1389">
            <w:pPr>
              <w:pStyle w:val="Tabletext"/>
              <w:jc w:val="center"/>
              <w:rPr>
                <w:lang w:eastAsia="en-GB"/>
              </w:rPr>
            </w:pPr>
          </w:p>
        </w:tc>
      </w:tr>
      <w:tr w:rsidR="00675AD8" w:rsidRPr="00BF0D71" w14:paraId="21C0CECD" w14:textId="77777777" w:rsidTr="00CC1389">
        <w:trPr>
          <w:jc w:val="center"/>
        </w:trPr>
        <w:tc>
          <w:tcPr>
            <w:tcW w:w="851" w:type="dxa"/>
            <w:shd w:val="clear" w:color="auto" w:fill="auto"/>
            <w:vAlign w:val="center"/>
          </w:tcPr>
          <w:p w14:paraId="2721F819" w14:textId="77777777" w:rsidR="00675AD8" w:rsidRPr="00BF0D71" w:rsidRDefault="00675AD8" w:rsidP="00CC1389">
            <w:pPr>
              <w:pStyle w:val="Tabletext"/>
              <w:jc w:val="center"/>
              <w:rPr>
                <w:b/>
                <w:bCs/>
                <w:lang w:eastAsia="en-GB"/>
              </w:rPr>
            </w:pPr>
            <w:r w:rsidRPr="00BF0D71">
              <w:rPr>
                <w:b/>
                <w:bCs/>
                <w:lang w:eastAsia="en-GB"/>
              </w:rPr>
              <w:t>48</w:t>
            </w:r>
          </w:p>
        </w:tc>
        <w:tc>
          <w:tcPr>
            <w:tcW w:w="5812" w:type="dxa"/>
            <w:shd w:val="clear" w:color="auto" w:fill="auto"/>
            <w:vAlign w:val="center"/>
            <w:hideMark/>
          </w:tcPr>
          <w:p w14:paraId="5D379D83" w14:textId="6EADFD09" w:rsidR="00675AD8" w:rsidRPr="00BF0D71" w:rsidRDefault="00675AD8" w:rsidP="00CC1389">
            <w:pPr>
              <w:pStyle w:val="Tabletext"/>
              <w:rPr>
                <w:lang w:eastAsia="en-GB"/>
              </w:rPr>
            </w:pPr>
            <w:r w:rsidRPr="00BF0D71">
              <w:rPr>
                <w:lang w:eastAsia="en-GB"/>
              </w:rPr>
              <w:t>Rapport d'activité sur la mise en œuvre du Plan stratégique pour les ressources humaines et de la Résolution 48 (Rév. Dubaï, 2018) de la</w:t>
            </w:r>
            <w:r w:rsidR="00F00B7E" w:rsidRPr="00BF0D71">
              <w:rPr>
                <w:lang w:eastAsia="en-GB"/>
              </w:rPr>
              <w:t> </w:t>
            </w:r>
            <w:r w:rsidRPr="00BF0D71">
              <w:rPr>
                <w:lang w:eastAsia="en-GB"/>
              </w:rPr>
              <w:t>PP</w:t>
            </w:r>
          </w:p>
        </w:tc>
        <w:tc>
          <w:tcPr>
            <w:tcW w:w="851" w:type="dxa"/>
            <w:shd w:val="clear" w:color="auto" w:fill="auto"/>
            <w:noWrap/>
            <w:vAlign w:val="center"/>
            <w:hideMark/>
          </w:tcPr>
          <w:p w14:paraId="39A2A0E7" w14:textId="77777777" w:rsidR="00675AD8" w:rsidRPr="00BF0D71" w:rsidRDefault="00675AD8" w:rsidP="00CC1389">
            <w:pPr>
              <w:pStyle w:val="Tabletext"/>
              <w:jc w:val="center"/>
              <w:rPr>
                <w:lang w:eastAsia="en-GB"/>
              </w:rPr>
            </w:pPr>
            <w:r w:rsidRPr="00BF0D71">
              <w:rPr>
                <w:lang w:eastAsia="en-GB"/>
              </w:rPr>
              <w:t>54</w:t>
            </w:r>
          </w:p>
        </w:tc>
        <w:tc>
          <w:tcPr>
            <w:tcW w:w="1134" w:type="dxa"/>
            <w:shd w:val="clear" w:color="auto" w:fill="auto"/>
            <w:vAlign w:val="center"/>
          </w:tcPr>
          <w:p w14:paraId="2F03907E" w14:textId="77777777" w:rsidR="00675AD8" w:rsidRPr="00BF0D71" w:rsidRDefault="00675AD8" w:rsidP="00CC1389">
            <w:pPr>
              <w:pStyle w:val="Tabletext"/>
              <w:jc w:val="center"/>
              <w:rPr>
                <w:lang w:eastAsia="en-GB"/>
              </w:rPr>
            </w:pPr>
            <w:r w:rsidRPr="00BF0D71">
              <w:rPr>
                <w:lang w:eastAsia="en-GB"/>
              </w:rPr>
              <w:t>Résolution</w:t>
            </w:r>
            <w:r w:rsidRPr="00BF0D71">
              <w:rPr>
                <w:lang w:eastAsia="en-GB"/>
              </w:rPr>
              <w:br/>
              <w:t>Décision</w:t>
            </w:r>
          </w:p>
        </w:tc>
        <w:tc>
          <w:tcPr>
            <w:tcW w:w="1275" w:type="dxa"/>
            <w:shd w:val="clear" w:color="auto" w:fill="auto"/>
            <w:vAlign w:val="center"/>
            <w:hideMark/>
          </w:tcPr>
          <w:p w14:paraId="36CAEBB2" w14:textId="77777777" w:rsidR="00675AD8" w:rsidRPr="00BF0D71" w:rsidRDefault="00675AD8" w:rsidP="00CC1389">
            <w:pPr>
              <w:pStyle w:val="Tabletext"/>
              <w:jc w:val="center"/>
              <w:rPr>
                <w:lang w:eastAsia="en-GB"/>
              </w:rPr>
            </w:pPr>
          </w:p>
        </w:tc>
      </w:tr>
      <w:tr w:rsidR="00675AD8" w:rsidRPr="00BF0D71" w14:paraId="0176EBBB" w14:textId="77777777" w:rsidTr="00CC1389">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CA5EB8" w14:textId="77777777" w:rsidR="00675AD8" w:rsidRPr="00BF0D71" w:rsidRDefault="00675AD8" w:rsidP="00CC1389">
            <w:pPr>
              <w:pStyle w:val="Tabletext"/>
              <w:jc w:val="center"/>
              <w:rPr>
                <w:b/>
                <w:bCs/>
                <w:lang w:eastAsia="en-GB"/>
              </w:rPr>
            </w:pPr>
            <w:r w:rsidRPr="00BF0D71">
              <w:rPr>
                <w:b/>
                <w:bCs/>
                <w:lang w:eastAsia="en-GB"/>
              </w:rPr>
              <w:t>49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0A749" w14:textId="77777777" w:rsidR="00675AD8" w:rsidRPr="00BF0D71" w:rsidRDefault="00675AD8" w:rsidP="00CC1389">
            <w:pPr>
              <w:pStyle w:val="Tabletext"/>
              <w:rPr>
                <w:lang w:eastAsia="en-GB"/>
              </w:rPr>
            </w:pPr>
            <w:r w:rsidRPr="00BF0D71">
              <w:rPr>
                <w:lang w:eastAsia="en-GB"/>
              </w:rPr>
              <w:t>Composition du Comité des pensions du personnel de l'UIT</w:t>
            </w:r>
            <w:r w:rsidRPr="00BF0D71">
              <w:rPr>
                <w:i/>
                <w:iCs/>
                <w:lang w:eastAsia="en-GB"/>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91D6" w14:textId="77777777" w:rsidR="00675AD8" w:rsidRPr="00BF0D71" w:rsidRDefault="00675AD8" w:rsidP="00CC1389">
            <w:pPr>
              <w:pStyle w:val="Tabletext"/>
              <w:jc w:val="center"/>
              <w:rPr>
                <w:lang w:eastAsia="en-GB"/>
              </w:rPr>
            </w:pPr>
            <w:r w:rsidRPr="00BF0D71">
              <w:rPr>
                <w:lang w:eastAsia="en-GB"/>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D6B06" w14:textId="77777777" w:rsidR="00675AD8" w:rsidRPr="00BF0D71" w:rsidRDefault="00675AD8" w:rsidP="00CC1389">
            <w:pPr>
              <w:pStyle w:val="Tabletext"/>
              <w:jc w:val="center"/>
              <w:rPr>
                <w:lang w:eastAsia="en-GB"/>
              </w:rPr>
            </w:pPr>
            <w:r w:rsidRPr="00BF0D71">
              <w:rPr>
                <w:lang w:eastAsia="en-GB"/>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FAC6F" w14:textId="77777777" w:rsidR="00675AD8" w:rsidRPr="00BF0D71" w:rsidRDefault="00675AD8" w:rsidP="00CC1389">
            <w:pPr>
              <w:pStyle w:val="Tabletext"/>
              <w:jc w:val="center"/>
              <w:rPr>
                <w:lang w:eastAsia="en-GB"/>
              </w:rPr>
            </w:pPr>
          </w:p>
        </w:tc>
      </w:tr>
      <w:tr w:rsidR="00675AD8" w:rsidRPr="00BF0D71" w14:paraId="090CB9CF" w14:textId="77777777" w:rsidTr="00CC1389">
        <w:trPr>
          <w:jc w:val="center"/>
        </w:trPr>
        <w:tc>
          <w:tcPr>
            <w:tcW w:w="851" w:type="dxa"/>
            <w:shd w:val="clear" w:color="auto" w:fill="auto"/>
            <w:vAlign w:val="center"/>
          </w:tcPr>
          <w:p w14:paraId="4A3E0A66" w14:textId="77777777" w:rsidR="00675AD8" w:rsidRPr="00BF0D71" w:rsidRDefault="00675AD8" w:rsidP="00CC1389">
            <w:pPr>
              <w:pStyle w:val="Tabletext"/>
              <w:jc w:val="center"/>
              <w:rPr>
                <w:b/>
                <w:bCs/>
                <w:lang w:eastAsia="en-GB"/>
              </w:rPr>
            </w:pPr>
            <w:r w:rsidRPr="00BF0D71">
              <w:rPr>
                <w:b/>
                <w:bCs/>
                <w:lang w:eastAsia="en-GB"/>
              </w:rPr>
              <w:t>50</w:t>
            </w:r>
          </w:p>
        </w:tc>
        <w:tc>
          <w:tcPr>
            <w:tcW w:w="5812" w:type="dxa"/>
            <w:shd w:val="clear" w:color="auto" w:fill="auto"/>
            <w:vAlign w:val="center"/>
            <w:hideMark/>
          </w:tcPr>
          <w:p w14:paraId="4921BE00" w14:textId="77777777" w:rsidR="00675AD8" w:rsidRPr="00BF0D71" w:rsidRDefault="00675AD8" w:rsidP="00CC1389">
            <w:pPr>
              <w:pStyle w:val="Tabletext"/>
              <w:rPr>
                <w:lang w:eastAsia="en-GB"/>
              </w:rPr>
            </w:pPr>
            <w:r w:rsidRPr="00BF0D71">
              <w:rPr>
                <w:lang w:eastAsia="en-GB"/>
              </w:rPr>
              <w:t>Rapport du Bureau de l'éthique</w:t>
            </w:r>
          </w:p>
        </w:tc>
        <w:tc>
          <w:tcPr>
            <w:tcW w:w="851" w:type="dxa"/>
            <w:shd w:val="clear" w:color="auto" w:fill="auto"/>
            <w:noWrap/>
            <w:vAlign w:val="center"/>
            <w:hideMark/>
          </w:tcPr>
          <w:p w14:paraId="2E82EE3A" w14:textId="77777777" w:rsidR="00675AD8" w:rsidRPr="00BF0D71" w:rsidRDefault="00675AD8" w:rsidP="00CC1389">
            <w:pPr>
              <w:pStyle w:val="Tabletext"/>
              <w:jc w:val="center"/>
              <w:rPr>
                <w:lang w:eastAsia="en-GB"/>
              </w:rPr>
            </w:pPr>
            <w:r w:rsidRPr="00BF0D71">
              <w:rPr>
                <w:lang w:eastAsia="en-GB"/>
              </w:rPr>
              <w:t>59</w:t>
            </w:r>
          </w:p>
        </w:tc>
        <w:tc>
          <w:tcPr>
            <w:tcW w:w="1134" w:type="dxa"/>
            <w:shd w:val="clear" w:color="auto" w:fill="auto"/>
            <w:vAlign w:val="center"/>
          </w:tcPr>
          <w:p w14:paraId="6FF9F3F2"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hideMark/>
          </w:tcPr>
          <w:p w14:paraId="631072B0" w14:textId="77777777" w:rsidR="00675AD8" w:rsidRPr="00BF0D71" w:rsidRDefault="00675AD8" w:rsidP="00CC1389">
            <w:pPr>
              <w:pStyle w:val="Tabletext"/>
              <w:jc w:val="center"/>
              <w:rPr>
                <w:lang w:eastAsia="en-GB"/>
              </w:rPr>
            </w:pPr>
          </w:p>
        </w:tc>
      </w:tr>
      <w:tr w:rsidR="00675AD8" w:rsidRPr="00BF0D71" w14:paraId="33E817BE" w14:textId="77777777" w:rsidTr="00CC1389">
        <w:trPr>
          <w:jc w:val="center"/>
        </w:trPr>
        <w:tc>
          <w:tcPr>
            <w:tcW w:w="851" w:type="dxa"/>
            <w:shd w:val="clear" w:color="auto" w:fill="auto"/>
            <w:vAlign w:val="center"/>
          </w:tcPr>
          <w:p w14:paraId="4840F4F1" w14:textId="77777777" w:rsidR="00675AD8" w:rsidRPr="00BF0D71" w:rsidRDefault="00675AD8" w:rsidP="00CC1389">
            <w:pPr>
              <w:pStyle w:val="Tabletext"/>
              <w:jc w:val="center"/>
              <w:rPr>
                <w:b/>
                <w:bCs/>
                <w:lang w:eastAsia="en-GB"/>
              </w:rPr>
            </w:pPr>
            <w:r w:rsidRPr="00BF0D71">
              <w:rPr>
                <w:b/>
                <w:bCs/>
                <w:lang w:eastAsia="en-GB"/>
              </w:rPr>
              <w:t>51</w:t>
            </w:r>
          </w:p>
        </w:tc>
        <w:tc>
          <w:tcPr>
            <w:tcW w:w="5812" w:type="dxa"/>
            <w:shd w:val="clear" w:color="auto" w:fill="auto"/>
            <w:vAlign w:val="center"/>
            <w:hideMark/>
          </w:tcPr>
          <w:p w14:paraId="7F01AAF9" w14:textId="77777777" w:rsidR="00675AD8" w:rsidRPr="00BF0D71" w:rsidRDefault="00675AD8" w:rsidP="00CC1389">
            <w:pPr>
              <w:pStyle w:val="Tabletext"/>
              <w:rPr>
                <w:lang w:eastAsia="en-GB"/>
              </w:rPr>
            </w:pPr>
            <w:r w:rsidRPr="00BF0D71">
              <w:rPr>
                <w:bCs/>
                <w:lang w:eastAsia="en-GB"/>
              </w:rPr>
              <w:t>Rapport sur la mise en œuvre du plan d'action pour la gestion des risques</w:t>
            </w:r>
          </w:p>
        </w:tc>
        <w:tc>
          <w:tcPr>
            <w:tcW w:w="851" w:type="dxa"/>
            <w:shd w:val="clear" w:color="auto" w:fill="auto"/>
            <w:vAlign w:val="center"/>
            <w:hideMark/>
          </w:tcPr>
          <w:p w14:paraId="7E090219" w14:textId="77777777" w:rsidR="00675AD8" w:rsidRPr="00BF0D71" w:rsidRDefault="00675AD8" w:rsidP="00CC1389">
            <w:pPr>
              <w:pStyle w:val="Tabletext"/>
              <w:jc w:val="center"/>
              <w:rPr>
                <w:lang w:eastAsia="en-GB"/>
              </w:rPr>
            </w:pPr>
            <w:r w:rsidRPr="00BF0D71">
              <w:rPr>
                <w:lang w:eastAsia="en-GB"/>
              </w:rPr>
              <w:t>61</w:t>
            </w:r>
          </w:p>
        </w:tc>
        <w:tc>
          <w:tcPr>
            <w:tcW w:w="1134" w:type="dxa"/>
            <w:shd w:val="clear" w:color="auto" w:fill="auto"/>
            <w:vAlign w:val="center"/>
          </w:tcPr>
          <w:p w14:paraId="3AA26BCC"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hideMark/>
          </w:tcPr>
          <w:p w14:paraId="040E4E8D" w14:textId="77777777" w:rsidR="00675AD8" w:rsidRPr="00BF0D71" w:rsidRDefault="00675AD8" w:rsidP="00CC1389">
            <w:pPr>
              <w:pStyle w:val="Tabletext"/>
              <w:jc w:val="center"/>
              <w:rPr>
                <w:lang w:eastAsia="en-GB"/>
              </w:rPr>
            </w:pPr>
          </w:p>
        </w:tc>
      </w:tr>
      <w:tr w:rsidR="00675AD8" w:rsidRPr="00BF0D71" w14:paraId="0FADBCA7" w14:textId="77777777" w:rsidTr="00CC1389">
        <w:trPr>
          <w:jc w:val="center"/>
        </w:trPr>
        <w:tc>
          <w:tcPr>
            <w:tcW w:w="851" w:type="dxa"/>
            <w:shd w:val="clear" w:color="auto" w:fill="auto"/>
            <w:vAlign w:val="center"/>
          </w:tcPr>
          <w:p w14:paraId="69E3A76B" w14:textId="77777777" w:rsidR="00675AD8" w:rsidRPr="00BF0D71" w:rsidRDefault="00675AD8" w:rsidP="00CC1389">
            <w:pPr>
              <w:pStyle w:val="Tabletext"/>
              <w:jc w:val="center"/>
              <w:rPr>
                <w:b/>
                <w:bCs/>
                <w:lang w:eastAsia="en-GB"/>
              </w:rPr>
            </w:pPr>
            <w:r w:rsidRPr="00BF0D71">
              <w:rPr>
                <w:b/>
                <w:bCs/>
                <w:lang w:eastAsia="en-GB"/>
              </w:rPr>
              <w:t>52</w:t>
            </w:r>
          </w:p>
        </w:tc>
        <w:tc>
          <w:tcPr>
            <w:tcW w:w="5812" w:type="dxa"/>
            <w:shd w:val="clear" w:color="auto" w:fill="auto"/>
            <w:vAlign w:val="center"/>
            <w:hideMark/>
          </w:tcPr>
          <w:p w14:paraId="5D9A9414" w14:textId="77777777" w:rsidR="00675AD8" w:rsidRPr="00BF0D71" w:rsidRDefault="00675AD8" w:rsidP="00CC1389">
            <w:pPr>
              <w:pStyle w:val="Tabletext"/>
              <w:rPr>
                <w:lang w:eastAsia="en-GB"/>
              </w:rPr>
            </w:pPr>
            <w:r w:rsidRPr="00BF0D71">
              <w:rPr>
                <w:bCs/>
                <w:lang w:eastAsia="en-GB"/>
              </w:rPr>
              <w:t>Continuité des activités: analyse de cas concernant la gestion de l'information</w:t>
            </w:r>
          </w:p>
        </w:tc>
        <w:tc>
          <w:tcPr>
            <w:tcW w:w="851" w:type="dxa"/>
            <w:shd w:val="clear" w:color="auto" w:fill="auto"/>
            <w:noWrap/>
            <w:vAlign w:val="center"/>
            <w:hideMark/>
          </w:tcPr>
          <w:p w14:paraId="0E2FA5CD" w14:textId="77777777" w:rsidR="00675AD8" w:rsidRPr="00BF0D71" w:rsidRDefault="00675AD8" w:rsidP="00CC1389">
            <w:pPr>
              <w:pStyle w:val="Tabletext"/>
              <w:jc w:val="center"/>
              <w:rPr>
                <w:lang w:eastAsia="en-GB"/>
              </w:rPr>
            </w:pPr>
            <w:r w:rsidRPr="00BF0D71">
              <w:rPr>
                <w:lang w:eastAsia="en-GB"/>
              </w:rPr>
              <w:t>53</w:t>
            </w:r>
          </w:p>
        </w:tc>
        <w:tc>
          <w:tcPr>
            <w:tcW w:w="1134" w:type="dxa"/>
            <w:shd w:val="clear" w:color="auto" w:fill="auto"/>
            <w:vAlign w:val="center"/>
          </w:tcPr>
          <w:p w14:paraId="54F8577A" w14:textId="77777777" w:rsidR="00675AD8" w:rsidRPr="00BF0D71" w:rsidRDefault="00675AD8" w:rsidP="00CC1389">
            <w:pPr>
              <w:pStyle w:val="Tabletext"/>
              <w:jc w:val="center"/>
              <w:rPr>
                <w:lang w:eastAsia="en-GB"/>
              </w:rPr>
            </w:pPr>
            <w:r w:rsidRPr="00BF0D71">
              <w:rPr>
                <w:lang w:eastAsia="en-GB"/>
              </w:rPr>
              <w:t>Non</w:t>
            </w:r>
          </w:p>
        </w:tc>
        <w:tc>
          <w:tcPr>
            <w:tcW w:w="1275" w:type="dxa"/>
            <w:shd w:val="clear" w:color="auto" w:fill="auto"/>
            <w:vAlign w:val="center"/>
            <w:hideMark/>
          </w:tcPr>
          <w:p w14:paraId="5640D164" w14:textId="77777777" w:rsidR="00675AD8" w:rsidRPr="00BF0D71" w:rsidRDefault="00675AD8" w:rsidP="00CC1389">
            <w:pPr>
              <w:pStyle w:val="Tabletext"/>
              <w:jc w:val="center"/>
              <w:rPr>
                <w:lang w:eastAsia="en-GB"/>
              </w:rPr>
            </w:pPr>
          </w:p>
        </w:tc>
      </w:tr>
      <w:tr w:rsidR="00675AD8" w:rsidRPr="00BF0D71" w14:paraId="37A7BA02" w14:textId="77777777" w:rsidTr="00CC1389">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2B058C" w14:textId="77777777" w:rsidR="00675AD8" w:rsidRPr="00BF0D71" w:rsidRDefault="00675AD8" w:rsidP="00CC1389">
            <w:pPr>
              <w:pStyle w:val="Tabletext"/>
              <w:jc w:val="center"/>
              <w:rPr>
                <w:b/>
                <w:bCs/>
                <w:lang w:eastAsia="en-GB"/>
              </w:rPr>
            </w:pPr>
            <w:r w:rsidRPr="00BF0D71">
              <w:rPr>
                <w:b/>
                <w:bCs/>
                <w:lang w:eastAsia="en-GB"/>
              </w:rPr>
              <w:t>53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08C25" w14:textId="77777777" w:rsidR="00675AD8" w:rsidRPr="00BF0D71" w:rsidRDefault="00675AD8" w:rsidP="00CC1389">
            <w:pPr>
              <w:pStyle w:val="Tabletext"/>
              <w:rPr>
                <w:lang w:eastAsia="en-GB"/>
              </w:rPr>
            </w:pPr>
            <w:r w:rsidRPr="00BF0D71">
              <w:rPr>
                <w:bCs/>
                <w:lang w:eastAsia="en-GB"/>
              </w:rPr>
              <w:t>Mesures prises par l'UIT concernant les conditions relatives à l'assistance médicale d'urgence sur place lors des conférences et des réunions de l'UIT se tenant à l'extérieur de Genève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D61CD" w14:textId="77777777" w:rsidR="00675AD8" w:rsidRPr="00BF0D71" w:rsidRDefault="00675AD8" w:rsidP="00CC1389">
            <w:pPr>
              <w:pStyle w:val="Tabletext"/>
              <w:jc w:val="center"/>
              <w:rPr>
                <w:lang w:eastAsia="en-GB"/>
              </w:rPr>
            </w:pPr>
            <w:r w:rsidRPr="00BF0D71">
              <w:rPr>
                <w:lang w:eastAsia="en-GB"/>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EDC0B4" w14:textId="77777777" w:rsidR="00675AD8" w:rsidRPr="00BF0D71" w:rsidRDefault="00675AD8" w:rsidP="00CC1389">
            <w:pPr>
              <w:pStyle w:val="Tabletext"/>
              <w:jc w:val="center"/>
              <w:rPr>
                <w:lang w:eastAsia="en-GB"/>
              </w:rPr>
            </w:pPr>
            <w:r w:rsidRPr="00BF0D71">
              <w:rPr>
                <w:lang w:eastAsia="en-GB"/>
              </w:rPr>
              <w:t>Non</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67AF3" w14:textId="77777777" w:rsidR="00675AD8" w:rsidRPr="00BF0D71" w:rsidRDefault="00675AD8" w:rsidP="00CC1389">
            <w:pPr>
              <w:pStyle w:val="Tabletext"/>
              <w:jc w:val="center"/>
              <w:rPr>
                <w:lang w:eastAsia="en-GB"/>
              </w:rPr>
            </w:pPr>
          </w:p>
        </w:tc>
      </w:tr>
    </w:tbl>
    <w:p w14:paraId="3897B0C6" w14:textId="77777777" w:rsidR="00675AD8" w:rsidRPr="00BF0D71" w:rsidRDefault="00675AD8" w:rsidP="00675AD8">
      <w:pPr>
        <w:spacing w:line="240" w:lineRule="auto"/>
        <w:jc w:val="left"/>
      </w:pPr>
      <w:r w:rsidRPr="00BF0D71">
        <w:br w:type="page"/>
      </w:r>
    </w:p>
    <w:p w14:paraId="2E6571CD" w14:textId="77777777" w:rsidR="00675AD8" w:rsidRPr="00BF0D71" w:rsidRDefault="00675AD8" w:rsidP="00675AD8">
      <w:pPr>
        <w:pStyle w:val="AnnexNoTitle"/>
        <w:spacing w:before="120" w:line="240" w:lineRule="auto"/>
      </w:pPr>
      <w:bookmarkStart w:id="20" w:name="Annexe5"/>
      <w:bookmarkEnd w:id="20"/>
      <w:r w:rsidRPr="00BF0D71">
        <w:lastRenderedPageBreak/>
        <w:t>ANNEXE 5</w:t>
      </w:r>
    </w:p>
    <w:p w14:paraId="04CB7F19" w14:textId="77777777" w:rsidR="00675AD8" w:rsidRPr="00BF0D71" w:rsidRDefault="00675AD8" w:rsidP="00177CFB">
      <w:pPr>
        <w:pStyle w:val="AnnexNoTitle"/>
        <w:spacing w:before="240" w:after="240" w:line="240" w:lineRule="auto"/>
      </w:pPr>
      <w:r w:rsidRPr="00BF0D71">
        <w:t>Modèle pour les contributions des États Membres</w:t>
      </w:r>
    </w:p>
    <w:tbl>
      <w:tblPr>
        <w:tblW w:w="10031" w:type="dxa"/>
        <w:tblLayout w:type="fixed"/>
        <w:tblLook w:val="0000" w:firstRow="0" w:lastRow="0" w:firstColumn="0" w:lastColumn="0" w:noHBand="0" w:noVBand="0"/>
      </w:tblPr>
      <w:tblGrid>
        <w:gridCol w:w="6911"/>
        <w:gridCol w:w="3120"/>
      </w:tblGrid>
      <w:tr w:rsidR="00675AD8" w:rsidRPr="00BF0D71" w14:paraId="075F20FA" w14:textId="77777777" w:rsidTr="00CC1389">
        <w:trPr>
          <w:cantSplit/>
          <w:trHeight w:val="1276"/>
        </w:trPr>
        <w:tc>
          <w:tcPr>
            <w:tcW w:w="6911" w:type="dxa"/>
          </w:tcPr>
          <w:p w14:paraId="0DD78959" w14:textId="77777777" w:rsidR="00675AD8" w:rsidRPr="00BF0D71" w:rsidRDefault="00675AD8" w:rsidP="00CC1389">
            <w:pPr>
              <w:spacing w:before="360" w:after="48" w:line="240" w:lineRule="auto"/>
              <w:jc w:val="left"/>
              <w:rPr>
                <w:b/>
                <w:bCs/>
                <w:position w:val="6"/>
                <w:sz w:val="26"/>
                <w:szCs w:val="26"/>
              </w:rPr>
            </w:pPr>
            <w:r w:rsidRPr="00BF0D71">
              <w:rPr>
                <w:b/>
                <w:bCs/>
                <w:position w:val="6"/>
                <w:sz w:val="26"/>
                <w:szCs w:val="26"/>
              </w:rPr>
              <w:t xml:space="preserve">Consultation virtuelle des Conseillers </w:t>
            </w:r>
            <w:r w:rsidRPr="00BF0D71">
              <w:rPr>
                <w:b/>
                <w:bCs/>
                <w:position w:val="6"/>
                <w:sz w:val="26"/>
                <w:szCs w:val="26"/>
              </w:rPr>
              <w:br/>
              <w:t>débutant le 9 juin 2020</w:t>
            </w:r>
          </w:p>
        </w:tc>
        <w:tc>
          <w:tcPr>
            <w:tcW w:w="3120" w:type="dxa"/>
            <w:vAlign w:val="center"/>
          </w:tcPr>
          <w:p w14:paraId="20BCD5B4" w14:textId="77777777" w:rsidR="00675AD8" w:rsidRPr="00BF0D71" w:rsidRDefault="00675AD8" w:rsidP="00CC1389">
            <w:pPr>
              <w:spacing w:before="0" w:line="240" w:lineRule="auto"/>
            </w:pPr>
            <w:bookmarkStart w:id="21" w:name="ditulogo"/>
            <w:bookmarkEnd w:id="21"/>
            <w:r w:rsidRPr="00BF0D71">
              <w:rPr>
                <w:noProof/>
              </w:rPr>
              <w:drawing>
                <wp:inline distT="0" distB="0" distL="0" distR="0" wp14:anchorId="6E6391E1" wp14:editId="7CE047F1">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75AD8" w:rsidRPr="00BF0D71" w14:paraId="5CDBD4A4" w14:textId="77777777" w:rsidTr="00CC1389">
        <w:trPr>
          <w:cantSplit/>
        </w:trPr>
        <w:tc>
          <w:tcPr>
            <w:tcW w:w="6911" w:type="dxa"/>
            <w:tcBorders>
              <w:bottom w:val="single" w:sz="12" w:space="0" w:color="auto"/>
            </w:tcBorders>
          </w:tcPr>
          <w:p w14:paraId="6780CE57" w14:textId="77777777" w:rsidR="00675AD8" w:rsidRPr="00BF0D71" w:rsidRDefault="00675AD8" w:rsidP="00CC1389">
            <w:pPr>
              <w:spacing w:before="0" w:after="48" w:line="240" w:lineRule="auto"/>
              <w:rPr>
                <w:b/>
                <w:smallCaps/>
                <w:szCs w:val="24"/>
              </w:rPr>
            </w:pPr>
          </w:p>
        </w:tc>
        <w:tc>
          <w:tcPr>
            <w:tcW w:w="3120" w:type="dxa"/>
            <w:tcBorders>
              <w:bottom w:val="single" w:sz="12" w:space="0" w:color="auto"/>
            </w:tcBorders>
          </w:tcPr>
          <w:p w14:paraId="5378D04C" w14:textId="77777777" w:rsidR="00675AD8" w:rsidRPr="00BF0D71" w:rsidRDefault="00675AD8" w:rsidP="00CC1389">
            <w:pPr>
              <w:spacing w:before="0" w:line="240" w:lineRule="auto"/>
              <w:rPr>
                <w:szCs w:val="24"/>
              </w:rPr>
            </w:pPr>
          </w:p>
        </w:tc>
      </w:tr>
      <w:tr w:rsidR="00675AD8" w:rsidRPr="00BF0D71" w14:paraId="55612A63" w14:textId="77777777" w:rsidTr="00CC1389">
        <w:trPr>
          <w:cantSplit/>
        </w:trPr>
        <w:tc>
          <w:tcPr>
            <w:tcW w:w="6911" w:type="dxa"/>
            <w:tcBorders>
              <w:top w:val="single" w:sz="12" w:space="0" w:color="auto"/>
            </w:tcBorders>
          </w:tcPr>
          <w:p w14:paraId="78797A08" w14:textId="77777777" w:rsidR="00675AD8" w:rsidRPr="00BF0D71" w:rsidRDefault="00675AD8" w:rsidP="00CC1389">
            <w:pPr>
              <w:spacing w:before="0" w:after="48" w:line="240" w:lineRule="auto"/>
              <w:rPr>
                <w:b/>
                <w:smallCaps/>
                <w:szCs w:val="24"/>
              </w:rPr>
            </w:pPr>
          </w:p>
        </w:tc>
        <w:tc>
          <w:tcPr>
            <w:tcW w:w="3120" w:type="dxa"/>
            <w:tcBorders>
              <w:top w:val="single" w:sz="12" w:space="0" w:color="auto"/>
            </w:tcBorders>
          </w:tcPr>
          <w:p w14:paraId="674B78AB" w14:textId="77777777" w:rsidR="00675AD8" w:rsidRPr="00BF0D71" w:rsidRDefault="00675AD8" w:rsidP="00CC1389">
            <w:pPr>
              <w:spacing w:before="0" w:line="240" w:lineRule="auto"/>
              <w:rPr>
                <w:szCs w:val="24"/>
              </w:rPr>
            </w:pPr>
          </w:p>
        </w:tc>
      </w:tr>
    </w:tbl>
    <w:p w14:paraId="0BA3F1E2" w14:textId="2BF044BA" w:rsidR="00675AD8" w:rsidRPr="00BF0D71" w:rsidRDefault="00675AD8" w:rsidP="00675AD8">
      <w:pPr>
        <w:spacing w:line="240" w:lineRule="auto"/>
        <w:jc w:val="center"/>
        <w:rPr>
          <w:b/>
          <w:bCs/>
          <w:sz w:val="28"/>
        </w:rPr>
      </w:pPr>
      <w:bookmarkStart w:id="22" w:name="dorlang" w:colFirst="1" w:colLast="1"/>
      <w:r w:rsidRPr="00BF0D71">
        <w:rPr>
          <w:b/>
          <w:bCs/>
          <w:sz w:val="28"/>
        </w:rPr>
        <w:t>Contribution de l'État Membre/des États Membres sur les points du projet d'ordre</w:t>
      </w:r>
      <w:r w:rsidR="00F00B7E" w:rsidRPr="00BF0D71">
        <w:rPr>
          <w:b/>
          <w:bCs/>
          <w:sz w:val="28"/>
        </w:rPr>
        <w:t> </w:t>
      </w:r>
      <w:r w:rsidRPr="00BF0D71">
        <w:rPr>
          <w:b/>
          <w:bCs/>
          <w:sz w:val="28"/>
        </w:rPr>
        <w:t>du jour de la consultation virtuelle des Conseillers</w:t>
      </w:r>
    </w:p>
    <w:p w14:paraId="2B831D61" w14:textId="77777777" w:rsidR="00675AD8" w:rsidRPr="00BF0D71" w:rsidRDefault="00675AD8" w:rsidP="00675AD8">
      <w:pPr>
        <w:spacing w:before="0" w:line="240" w:lineRule="auto"/>
        <w:rPr>
          <w:b/>
          <w:bCs/>
          <w:sz w:val="28"/>
        </w:rPr>
      </w:pPr>
    </w:p>
    <w:tbl>
      <w:tblPr>
        <w:tblW w:w="10093" w:type="dxa"/>
        <w:tblLayout w:type="fixed"/>
        <w:tblLook w:val="0000" w:firstRow="0" w:lastRow="0" w:firstColumn="0" w:lastColumn="0" w:noHBand="0" w:noVBand="0"/>
      </w:tblPr>
      <w:tblGrid>
        <w:gridCol w:w="2835"/>
        <w:gridCol w:w="7258"/>
      </w:tblGrid>
      <w:tr w:rsidR="00675AD8" w:rsidRPr="00BF0D71" w14:paraId="0ED77140" w14:textId="77777777" w:rsidTr="00CC1389">
        <w:trPr>
          <w:cantSplit/>
        </w:trPr>
        <w:tc>
          <w:tcPr>
            <w:tcW w:w="2835" w:type="dxa"/>
            <w:tcBorders>
              <w:right w:val="single" w:sz="12" w:space="0" w:color="auto"/>
            </w:tcBorders>
            <w:vAlign w:val="center"/>
          </w:tcPr>
          <w:p w14:paraId="600AE781" w14:textId="77777777" w:rsidR="00675AD8" w:rsidRPr="00BF0D71" w:rsidRDefault="00675AD8" w:rsidP="00CC1389">
            <w:pPr>
              <w:spacing w:before="0" w:line="240" w:lineRule="auto"/>
              <w:jc w:val="left"/>
              <w:rPr>
                <w:b/>
                <w:bCs/>
              </w:rPr>
            </w:pPr>
            <w:bookmarkStart w:id="23" w:name="dsource" w:colFirst="0" w:colLast="0"/>
            <w:bookmarkEnd w:id="22"/>
            <w:r w:rsidRPr="00BF0D71">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1D6034D4" w14:textId="77777777" w:rsidR="00675AD8" w:rsidRPr="00BF0D71" w:rsidRDefault="00675AD8" w:rsidP="00CC1389">
            <w:pPr>
              <w:spacing w:before="0" w:line="240" w:lineRule="auto"/>
            </w:pPr>
          </w:p>
        </w:tc>
      </w:tr>
      <w:tr w:rsidR="00675AD8" w:rsidRPr="00BF0D71" w14:paraId="16114261" w14:textId="77777777" w:rsidTr="00CC1389">
        <w:trPr>
          <w:cantSplit/>
        </w:trPr>
        <w:tc>
          <w:tcPr>
            <w:tcW w:w="2835" w:type="dxa"/>
          </w:tcPr>
          <w:p w14:paraId="7A205B9E" w14:textId="77777777" w:rsidR="00675AD8" w:rsidRPr="00BF0D71" w:rsidRDefault="00675AD8" w:rsidP="00CC1389">
            <w:pPr>
              <w:spacing w:before="0" w:line="240" w:lineRule="auto"/>
              <w:rPr>
                <w:sz w:val="16"/>
                <w:szCs w:val="16"/>
              </w:rPr>
            </w:pPr>
          </w:p>
        </w:tc>
        <w:tc>
          <w:tcPr>
            <w:tcW w:w="7258" w:type="dxa"/>
            <w:tcBorders>
              <w:top w:val="single" w:sz="12" w:space="0" w:color="auto"/>
              <w:bottom w:val="single" w:sz="12" w:space="0" w:color="auto"/>
            </w:tcBorders>
          </w:tcPr>
          <w:p w14:paraId="4667C584" w14:textId="77777777" w:rsidR="00675AD8" w:rsidRPr="00BF0D71" w:rsidRDefault="00675AD8" w:rsidP="00CC1389">
            <w:pPr>
              <w:spacing w:before="0" w:line="240" w:lineRule="auto"/>
              <w:rPr>
                <w:sz w:val="16"/>
                <w:szCs w:val="16"/>
              </w:rPr>
            </w:pPr>
          </w:p>
        </w:tc>
      </w:tr>
      <w:tr w:rsidR="00675AD8" w:rsidRPr="00BF0D71" w14:paraId="4383FBBE" w14:textId="77777777" w:rsidTr="00CC1389">
        <w:trPr>
          <w:cantSplit/>
        </w:trPr>
        <w:tc>
          <w:tcPr>
            <w:tcW w:w="2835" w:type="dxa"/>
            <w:tcBorders>
              <w:right w:val="single" w:sz="12" w:space="0" w:color="auto"/>
            </w:tcBorders>
          </w:tcPr>
          <w:p w14:paraId="2F2C4C85" w14:textId="77777777" w:rsidR="00675AD8" w:rsidRPr="00BF0D71" w:rsidRDefault="00675AD8" w:rsidP="00CC1389">
            <w:pPr>
              <w:spacing w:after="120" w:line="240" w:lineRule="auto"/>
              <w:rPr>
                <w:b/>
                <w:bCs/>
              </w:rPr>
            </w:pPr>
            <w:r w:rsidRPr="00BF0D71">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51805685" w14:textId="77777777" w:rsidR="00675AD8" w:rsidRPr="00BF0D71" w:rsidRDefault="00675AD8" w:rsidP="00CC1389">
            <w:pPr>
              <w:spacing w:after="120" w:line="240" w:lineRule="auto"/>
            </w:pPr>
          </w:p>
        </w:tc>
      </w:tr>
      <w:tr w:rsidR="00675AD8" w:rsidRPr="00BF0D71" w14:paraId="75190E32" w14:textId="77777777" w:rsidTr="00CC1389">
        <w:trPr>
          <w:cantSplit/>
          <w:trHeight w:val="269"/>
        </w:trPr>
        <w:tc>
          <w:tcPr>
            <w:tcW w:w="2835" w:type="dxa"/>
          </w:tcPr>
          <w:p w14:paraId="395D702E" w14:textId="77777777" w:rsidR="00675AD8" w:rsidRPr="00BF0D71" w:rsidRDefault="00675AD8" w:rsidP="00CC1389">
            <w:pPr>
              <w:spacing w:before="0" w:line="240" w:lineRule="auto"/>
              <w:rPr>
                <w:sz w:val="16"/>
                <w:szCs w:val="16"/>
              </w:rPr>
            </w:pPr>
          </w:p>
        </w:tc>
        <w:tc>
          <w:tcPr>
            <w:tcW w:w="7258" w:type="dxa"/>
            <w:tcBorders>
              <w:top w:val="single" w:sz="12" w:space="0" w:color="auto"/>
              <w:bottom w:val="single" w:sz="2" w:space="0" w:color="auto"/>
            </w:tcBorders>
          </w:tcPr>
          <w:p w14:paraId="50A56B7A" w14:textId="77777777" w:rsidR="00675AD8" w:rsidRPr="00BF0D71" w:rsidRDefault="00675AD8" w:rsidP="00CC1389">
            <w:pPr>
              <w:spacing w:before="0" w:line="240" w:lineRule="auto"/>
              <w:rPr>
                <w:sz w:val="16"/>
                <w:szCs w:val="16"/>
              </w:rPr>
            </w:pPr>
          </w:p>
        </w:tc>
      </w:tr>
      <w:tr w:rsidR="00675AD8" w:rsidRPr="00BF0D71" w14:paraId="473BCCAF" w14:textId="77777777" w:rsidTr="00CC1389">
        <w:trPr>
          <w:cantSplit/>
          <w:trHeight w:val="668"/>
        </w:trPr>
        <w:tc>
          <w:tcPr>
            <w:tcW w:w="2835" w:type="dxa"/>
            <w:tcBorders>
              <w:right w:val="single" w:sz="2" w:space="0" w:color="auto"/>
            </w:tcBorders>
            <w:vAlign w:val="center"/>
          </w:tcPr>
          <w:p w14:paraId="5D427D10" w14:textId="77777777" w:rsidR="00675AD8" w:rsidRPr="00BF0D71" w:rsidRDefault="00675AD8" w:rsidP="00CC1389">
            <w:pPr>
              <w:spacing w:before="0" w:line="240" w:lineRule="auto"/>
              <w:jc w:val="left"/>
              <w:rPr>
                <w:b/>
                <w:bCs/>
              </w:rPr>
            </w:pPr>
            <w:r w:rsidRPr="00BF0D71">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5AC4B40A" w14:textId="77777777" w:rsidR="00675AD8" w:rsidRPr="00BF0D71" w:rsidRDefault="00675AD8" w:rsidP="00CC1389">
            <w:pPr>
              <w:spacing w:before="240" w:after="120" w:line="240" w:lineRule="auto"/>
              <w:rPr>
                <w:b/>
                <w:bCs/>
              </w:rPr>
            </w:pPr>
            <w:r w:rsidRPr="00BF0D71">
              <w:rPr>
                <w:b/>
                <w:bCs/>
              </w:rPr>
              <w:t>Document C20/</w:t>
            </w:r>
            <w:r w:rsidRPr="00BF0D71">
              <w:rPr>
                <w:b/>
                <w:bCs/>
                <w:highlight w:val="yellow"/>
              </w:rPr>
              <w:t>##</w:t>
            </w:r>
          </w:p>
        </w:tc>
      </w:tr>
      <w:tr w:rsidR="00675AD8" w:rsidRPr="00BF0D71" w14:paraId="5A9D1020" w14:textId="77777777" w:rsidTr="00CC1389">
        <w:trPr>
          <w:cantSplit/>
          <w:trHeight w:val="156"/>
        </w:trPr>
        <w:tc>
          <w:tcPr>
            <w:tcW w:w="2835" w:type="dxa"/>
          </w:tcPr>
          <w:p w14:paraId="5C282260" w14:textId="77777777" w:rsidR="00675AD8" w:rsidRPr="00BF0D71" w:rsidRDefault="00675AD8" w:rsidP="00CC1389">
            <w:pPr>
              <w:spacing w:before="0" w:line="240" w:lineRule="auto"/>
              <w:rPr>
                <w:sz w:val="16"/>
                <w:szCs w:val="16"/>
              </w:rPr>
            </w:pPr>
          </w:p>
        </w:tc>
        <w:tc>
          <w:tcPr>
            <w:tcW w:w="7258" w:type="dxa"/>
            <w:tcBorders>
              <w:top w:val="single" w:sz="12" w:space="0" w:color="auto"/>
              <w:bottom w:val="single" w:sz="2" w:space="0" w:color="auto"/>
            </w:tcBorders>
          </w:tcPr>
          <w:p w14:paraId="0ABB9DB0" w14:textId="77777777" w:rsidR="00675AD8" w:rsidRPr="00BF0D71" w:rsidRDefault="00675AD8" w:rsidP="00CC1389">
            <w:pPr>
              <w:spacing w:before="0" w:line="240" w:lineRule="auto"/>
              <w:rPr>
                <w:sz w:val="16"/>
                <w:szCs w:val="16"/>
              </w:rPr>
            </w:pPr>
          </w:p>
        </w:tc>
      </w:tr>
    </w:tbl>
    <w:p w14:paraId="56807563" w14:textId="77777777" w:rsidR="00675AD8" w:rsidRPr="00BF0D71" w:rsidRDefault="00675AD8" w:rsidP="00675AD8">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675AD8" w:rsidRPr="00BF0D71" w14:paraId="1FEC386B" w14:textId="77777777" w:rsidTr="00CC1389">
        <w:trPr>
          <w:cantSplit/>
        </w:trPr>
        <w:tc>
          <w:tcPr>
            <w:tcW w:w="10093" w:type="dxa"/>
            <w:tcBorders>
              <w:top w:val="single" w:sz="12" w:space="0" w:color="auto"/>
              <w:left w:val="single" w:sz="12" w:space="0" w:color="auto"/>
              <w:bottom w:val="single" w:sz="12" w:space="0" w:color="auto"/>
              <w:right w:val="single" w:sz="12" w:space="0" w:color="auto"/>
            </w:tcBorders>
          </w:tcPr>
          <w:p w14:paraId="19244809" w14:textId="77777777" w:rsidR="00675AD8" w:rsidRPr="00BF0D71" w:rsidRDefault="00675AD8" w:rsidP="00CC1389">
            <w:pPr>
              <w:spacing w:before="60" w:after="60" w:line="240" w:lineRule="auto"/>
              <w:rPr>
                <w:i/>
                <w:iCs/>
              </w:rPr>
            </w:pPr>
            <w:r w:rsidRPr="00BF0D71">
              <w:rPr>
                <w:b/>
                <w:bCs/>
              </w:rPr>
              <w:t xml:space="preserve">Contribution de l'État Membre/des États Membres: </w:t>
            </w:r>
            <w:r w:rsidRPr="00BF0D71">
              <w:rPr>
                <w:i/>
                <w:iCs/>
              </w:rPr>
              <w:t>les contributions devraient être succinctes (</w:t>
            </w:r>
            <w:r w:rsidRPr="00BF0D71">
              <w:rPr>
                <w:i/>
                <w:iCs/>
                <w:u w:val="single"/>
              </w:rPr>
              <w:t>la longueur maximale recommandée est de 2 pages</w:t>
            </w:r>
            <w:r w:rsidRPr="00BF0D71">
              <w:rPr>
                <w:i/>
                <w:iCs/>
              </w:rPr>
              <w:t>) et devraient faciliter les discussions.</w:t>
            </w:r>
          </w:p>
        </w:tc>
      </w:tr>
      <w:tr w:rsidR="00675AD8" w:rsidRPr="00BF0D71" w14:paraId="39832D6D" w14:textId="77777777" w:rsidTr="00CC1389">
        <w:trPr>
          <w:cantSplit/>
        </w:trPr>
        <w:tc>
          <w:tcPr>
            <w:tcW w:w="10093" w:type="dxa"/>
            <w:tcBorders>
              <w:top w:val="single" w:sz="12" w:space="0" w:color="auto"/>
              <w:left w:val="single" w:sz="12" w:space="0" w:color="auto"/>
              <w:bottom w:val="single" w:sz="12" w:space="0" w:color="auto"/>
              <w:right w:val="single" w:sz="12" w:space="0" w:color="auto"/>
            </w:tcBorders>
          </w:tcPr>
          <w:p w14:paraId="443D2EB9" w14:textId="77777777" w:rsidR="00675AD8" w:rsidRPr="00BF0D71" w:rsidRDefault="00675AD8" w:rsidP="00CC1389">
            <w:pPr>
              <w:pStyle w:val="Headingb"/>
              <w:spacing w:before="120" w:after="120" w:line="240" w:lineRule="auto"/>
            </w:pPr>
            <w:r w:rsidRPr="00BF0D71">
              <w:t>Observations relatives au Document C20/</w:t>
            </w:r>
            <w:r w:rsidRPr="00BF0D71">
              <w:rPr>
                <w:highlight w:val="yellow"/>
              </w:rPr>
              <w:t>xx</w:t>
            </w:r>
          </w:p>
          <w:p w14:paraId="7A363E7A" w14:textId="77777777" w:rsidR="00675AD8" w:rsidRPr="00BF0D71" w:rsidRDefault="00675AD8" w:rsidP="00CC1389">
            <w:pPr>
              <w:spacing w:after="120" w:line="240" w:lineRule="auto"/>
              <w:rPr>
                <w:szCs w:val="24"/>
                <w:lang w:eastAsia="zh-CN"/>
              </w:rPr>
            </w:pPr>
          </w:p>
          <w:p w14:paraId="0E07D545" w14:textId="77777777" w:rsidR="00675AD8" w:rsidRPr="00BF0D71" w:rsidRDefault="00675AD8" w:rsidP="00CC1389">
            <w:pPr>
              <w:spacing w:after="120" w:line="240" w:lineRule="auto"/>
              <w:rPr>
                <w:szCs w:val="24"/>
                <w:lang w:eastAsia="zh-CN"/>
              </w:rPr>
            </w:pPr>
          </w:p>
          <w:p w14:paraId="5D8D70C9" w14:textId="77777777" w:rsidR="00675AD8" w:rsidRPr="00BF0D71" w:rsidRDefault="00675AD8" w:rsidP="00CC1389">
            <w:pPr>
              <w:spacing w:after="120" w:line="240" w:lineRule="auto"/>
              <w:rPr>
                <w:szCs w:val="24"/>
                <w:lang w:eastAsia="zh-CN"/>
              </w:rPr>
            </w:pPr>
          </w:p>
          <w:p w14:paraId="162CBC1E" w14:textId="77777777" w:rsidR="00675AD8" w:rsidRPr="00BF0D71" w:rsidRDefault="00675AD8" w:rsidP="00CC1389">
            <w:pPr>
              <w:spacing w:after="120" w:line="240" w:lineRule="auto"/>
              <w:rPr>
                <w:sz w:val="28"/>
              </w:rPr>
            </w:pPr>
          </w:p>
          <w:p w14:paraId="4D39905B" w14:textId="77777777" w:rsidR="00675AD8" w:rsidRPr="00BF0D71" w:rsidRDefault="00675AD8" w:rsidP="00CC1389">
            <w:pPr>
              <w:overflowPunct/>
              <w:spacing w:after="120" w:line="240" w:lineRule="auto"/>
              <w:textAlignment w:val="auto"/>
              <w:rPr>
                <w:szCs w:val="24"/>
                <w:lang w:eastAsia="zh-CN"/>
              </w:rPr>
            </w:pPr>
            <w:r w:rsidRPr="00BF0D71">
              <w:rPr>
                <w:b/>
              </w:rPr>
              <w:t>Marche à suivre proposée</w:t>
            </w:r>
          </w:p>
          <w:p w14:paraId="3463DB82" w14:textId="77777777" w:rsidR="00675AD8" w:rsidRPr="00BF0D71" w:rsidRDefault="00675AD8" w:rsidP="00CC1389">
            <w:pPr>
              <w:overflowPunct/>
              <w:spacing w:after="120" w:line="240" w:lineRule="auto"/>
              <w:textAlignment w:val="auto"/>
              <w:rPr>
                <w:szCs w:val="24"/>
                <w:lang w:eastAsia="zh-CN"/>
              </w:rPr>
            </w:pPr>
          </w:p>
          <w:p w14:paraId="75E8EC01" w14:textId="77777777" w:rsidR="00675AD8" w:rsidRPr="00BF0D71" w:rsidRDefault="00675AD8" w:rsidP="00CC1389">
            <w:pPr>
              <w:overflowPunct/>
              <w:spacing w:after="120" w:line="240" w:lineRule="auto"/>
              <w:textAlignment w:val="auto"/>
              <w:rPr>
                <w:szCs w:val="24"/>
                <w:lang w:eastAsia="zh-CN"/>
              </w:rPr>
            </w:pPr>
          </w:p>
          <w:p w14:paraId="03B2E425" w14:textId="77777777" w:rsidR="00675AD8" w:rsidRPr="00BF0D71" w:rsidRDefault="00675AD8" w:rsidP="00CC1389">
            <w:pPr>
              <w:overflowPunct/>
              <w:spacing w:after="120" w:line="240" w:lineRule="auto"/>
              <w:textAlignment w:val="auto"/>
              <w:rPr>
                <w:szCs w:val="24"/>
                <w:lang w:eastAsia="zh-CN"/>
              </w:rPr>
            </w:pPr>
          </w:p>
          <w:p w14:paraId="00E703A3" w14:textId="77777777" w:rsidR="00675AD8" w:rsidRPr="00BF0D71" w:rsidRDefault="00675AD8" w:rsidP="00CC1389">
            <w:pPr>
              <w:spacing w:before="240" w:after="240" w:line="240" w:lineRule="auto"/>
              <w:rPr>
                <w:b/>
                <w:bCs/>
              </w:rPr>
            </w:pPr>
          </w:p>
        </w:tc>
      </w:tr>
      <w:bookmarkEnd w:id="23"/>
    </w:tbl>
    <w:p w14:paraId="787284B0" w14:textId="77777777" w:rsidR="00675AD8" w:rsidRPr="00BF0D71" w:rsidRDefault="00675AD8" w:rsidP="00675AD8">
      <w:pPr>
        <w:spacing w:line="240" w:lineRule="auto"/>
      </w:pPr>
      <w:r w:rsidRPr="00BF0D71">
        <w:br w:type="page"/>
      </w:r>
    </w:p>
    <w:tbl>
      <w:tblPr>
        <w:tblStyle w:val="TableGrid"/>
        <w:tblW w:w="10060" w:type="dxa"/>
        <w:tblLook w:val="04A0" w:firstRow="1" w:lastRow="0" w:firstColumn="1" w:lastColumn="0" w:noHBand="0" w:noVBand="1"/>
      </w:tblPr>
      <w:tblGrid>
        <w:gridCol w:w="10060"/>
      </w:tblGrid>
      <w:tr w:rsidR="00675AD8" w:rsidRPr="00BF0D71" w14:paraId="61BEA7AA" w14:textId="77777777" w:rsidTr="00CC1389">
        <w:tc>
          <w:tcPr>
            <w:tcW w:w="10060" w:type="dxa"/>
            <w:tcBorders>
              <w:top w:val="single" w:sz="4" w:space="0" w:color="auto"/>
            </w:tcBorders>
          </w:tcPr>
          <w:p w14:paraId="5C59544A" w14:textId="454C7C2C" w:rsidR="00675AD8" w:rsidRPr="00BF0D71" w:rsidRDefault="00675AD8" w:rsidP="00CC1389">
            <w:pPr>
              <w:spacing w:line="240" w:lineRule="auto"/>
              <w:jc w:val="center"/>
            </w:pPr>
            <w:bookmarkStart w:id="24" w:name="_Hlk40363617"/>
            <w:r w:rsidRPr="00BF0D71">
              <w:rPr>
                <w:b/>
                <w:bCs/>
              </w:rPr>
              <w:lastRenderedPageBreak/>
              <w:t xml:space="preserve">Les contributions doivent être envoyées </w:t>
            </w:r>
            <w:r w:rsidRPr="00BF0D71">
              <w:t xml:space="preserve">au secrétariat du Conseil de l'UIT </w:t>
            </w:r>
            <w:r w:rsidR="00F00B7E" w:rsidRPr="00BF0D71">
              <w:br/>
            </w:r>
            <w:r w:rsidRPr="00BF0D71">
              <w:rPr>
                <w:b/>
                <w:bCs/>
              </w:rPr>
              <w:t>d'ici au 29 mai 2020</w:t>
            </w:r>
            <w:r w:rsidRPr="00BF0D71">
              <w:t xml:space="preserve"> à l'adresse suivante:</w:t>
            </w:r>
          </w:p>
          <w:p w14:paraId="6A037A90" w14:textId="77777777" w:rsidR="00675AD8" w:rsidRPr="00BF0D71" w:rsidRDefault="002C6631" w:rsidP="00CC1389">
            <w:pPr>
              <w:spacing w:after="120" w:line="240" w:lineRule="auto"/>
              <w:jc w:val="center"/>
              <w:rPr>
                <w:rStyle w:val="Hyperlink"/>
                <w:b/>
                <w:bCs/>
              </w:rPr>
            </w:pPr>
            <w:hyperlink r:id="rId12" w:history="1">
              <w:r w:rsidR="00675AD8" w:rsidRPr="00BF0D71">
                <w:rPr>
                  <w:rStyle w:val="Hyperlink"/>
                  <w:b/>
                  <w:bCs/>
                </w:rPr>
                <w:t>contributions@itu.int</w:t>
              </w:r>
            </w:hyperlink>
          </w:p>
          <w:p w14:paraId="2281E4CB" w14:textId="3B3F5AEF" w:rsidR="00675AD8" w:rsidRPr="00BF0D71" w:rsidRDefault="00675AD8" w:rsidP="00CC1389">
            <w:pPr>
              <w:spacing w:after="120" w:line="240" w:lineRule="auto"/>
              <w:jc w:val="center"/>
            </w:pPr>
            <w:r w:rsidRPr="00BF0D71">
              <w:t xml:space="preserve">Si une contribution est soumise par plusieurs États Membres, veuillez vous assurer que le(s) coordonnateur(s) de chaque État Membre figure(nt) en copie du message envoyé au </w:t>
            </w:r>
            <w:r w:rsidR="00F00B7E" w:rsidRPr="00BF0D71">
              <w:t>S</w:t>
            </w:r>
            <w:r w:rsidRPr="00BF0D71">
              <w:t>ecrétariat du Conseil de l'UIT.</w:t>
            </w:r>
          </w:p>
          <w:p w14:paraId="6C330A99" w14:textId="77777777" w:rsidR="00675AD8" w:rsidRPr="00BF0D71" w:rsidRDefault="00675AD8" w:rsidP="00CC1389">
            <w:pPr>
              <w:spacing w:after="120" w:line="240" w:lineRule="auto"/>
              <w:jc w:val="center"/>
            </w:pPr>
            <w:r w:rsidRPr="00BF0D71">
              <w:t xml:space="preserve">À toutes fins utiles, la liste des coordonnateurs des États Membres de l'UIT est accessible </w:t>
            </w:r>
            <w:hyperlink r:id="rId13" w:history="1">
              <w:r w:rsidRPr="00BF0D71">
                <w:rPr>
                  <w:rStyle w:val="Hyperlink"/>
                  <w:b/>
                  <w:bCs/>
                </w:rPr>
                <w:t>ici</w:t>
              </w:r>
            </w:hyperlink>
            <w:r w:rsidRPr="00BF0D71">
              <w:t>.</w:t>
            </w:r>
          </w:p>
          <w:p w14:paraId="7D2A7B07" w14:textId="77777777" w:rsidR="00675AD8" w:rsidRPr="00BF0D71" w:rsidRDefault="00675AD8" w:rsidP="00CC1389">
            <w:pPr>
              <w:spacing w:after="120" w:line="240" w:lineRule="auto"/>
              <w:jc w:val="center"/>
            </w:pPr>
          </w:p>
        </w:tc>
      </w:tr>
    </w:tbl>
    <w:bookmarkEnd w:id="24"/>
    <w:p w14:paraId="6A3302CA" w14:textId="77777777" w:rsidR="00675AD8" w:rsidRPr="00BF0D71" w:rsidRDefault="00675AD8" w:rsidP="00675AD8">
      <w:pPr>
        <w:spacing w:before="360" w:line="240" w:lineRule="auto"/>
        <w:jc w:val="center"/>
      </w:pPr>
      <w:r w:rsidRPr="00BF0D71">
        <w:t>______________</w:t>
      </w:r>
    </w:p>
    <w:sectPr w:rsidR="00675AD8" w:rsidRPr="00BF0D71" w:rsidSect="000A249C">
      <w:headerReference w:type="default" r:id="rId14"/>
      <w:headerReference w:type="first" r:id="rId15"/>
      <w:footerReference w:type="first" r:id="rId16"/>
      <w:pgSz w:w="11907" w:h="16834" w:code="9"/>
      <w:pgMar w:top="1418" w:right="1134" w:bottom="1418" w:left="113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AAB76" w14:textId="77777777" w:rsidR="002C6631" w:rsidRDefault="002C6631">
      <w:r>
        <w:separator/>
      </w:r>
    </w:p>
  </w:endnote>
  <w:endnote w:type="continuationSeparator" w:id="0">
    <w:p w14:paraId="2DAAC9F3" w14:textId="77777777" w:rsidR="002C6631" w:rsidRDefault="002C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BF90F" w14:textId="04609CD3" w:rsidR="0022549B" w:rsidRDefault="0022549B" w:rsidP="00D82A91">
    <w:pPr>
      <w:pStyle w:val="Footer"/>
      <w:spacing w:line="240" w:lineRule="auto"/>
      <w:jc w:val="center"/>
    </w:pPr>
    <w:r w:rsidRPr="00877C1B">
      <w:rPr>
        <w:color w:val="3E8EDE"/>
        <w:sz w:val="18"/>
        <w:szCs w:val="18"/>
        <w:lang w:val="fr-CH"/>
      </w:rPr>
      <w:t xml:space="preserve">Union internationale des télécommunications </w:t>
    </w:r>
    <w:r w:rsidRPr="00FB65BC">
      <w:rPr>
        <w:color w:val="3E8EDE"/>
        <w:sz w:val="18"/>
        <w:szCs w:val="18"/>
        <w:lang w:val="fr-CH"/>
      </w:rPr>
      <w:t>•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 xml:space="preserve">1211 </w:t>
    </w:r>
    <w:r w:rsidRPr="00877C1B">
      <w:rPr>
        <w:color w:val="3E8EDE"/>
        <w:sz w:val="18"/>
        <w:szCs w:val="18"/>
        <w:lang w:val="fr-CH"/>
      </w:rPr>
      <w:t xml:space="preserve">Genève </w:t>
    </w:r>
    <w:r w:rsidRPr="00FB65BC">
      <w:rPr>
        <w:color w:val="3E8EDE"/>
        <w:sz w:val="18"/>
        <w:szCs w:val="18"/>
        <w:lang w:val="fr-CH"/>
      </w:rPr>
      <w:t>20</w:t>
    </w:r>
    <w:r>
      <w:rPr>
        <w:color w:val="3E8EDE"/>
        <w:sz w:val="18"/>
        <w:szCs w:val="18"/>
        <w:lang w:val="fr-CH"/>
      </w:rPr>
      <w:t>,</w:t>
    </w:r>
    <w:r w:rsidRPr="00FB65BC">
      <w:rPr>
        <w:color w:val="3E8EDE"/>
        <w:sz w:val="18"/>
        <w:szCs w:val="18"/>
        <w:lang w:val="fr-CH"/>
      </w:rPr>
      <w:t xml:space="preserve"> </w:t>
    </w:r>
    <w:r w:rsidRPr="00877C1B">
      <w:rPr>
        <w:color w:val="3E8EDE"/>
        <w:sz w:val="18"/>
        <w:szCs w:val="18"/>
        <w:lang w:val="fr-CH"/>
      </w:rPr>
      <w:t>Suisse</w:t>
    </w:r>
    <w:r w:rsidRPr="00FB65BC">
      <w:rPr>
        <w:color w:val="3E8EDE"/>
        <w:sz w:val="18"/>
        <w:szCs w:val="18"/>
        <w:lang w:val="fr-CH"/>
      </w:rPr>
      <w:br/>
      <w:t>T</w:t>
    </w:r>
    <w:r>
      <w:rPr>
        <w:color w:val="3E8EDE"/>
        <w:sz w:val="18"/>
        <w:szCs w:val="18"/>
        <w:lang w:val="fr-CH"/>
      </w:rPr>
      <w:t>é</w:t>
    </w:r>
    <w:r w:rsidRPr="00FB65BC">
      <w:rPr>
        <w:color w:val="3E8EDE"/>
        <w:sz w:val="18"/>
        <w:szCs w:val="18"/>
        <w:lang w:val="fr-CH"/>
      </w:rPr>
      <w:t xml:space="preserve">l: +41 22 730 5111 • Fax: +41 22 733 7256 • </w:t>
    </w:r>
    <w:r w:rsidRPr="00877C1B">
      <w:rPr>
        <w:color w:val="3E8EDE"/>
        <w:sz w:val="18"/>
        <w:szCs w:val="18"/>
        <w:lang w:val="fr-CH"/>
      </w:rPr>
      <w:t>Courriel</w:t>
    </w:r>
    <w:r w:rsidRPr="00FB65BC">
      <w:rPr>
        <w:color w:val="3E8EDE"/>
        <w:sz w:val="18"/>
        <w:szCs w:val="18"/>
        <w:lang w:val="fr-CH"/>
      </w:rPr>
      <w:t xml:space="preserve">: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55DAF" w14:textId="77777777" w:rsidR="002C6631" w:rsidRDefault="002C6631">
      <w:r>
        <w:t>____________________</w:t>
      </w:r>
    </w:p>
  </w:footnote>
  <w:footnote w:type="continuationSeparator" w:id="0">
    <w:p w14:paraId="31935373" w14:textId="77777777" w:rsidR="002C6631" w:rsidRDefault="002C6631">
      <w:r>
        <w:continuationSeparator/>
      </w:r>
    </w:p>
  </w:footnote>
  <w:footnote w:id="1">
    <w:p w14:paraId="6209C7D9" w14:textId="7D466E9B" w:rsidR="0022549B" w:rsidRPr="00FD6F62" w:rsidRDefault="0022549B" w:rsidP="00D747DB">
      <w:pPr>
        <w:pStyle w:val="FootnoteText"/>
        <w:jc w:val="left"/>
      </w:pPr>
      <w:r>
        <w:rPr>
          <w:rStyle w:val="FootnoteReference"/>
        </w:rPr>
        <w:footnoteRef/>
      </w:r>
      <w:r>
        <w:tab/>
      </w:r>
      <w:r w:rsidRPr="004431FE">
        <w:t xml:space="preserve">Interprefy est une plate-forme d'interprétation simultanée à distance pour les réunions multilingues </w:t>
      </w:r>
      <w:r>
        <w:t>sur place et en ligne. Il s'agit d'une</w:t>
      </w:r>
      <w:r w:rsidRPr="004431FE">
        <w:t xml:space="preserve"> plate-forme informatique en nuage</w:t>
      </w:r>
      <w:r>
        <w:t xml:space="preserve"> qui permet aux interprètes </w:t>
      </w:r>
      <w:r w:rsidRPr="00FD6F62">
        <w:t>de fournir des services d'interprétation où qu'ils soient et à tout moment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7233723"/>
      <w:docPartObj>
        <w:docPartGallery w:val="Page Numbers (Top of Page)"/>
        <w:docPartUnique/>
      </w:docPartObj>
    </w:sdtPr>
    <w:sdtEndPr>
      <w:rPr>
        <w:noProof/>
        <w:sz w:val="18"/>
        <w:szCs w:val="18"/>
      </w:rPr>
    </w:sdtEndPr>
    <w:sdtContent>
      <w:p w14:paraId="1C302771" w14:textId="24818F16" w:rsidR="0022549B" w:rsidRDefault="0022549B">
        <w:pPr>
          <w:pStyle w:val="Header"/>
          <w:jc w:val="center"/>
        </w:pPr>
        <w:r w:rsidRPr="00D82A91">
          <w:rPr>
            <w:sz w:val="18"/>
            <w:szCs w:val="18"/>
          </w:rPr>
          <w:fldChar w:fldCharType="begin"/>
        </w:r>
        <w:r w:rsidRPr="00D82A91">
          <w:rPr>
            <w:sz w:val="18"/>
            <w:szCs w:val="18"/>
          </w:rPr>
          <w:instrText xml:space="preserve"> PAGE   \* MERGEFORMAT </w:instrText>
        </w:r>
        <w:r w:rsidRPr="00D82A91">
          <w:rPr>
            <w:sz w:val="18"/>
            <w:szCs w:val="18"/>
          </w:rPr>
          <w:fldChar w:fldCharType="separate"/>
        </w:r>
        <w:r w:rsidRPr="00D82A91">
          <w:rPr>
            <w:noProof/>
            <w:sz w:val="18"/>
            <w:szCs w:val="18"/>
          </w:rPr>
          <w:t>2</w:t>
        </w:r>
        <w:r w:rsidRPr="00D82A91">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2549B" w14:paraId="79BB2A08" w14:textId="77777777" w:rsidTr="00CC1389">
      <w:tc>
        <w:tcPr>
          <w:tcW w:w="9923" w:type="dxa"/>
        </w:tcPr>
        <w:p w14:paraId="6BCEDB2C" w14:textId="77777777" w:rsidR="0022549B" w:rsidRDefault="0022549B" w:rsidP="008A6E3D">
          <w:pPr>
            <w:pStyle w:val="Header"/>
            <w:tabs>
              <w:tab w:val="clear" w:pos="794"/>
              <w:tab w:val="clear" w:pos="4820"/>
            </w:tabs>
            <w:spacing w:before="120" w:line="360" w:lineRule="auto"/>
            <w:jc w:val="center"/>
          </w:pPr>
          <w:r>
            <w:rPr>
              <w:noProof/>
              <w:lang w:val="en-GB" w:eastAsia="zh-CN"/>
            </w:rPr>
            <w:drawing>
              <wp:inline distT="0" distB="0" distL="0" distR="0" wp14:anchorId="1C486946" wp14:editId="20FB595B">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6AEC014B" w14:textId="77777777" w:rsidR="0022549B" w:rsidRPr="00940351" w:rsidRDefault="0022549B" w:rsidP="008A6E3D">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A5709E"/>
    <w:multiLevelType w:val="hybridMultilevel"/>
    <w:tmpl w:val="6F8CE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7F504D"/>
    <w:multiLevelType w:val="hybridMultilevel"/>
    <w:tmpl w:val="D7BA9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9C7E89"/>
    <w:multiLevelType w:val="hybridMultilevel"/>
    <w:tmpl w:val="82B01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EF278C"/>
    <w:multiLevelType w:val="hybridMultilevel"/>
    <w:tmpl w:val="B9A2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161AC"/>
    <w:multiLevelType w:val="hybridMultilevel"/>
    <w:tmpl w:val="4934C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7F460D"/>
    <w:multiLevelType w:val="hybridMultilevel"/>
    <w:tmpl w:val="5B0AE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91126"/>
    <w:multiLevelType w:val="hybridMultilevel"/>
    <w:tmpl w:val="2BC0F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0"/>
  </w:num>
  <w:num w:numId="4">
    <w:abstractNumId w:val="5"/>
  </w:num>
  <w:num w:numId="5">
    <w:abstractNumId w:val="8"/>
  </w:num>
  <w:num w:numId="6">
    <w:abstractNumId w:val="7"/>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 w:name="dgnword-docGUID" w:val="{0EF5AAA3-361C-42B1-9825-DEA5A656D648}"/>
    <w:docVar w:name="dgnword-eventsink" w:val="2611422214336"/>
  </w:docVars>
  <w:rsids>
    <w:rsidRoot w:val="000A249C"/>
    <w:rsid w:val="000032FB"/>
    <w:rsid w:val="00010E30"/>
    <w:rsid w:val="00026CF8"/>
    <w:rsid w:val="000479AD"/>
    <w:rsid w:val="00070258"/>
    <w:rsid w:val="00072C3E"/>
    <w:rsid w:val="0007323C"/>
    <w:rsid w:val="0008311E"/>
    <w:rsid w:val="00086D03"/>
    <w:rsid w:val="000A249C"/>
    <w:rsid w:val="000A7051"/>
    <w:rsid w:val="000B7CE2"/>
    <w:rsid w:val="000C03C7"/>
    <w:rsid w:val="000E3DEE"/>
    <w:rsid w:val="000E4B79"/>
    <w:rsid w:val="000F674D"/>
    <w:rsid w:val="00100CFC"/>
    <w:rsid w:val="0010107B"/>
    <w:rsid w:val="00103C76"/>
    <w:rsid w:val="0011265F"/>
    <w:rsid w:val="00152A1D"/>
    <w:rsid w:val="00173FCD"/>
    <w:rsid w:val="00174BD1"/>
    <w:rsid w:val="00177CFB"/>
    <w:rsid w:val="001856F0"/>
    <w:rsid w:val="00196710"/>
    <w:rsid w:val="00197324"/>
    <w:rsid w:val="00197DCF"/>
    <w:rsid w:val="001A37CA"/>
    <w:rsid w:val="001A696C"/>
    <w:rsid w:val="001B5841"/>
    <w:rsid w:val="001B7139"/>
    <w:rsid w:val="001D7070"/>
    <w:rsid w:val="001D7163"/>
    <w:rsid w:val="001E04A3"/>
    <w:rsid w:val="001F5A49"/>
    <w:rsid w:val="00201097"/>
    <w:rsid w:val="00201B6E"/>
    <w:rsid w:val="002072AF"/>
    <w:rsid w:val="002222CE"/>
    <w:rsid w:val="0022549B"/>
    <w:rsid w:val="002345D4"/>
    <w:rsid w:val="00235A29"/>
    <w:rsid w:val="00243A9F"/>
    <w:rsid w:val="002537B1"/>
    <w:rsid w:val="0026128B"/>
    <w:rsid w:val="00276B8B"/>
    <w:rsid w:val="002861E6"/>
    <w:rsid w:val="002C6631"/>
    <w:rsid w:val="002E0007"/>
    <w:rsid w:val="002E18CE"/>
    <w:rsid w:val="002E23BD"/>
    <w:rsid w:val="002E4095"/>
    <w:rsid w:val="002F00B0"/>
    <w:rsid w:val="002F0890"/>
    <w:rsid w:val="002F257F"/>
    <w:rsid w:val="003169E3"/>
    <w:rsid w:val="003211CE"/>
    <w:rsid w:val="00330AC7"/>
    <w:rsid w:val="003370B8"/>
    <w:rsid w:val="003476DD"/>
    <w:rsid w:val="00361E97"/>
    <w:rsid w:val="003666FF"/>
    <w:rsid w:val="00394448"/>
    <w:rsid w:val="003A4DF2"/>
    <w:rsid w:val="003B2BDA"/>
    <w:rsid w:val="003B49D6"/>
    <w:rsid w:val="003B55EC"/>
    <w:rsid w:val="003C3E6E"/>
    <w:rsid w:val="003C4471"/>
    <w:rsid w:val="003C5B12"/>
    <w:rsid w:val="003D77E2"/>
    <w:rsid w:val="003E49B1"/>
    <w:rsid w:val="003E504F"/>
    <w:rsid w:val="00400F78"/>
    <w:rsid w:val="004326DB"/>
    <w:rsid w:val="0043682E"/>
    <w:rsid w:val="004406FA"/>
    <w:rsid w:val="004431FE"/>
    <w:rsid w:val="00467A97"/>
    <w:rsid w:val="0048049C"/>
    <w:rsid w:val="004815EB"/>
    <w:rsid w:val="00496920"/>
    <w:rsid w:val="00496F7D"/>
    <w:rsid w:val="004A5CE7"/>
    <w:rsid w:val="004A7CE3"/>
    <w:rsid w:val="004B7001"/>
    <w:rsid w:val="004B7C9A"/>
    <w:rsid w:val="004D1579"/>
    <w:rsid w:val="004D48A8"/>
    <w:rsid w:val="004E0DC4"/>
    <w:rsid w:val="004E0FB5"/>
    <w:rsid w:val="004E43BB"/>
    <w:rsid w:val="004F178E"/>
    <w:rsid w:val="00505309"/>
    <w:rsid w:val="00505C93"/>
    <w:rsid w:val="0050789B"/>
    <w:rsid w:val="00510C3D"/>
    <w:rsid w:val="00517AF2"/>
    <w:rsid w:val="005334AE"/>
    <w:rsid w:val="00543DF8"/>
    <w:rsid w:val="00546101"/>
    <w:rsid w:val="00553DD7"/>
    <w:rsid w:val="00570E5B"/>
    <w:rsid w:val="0057469A"/>
    <w:rsid w:val="005755B5"/>
    <w:rsid w:val="00580814"/>
    <w:rsid w:val="005A03A3"/>
    <w:rsid w:val="005A4850"/>
    <w:rsid w:val="005B214C"/>
    <w:rsid w:val="005E6F4B"/>
    <w:rsid w:val="005F5168"/>
    <w:rsid w:val="00602CF9"/>
    <w:rsid w:val="00602D53"/>
    <w:rsid w:val="0060582B"/>
    <w:rsid w:val="00610A14"/>
    <w:rsid w:val="0062116C"/>
    <w:rsid w:val="00646CC4"/>
    <w:rsid w:val="00651777"/>
    <w:rsid w:val="00671E64"/>
    <w:rsid w:val="006741C3"/>
    <w:rsid w:val="00675AD8"/>
    <w:rsid w:val="00675C2A"/>
    <w:rsid w:val="00691768"/>
    <w:rsid w:val="00691AA6"/>
    <w:rsid w:val="006950CF"/>
    <w:rsid w:val="006B0590"/>
    <w:rsid w:val="006B3F27"/>
    <w:rsid w:val="006B49DA"/>
    <w:rsid w:val="00700C3C"/>
    <w:rsid w:val="00712969"/>
    <w:rsid w:val="007234B1"/>
    <w:rsid w:val="00730B9A"/>
    <w:rsid w:val="00747C88"/>
    <w:rsid w:val="00757B2B"/>
    <w:rsid w:val="00757EEE"/>
    <w:rsid w:val="00784DA2"/>
    <w:rsid w:val="007921A7"/>
    <w:rsid w:val="007B3DB1"/>
    <w:rsid w:val="007B70B8"/>
    <w:rsid w:val="007D183E"/>
    <w:rsid w:val="007E2826"/>
    <w:rsid w:val="007E3F13"/>
    <w:rsid w:val="007E6AB2"/>
    <w:rsid w:val="00800012"/>
    <w:rsid w:val="0081513E"/>
    <w:rsid w:val="0083382E"/>
    <w:rsid w:val="00854131"/>
    <w:rsid w:val="0085652D"/>
    <w:rsid w:val="00874166"/>
    <w:rsid w:val="0087694B"/>
    <w:rsid w:val="00877C1B"/>
    <w:rsid w:val="0088293A"/>
    <w:rsid w:val="00895538"/>
    <w:rsid w:val="008A045D"/>
    <w:rsid w:val="008A5961"/>
    <w:rsid w:val="008A6E3D"/>
    <w:rsid w:val="008D02E8"/>
    <w:rsid w:val="008D08FF"/>
    <w:rsid w:val="008D4685"/>
    <w:rsid w:val="008F4F21"/>
    <w:rsid w:val="00904D4A"/>
    <w:rsid w:val="009140CA"/>
    <w:rsid w:val="009151BA"/>
    <w:rsid w:val="00916BC8"/>
    <w:rsid w:val="009277BC"/>
    <w:rsid w:val="00927D57"/>
    <w:rsid w:val="00940351"/>
    <w:rsid w:val="00954E4E"/>
    <w:rsid w:val="00963D9D"/>
    <w:rsid w:val="00981B54"/>
    <w:rsid w:val="009842C3"/>
    <w:rsid w:val="009A6BB6"/>
    <w:rsid w:val="009C161F"/>
    <w:rsid w:val="009E2358"/>
    <w:rsid w:val="009E4AEC"/>
    <w:rsid w:val="009E5BD8"/>
    <w:rsid w:val="009E5F24"/>
    <w:rsid w:val="009E681E"/>
    <w:rsid w:val="009F69E4"/>
    <w:rsid w:val="00A22F9F"/>
    <w:rsid w:val="00A34D6F"/>
    <w:rsid w:val="00A3794C"/>
    <w:rsid w:val="00A41F91"/>
    <w:rsid w:val="00A7494A"/>
    <w:rsid w:val="00A963DF"/>
    <w:rsid w:val="00AC3896"/>
    <w:rsid w:val="00AC3F9B"/>
    <w:rsid w:val="00AF06E1"/>
    <w:rsid w:val="00AF3325"/>
    <w:rsid w:val="00B015B1"/>
    <w:rsid w:val="00B04DE2"/>
    <w:rsid w:val="00B25074"/>
    <w:rsid w:val="00B34CF9"/>
    <w:rsid w:val="00B5204C"/>
    <w:rsid w:val="00B83793"/>
    <w:rsid w:val="00B8709D"/>
    <w:rsid w:val="00B90C45"/>
    <w:rsid w:val="00B933BE"/>
    <w:rsid w:val="00BA03DB"/>
    <w:rsid w:val="00BA6C35"/>
    <w:rsid w:val="00BD7E5E"/>
    <w:rsid w:val="00BE055F"/>
    <w:rsid w:val="00BE6574"/>
    <w:rsid w:val="00BF0D71"/>
    <w:rsid w:val="00BF5932"/>
    <w:rsid w:val="00C0440F"/>
    <w:rsid w:val="00C43807"/>
    <w:rsid w:val="00C57E2C"/>
    <w:rsid w:val="00C608B7"/>
    <w:rsid w:val="00C62436"/>
    <w:rsid w:val="00C66F24"/>
    <w:rsid w:val="00C85E63"/>
    <w:rsid w:val="00C9291E"/>
    <w:rsid w:val="00CA3F44"/>
    <w:rsid w:val="00CA4E58"/>
    <w:rsid w:val="00CB3771"/>
    <w:rsid w:val="00CB5153"/>
    <w:rsid w:val="00CC1389"/>
    <w:rsid w:val="00CE0CE1"/>
    <w:rsid w:val="00CE2753"/>
    <w:rsid w:val="00CE685A"/>
    <w:rsid w:val="00CF4AAC"/>
    <w:rsid w:val="00D05364"/>
    <w:rsid w:val="00D10BA0"/>
    <w:rsid w:val="00D20741"/>
    <w:rsid w:val="00D225E9"/>
    <w:rsid w:val="00D24EB5"/>
    <w:rsid w:val="00D26CFB"/>
    <w:rsid w:val="00D41571"/>
    <w:rsid w:val="00D416A0"/>
    <w:rsid w:val="00D47672"/>
    <w:rsid w:val="00D5123C"/>
    <w:rsid w:val="00D55560"/>
    <w:rsid w:val="00D55CE4"/>
    <w:rsid w:val="00D61C5A"/>
    <w:rsid w:val="00D747DB"/>
    <w:rsid w:val="00D82A91"/>
    <w:rsid w:val="00D91B42"/>
    <w:rsid w:val="00DA5CA6"/>
    <w:rsid w:val="00DE66A5"/>
    <w:rsid w:val="00DF2B50"/>
    <w:rsid w:val="00E04C86"/>
    <w:rsid w:val="00E14BA3"/>
    <w:rsid w:val="00E20F30"/>
    <w:rsid w:val="00E27BBA"/>
    <w:rsid w:val="00E35E8F"/>
    <w:rsid w:val="00E438E8"/>
    <w:rsid w:val="00E520E2"/>
    <w:rsid w:val="00E64254"/>
    <w:rsid w:val="00E90908"/>
    <w:rsid w:val="00E94518"/>
    <w:rsid w:val="00EA15B3"/>
    <w:rsid w:val="00EA5DAB"/>
    <w:rsid w:val="00EB2358"/>
    <w:rsid w:val="00EB3EB8"/>
    <w:rsid w:val="00EB5B24"/>
    <w:rsid w:val="00EC16FD"/>
    <w:rsid w:val="00EC282E"/>
    <w:rsid w:val="00EC69FC"/>
    <w:rsid w:val="00ED73BA"/>
    <w:rsid w:val="00F00B7E"/>
    <w:rsid w:val="00F26FBA"/>
    <w:rsid w:val="00F468C5"/>
    <w:rsid w:val="00F52F39"/>
    <w:rsid w:val="00F55EF6"/>
    <w:rsid w:val="00F60EDB"/>
    <w:rsid w:val="00F723FD"/>
    <w:rsid w:val="00F914DD"/>
    <w:rsid w:val="00FA2358"/>
    <w:rsid w:val="00FA6862"/>
    <w:rsid w:val="00FB2592"/>
    <w:rsid w:val="00FB2810"/>
    <w:rsid w:val="00FB6A68"/>
    <w:rsid w:val="00FB6F0B"/>
    <w:rsid w:val="00FC2947"/>
    <w:rsid w:val="00FD6F62"/>
    <w:rsid w:val="00FE0818"/>
    <w:rsid w:val="00FE537D"/>
    <w:rsid w:val="00FE5A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339DF"/>
  <w15:docId w15:val="{FB9B6402-A2C6-4607-B8FF-D55CB004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aliases w:val="ACMA 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9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A249C"/>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character" w:customStyle="1" w:styleId="NormalaftertitleChar">
    <w:name w:val="Normal after title Char"/>
    <w:link w:val="Normalaftertitle0"/>
    <w:locked/>
    <w:rsid w:val="000A249C"/>
    <w:rPr>
      <w:rFonts w:ascii="Times New Roman" w:hAnsi="Times New Roman" w:cs="Times New Roman"/>
      <w:sz w:val="24"/>
      <w:lang w:val="en-GB" w:eastAsia="en-US"/>
    </w:rPr>
  </w:style>
  <w:style w:type="character" w:customStyle="1" w:styleId="HeaderChar">
    <w:name w:val="Header Char"/>
    <w:basedOn w:val="DefaultParagraphFont"/>
    <w:link w:val="Header"/>
    <w:uiPriority w:val="99"/>
    <w:rsid w:val="000A249C"/>
    <w:rPr>
      <w:sz w:val="22"/>
      <w:szCs w:val="22"/>
      <w:lang w:val="fr-FR" w:eastAsia="en-US"/>
    </w:rPr>
  </w:style>
  <w:style w:type="character" w:customStyle="1" w:styleId="UnresolvedMention1">
    <w:name w:val="Unresolved Mention1"/>
    <w:basedOn w:val="DefaultParagraphFont"/>
    <w:uiPriority w:val="99"/>
    <w:semiHidden/>
    <w:unhideWhenUsed/>
    <w:rsid w:val="006B3F27"/>
    <w:rPr>
      <w:color w:val="605E5C"/>
      <w:shd w:val="clear" w:color="auto" w:fill="E1DFDD"/>
    </w:rPr>
  </w:style>
  <w:style w:type="paragraph" w:styleId="ListParagraph">
    <w:name w:val="List Paragraph"/>
    <w:basedOn w:val="Normal"/>
    <w:uiPriority w:val="34"/>
    <w:qFormat/>
    <w:rsid w:val="00B5204C"/>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720"/>
      <w:jc w:val="left"/>
    </w:pPr>
    <w:rPr>
      <w:rFonts w:cs="Times New Roman"/>
      <w:sz w:val="24"/>
      <w:szCs w:val="20"/>
      <w:lang w:val="en-GB"/>
    </w:rPr>
  </w:style>
  <w:style w:type="character" w:customStyle="1" w:styleId="FootnoteTextChar">
    <w:name w:val="Footnote Text Char"/>
    <w:aliases w:val="ACMA Footnote Text Char"/>
    <w:basedOn w:val="DefaultParagraphFont"/>
    <w:link w:val="FootnoteText"/>
    <w:uiPriority w:val="99"/>
    <w:locked/>
    <w:rsid w:val="00B5204C"/>
    <w:rPr>
      <w:szCs w:val="22"/>
      <w:lang w:val="fr-FR" w:eastAsia="en-US"/>
    </w:rPr>
  </w:style>
  <w:style w:type="paragraph" w:customStyle="1" w:styleId="Char">
    <w:name w:val="Char"/>
    <w:basedOn w:val="Normal"/>
    <w:rsid w:val="005334A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sz w:val="20"/>
      <w:szCs w:val="20"/>
      <w:lang w:eastAsia="en-GB"/>
    </w:rPr>
  </w:style>
  <w:style w:type="character" w:styleId="FollowedHyperlink">
    <w:name w:val="FollowedHyperlink"/>
    <w:basedOn w:val="DefaultParagraphFont"/>
    <w:semiHidden/>
    <w:unhideWhenUsed/>
    <w:rsid w:val="008A6E3D"/>
    <w:rPr>
      <w:color w:val="800080" w:themeColor="followedHyperlink"/>
      <w:u w:val="single"/>
    </w:rPr>
  </w:style>
  <w:style w:type="character" w:styleId="UnresolvedMention">
    <w:name w:val="Unresolved Mention"/>
    <w:basedOn w:val="DefaultParagraphFont"/>
    <w:uiPriority w:val="99"/>
    <w:semiHidden/>
    <w:unhideWhenUsed/>
    <w:rsid w:val="00712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64938">
      <w:bodyDiv w:val="1"/>
      <w:marLeft w:val="0"/>
      <w:marRight w:val="0"/>
      <w:marTop w:val="0"/>
      <w:marBottom w:val="0"/>
      <w:divBdr>
        <w:top w:val="none" w:sz="0" w:space="0" w:color="auto"/>
        <w:left w:val="none" w:sz="0" w:space="0" w:color="auto"/>
        <w:bottom w:val="none" w:sz="0" w:space="0" w:color="auto"/>
        <w:right w:val="none" w:sz="0" w:space="0" w:color="auto"/>
      </w:divBdr>
    </w:div>
    <w:div w:id="20350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hyperlink" Target="https://www.itu.int/online/mm/scripts/s/gensel21?_lang=&amp;_event=C-00007451&amp;_event_typ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ibutions@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tributions@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0-DM-CIR-01004/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91E1F4E630405D87ED20F3F7AB3E34"/>
        <w:category>
          <w:name w:val="General"/>
          <w:gallery w:val="placeholder"/>
        </w:category>
        <w:types>
          <w:type w:val="bbPlcHdr"/>
        </w:types>
        <w:behaviors>
          <w:behavior w:val="content"/>
        </w:behaviors>
        <w:guid w:val="{13BEB421-550D-4D4F-8128-EF320C03D487}"/>
      </w:docPartPr>
      <w:docPartBody>
        <w:p w:rsidR="002D06D8" w:rsidRDefault="00131EAE" w:rsidP="00131EAE">
          <w:pPr>
            <w:pStyle w:val="0E91E1F4E630405D87ED20F3F7AB3E3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1EAE"/>
    <w:rsid w:val="00131EAE"/>
    <w:rsid w:val="002D06D8"/>
    <w:rsid w:val="00370418"/>
    <w:rsid w:val="0066037E"/>
    <w:rsid w:val="009406C0"/>
    <w:rsid w:val="00A9061B"/>
    <w:rsid w:val="00B5726A"/>
    <w:rsid w:val="00C93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EAE"/>
    <w:rPr>
      <w:color w:val="808080"/>
    </w:rPr>
  </w:style>
  <w:style w:type="paragraph" w:customStyle="1" w:styleId="E7E22F2BA5CF40C7AD07679A067118C2">
    <w:name w:val="E7E22F2BA5CF40C7AD07679A067118C2"/>
    <w:rsid w:val="00B5726A"/>
  </w:style>
  <w:style w:type="paragraph" w:customStyle="1" w:styleId="0E91E1F4E630405D87ED20F3F7AB3E34">
    <w:name w:val="0E91E1F4E630405D87ED20F3F7AB3E34"/>
    <w:rsid w:val="00131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01F31-34CA-4F11-BA6A-D2BF508E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3997</Words>
  <Characters>21984</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 Letter-Fax (French)</vt:lpstr>
    </vt:vector>
  </TitlesOfParts>
  <Company>ITU</Company>
  <LinksUpToDate>false</LinksUpToDate>
  <CharactersWithSpaces>25930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Chanavat, Emilie</dc:creator>
  <cp:lastModifiedBy>Maywenn</cp:lastModifiedBy>
  <cp:revision>2</cp:revision>
  <cp:lastPrinted>2010-01-19T09:33:00Z</cp:lastPrinted>
  <dcterms:created xsi:type="dcterms:W3CDTF">2020-05-15T14:20:00Z</dcterms:created>
  <dcterms:modified xsi:type="dcterms:W3CDTF">2020-05-15T14:20:00Z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