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Layout w:type="fixed"/>
        <w:tblLook w:val="0000" w:firstRow="0" w:lastRow="0" w:firstColumn="0" w:lastColumn="0" w:noHBand="0" w:noVBand="0"/>
      </w:tblPr>
      <w:tblGrid>
        <w:gridCol w:w="6096"/>
        <w:gridCol w:w="4218"/>
      </w:tblGrid>
      <w:tr w:rsidR="00AB0149" w:rsidRPr="00D613F6" w:rsidTr="009C4567">
        <w:trPr>
          <w:cantSplit/>
        </w:trPr>
        <w:tc>
          <w:tcPr>
            <w:tcW w:w="6096" w:type="dxa"/>
            <w:vAlign w:val="center"/>
          </w:tcPr>
          <w:p w:rsidR="00AB0149" w:rsidRPr="002C4079" w:rsidRDefault="00AB0149" w:rsidP="009C4567">
            <w:pPr>
              <w:rPr>
                <w:b/>
                <w:position w:val="6"/>
                <w:sz w:val="26"/>
                <w:szCs w:val="26"/>
                <w:lang w:val="en-US"/>
              </w:rPr>
            </w:pPr>
            <w:bookmarkStart w:id="0" w:name="_GoBack"/>
            <w:bookmarkEnd w:id="0"/>
            <w:r w:rsidRPr="002C4079">
              <w:rPr>
                <w:b/>
                <w:position w:val="6"/>
                <w:sz w:val="30"/>
                <w:szCs w:val="30"/>
                <w:lang w:val="en-US"/>
              </w:rPr>
              <w:t>Council Working Group on WSIS&amp;SDG</w:t>
            </w:r>
            <w:r w:rsidRPr="002C4079">
              <w:rPr>
                <w:b/>
                <w:position w:val="6"/>
                <w:sz w:val="30"/>
                <w:szCs w:val="30"/>
                <w:lang w:val="en-US"/>
              </w:rPr>
              <w:br/>
            </w:r>
            <w:r w:rsidRPr="002C4079">
              <w:rPr>
                <w:rFonts w:cstheme="minorHAnsi"/>
                <w:b/>
                <w:sz w:val="24"/>
                <w:szCs w:val="24"/>
                <w:lang w:val="en-US"/>
              </w:rPr>
              <w:t xml:space="preserve">35th meeting </w:t>
            </w:r>
            <w:r w:rsidRPr="002C4079">
              <w:rPr>
                <w:rFonts w:eastAsia="Calibri" w:cstheme="minorHAnsi"/>
                <w:b/>
                <w:color w:val="000000"/>
                <w:sz w:val="24"/>
                <w:szCs w:val="24"/>
                <w:lang w:val="en-US"/>
              </w:rPr>
              <w:t>–</w:t>
            </w:r>
            <w:r w:rsidRPr="002C4079">
              <w:rPr>
                <w:rFonts w:cstheme="minorHAnsi"/>
                <w:b/>
                <w:sz w:val="24"/>
                <w:szCs w:val="24"/>
                <w:lang w:val="en-US"/>
              </w:rPr>
              <w:t xml:space="preserve"> Geneva, 6-7 February 2020</w:t>
            </w:r>
          </w:p>
        </w:tc>
        <w:tc>
          <w:tcPr>
            <w:tcW w:w="4218" w:type="dxa"/>
          </w:tcPr>
          <w:p w:rsidR="00AB0149" w:rsidRPr="00D613F6" w:rsidRDefault="00AB0149" w:rsidP="009C4567">
            <w:pPr>
              <w:spacing w:before="120" w:line="240" w:lineRule="atLeast"/>
            </w:pPr>
            <w:bookmarkStart w:id="1" w:name="ditulogo"/>
            <w:bookmarkEnd w:id="1"/>
            <w:r>
              <w:rPr>
                <w:noProof/>
                <w:lang w:val="en-GB" w:eastAsia="zh-CN"/>
              </w:rPr>
              <w:drawing>
                <wp:inline distT="0" distB="0" distL="0" distR="0" wp14:anchorId="4DE2A849" wp14:editId="0B5ED835">
                  <wp:extent cx="682321"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2321" cy="720000"/>
                          </a:xfrm>
                          <a:prstGeom prst="rect">
                            <a:avLst/>
                          </a:prstGeom>
                        </pic:spPr>
                      </pic:pic>
                    </a:graphicData>
                  </a:graphic>
                </wp:inline>
              </w:drawing>
            </w:r>
          </w:p>
        </w:tc>
      </w:tr>
      <w:tr w:rsidR="00AB0149" w:rsidRPr="00D613F6" w:rsidTr="009C4567">
        <w:trPr>
          <w:cantSplit/>
        </w:trPr>
        <w:tc>
          <w:tcPr>
            <w:tcW w:w="6096" w:type="dxa"/>
            <w:tcBorders>
              <w:top w:val="single" w:sz="12" w:space="0" w:color="auto"/>
            </w:tcBorders>
          </w:tcPr>
          <w:p w:rsidR="00AB0149" w:rsidRPr="00D613F6" w:rsidRDefault="00AB0149" w:rsidP="009C4567">
            <w:pPr>
              <w:snapToGrid w:val="0"/>
              <w:rPr>
                <w:b/>
                <w:smallCaps/>
              </w:rPr>
            </w:pPr>
          </w:p>
        </w:tc>
        <w:tc>
          <w:tcPr>
            <w:tcW w:w="4218" w:type="dxa"/>
            <w:tcBorders>
              <w:top w:val="single" w:sz="12" w:space="0" w:color="auto"/>
            </w:tcBorders>
          </w:tcPr>
          <w:p w:rsidR="00AB0149" w:rsidRPr="00D613F6" w:rsidRDefault="00AB0149" w:rsidP="009C4567">
            <w:pPr>
              <w:snapToGrid w:val="0"/>
              <w:ind w:left="209"/>
              <w:rPr>
                <w:rFonts w:ascii="Verdana" w:hAnsi="Verdana"/>
              </w:rPr>
            </w:pPr>
          </w:p>
        </w:tc>
      </w:tr>
      <w:tr w:rsidR="00AB0149" w:rsidRPr="00901FEA" w:rsidTr="009C4567">
        <w:trPr>
          <w:cantSplit/>
          <w:trHeight w:val="23"/>
        </w:trPr>
        <w:tc>
          <w:tcPr>
            <w:tcW w:w="6096" w:type="dxa"/>
            <w:vMerge w:val="restart"/>
          </w:tcPr>
          <w:p w:rsidR="00AB0149" w:rsidRPr="00D613F6" w:rsidRDefault="00AB0149" w:rsidP="009C4567">
            <w:pPr>
              <w:snapToGrid w:val="0"/>
              <w:rPr>
                <w:b/>
              </w:rPr>
            </w:pPr>
          </w:p>
        </w:tc>
        <w:tc>
          <w:tcPr>
            <w:tcW w:w="4218" w:type="dxa"/>
          </w:tcPr>
          <w:p w:rsidR="00AB0149" w:rsidRPr="009C771E" w:rsidRDefault="00AB0149" w:rsidP="009C4567">
            <w:pPr>
              <w:snapToGrid w:val="0"/>
              <w:spacing w:after="0"/>
              <w:ind w:left="57"/>
              <w:rPr>
                <w:rFonts w:cstheme="minorHAnsi"/>
                <w:b/>
                <w:spacing w:val="-4"/>
                <w:lang w:val="de-CH"/>
              </w:rPr>
            </w:pPr>
            <w:r w:rsidRPr="00CA20F2">
              <w:rPr>
                <w:rFonts w:cstheme="minorHAnsi"/>
                <w:b/>
                <w:spacing w:val="-4"/>
                <w:sz w:val="24"/>
                <w:szCs w:val="24"/>
                <w:lang w:val="de-CH"/>
              </w:rPr>
              <w:t>Document CWG-WSIS&amp;SDG-3</w:t>
            </w:r>
            <w:r>
              <w:rPr>
                <w:rFonts w:cstheme="minorHAnsi"/>
                <w:b/>
                <w:spacing w:val="-4"/>
                <w:sz w:val="24"/>
                <w:szCs w:val="24"/>
                <w:lang w:val="de-CH"/>
              </w:rPr>
              <w:t>5</w:t>
            </w:r>
            <w:r w:rsidRPr="00CA20F2">
              <w:rPr>
                <w:rFonts w:cstheme="minorHAnsi"/>
                <w:b/>
                <w:spacing w:val="-4"/>
                <w:sz w:val="24"/>
                <w:szCs w:val="24"/>
                <w:lang w:val="de-CH"/>
              </w:rPr>
              <w:t>/</w:t>
            </w:r>
            <w:r w:rsidR="00DD6DF3">
              <w:rPr>
                <w:rFonts w:cstheme="minorHAnsi"/>
                <w:b/>
                <w:spacing w:val="-4"/>
                <w:sz w:val="24"/>
                <w:szCs w:val="24"/>
                <w:lang w:val="de-CH"/>
              </w:rPr>
              <w:t>11</w:t>
            </w:r>
            <w:r>
              <w:rPr>
                <w:rFonts w:cstheme="minorHAnsi"/>
                <w:b/>
                <w:spacing w:val="-4"/>
                <w:sz w:val="24"/>
                <w:szCs w:val="24"/>
                <w:lang w:val="de-CH"/>
              </w:rPr>
              <w:t>-</w:t>
            </w:r>
            <w:r w:rsidRPr="00CA20F2">
              <w:rPr>
                <w:rFonts w:cstheme="minorHAnsi"/>
                <w:b/>
                <w:spacing w:val="-4"/>
                <w:sz w:val="24"/>
                <w:szCs w:val="24"/>
                <w:lang w:val="de-CH"/>
              </w:rPr>
              <w:t>E</w:t>
            </w:r>
          </w:p>
        </w:tc>
      </w:tr>
      <w:tr w:rsidR="00AB0149" w:rsidRPr="0067204C" w:rsidTr="009C4567">
        <w:trPr>
          <w:cantSplit/>
          <w:trHeight w:val="23"/>
        </w:trPr>
        <w:tc>
          <w:tcPr>
            <w:tcW w:w="6096" w:type="dxa"/>
            <w:vMerge/>
          </w:tcPr>
          <w:p w:rsidR="00AB0149" w:rsidRPr="00D613F6" w:rsidRDefault="00AB0149" w:rsidP="009C4567">
            <w:pPr>
              <w:snapToGrid w:val="0"/>
              <w:rPr>
                <w:b/>
                <w:lang w:val="de-CH"/>
              </w:rPr>
            </w:pPr>
          </w:p>
        </w:tc>
        <w:tc>
          <w:tcPr>
            <w:tcW w:w="4218" w:type="dxa"/>
          </w:tcPr>
          <w:p w:rsidR="00AB0149" w:rsidRPr="0067204C" w:rsidRDefault="00DD6DF3" w:rsidP="009C4567">
            <w:pPr>
              <w:snapToGrid w:val="0"/>
              <w:spacing w:after="0"/>
              <w:ind w:left="57"/>
              <w:rPr>
                <w:rFonts w:cstheme="minorHAnsi"/>
                <w:b/>
                <w:sz w:val="24"/>
                <w:szCs w:val="24"/>
                <w:lang w:val="fr-FR"/>
              </w:rPr>
            </w:pPr>
            <w:r>
              <w:rPr>
                <w:rFonts w:cstheme="minorHAnsi"/>
                <w:b/>
                <w:sz w:val="24"/>
                <w:szCs w:val="24"/>
                <w:lang w:val="en-US"/>
              </w:rPr>
              <w:t xml:space="preserve">26 December </w:t>
            </w:r>
            <w:r w:rsidR="00AB0149" w:rsidRPr="002C4079">
              <w:rPr>
                <w:rFonts w:cstheme="minorHAnsi"/>
                <w:b/>
                <w:sz w:val="24"/>
                <w:szCs w:val="24"/>
                <w:lang w:val="en-US"/>
              </w:rPr>
              <w:t>2019</w:t>
            </w:r>
          </w:p>
        </w:tc>
      </w:tr>
      <w:tr w:rsidR="00AB0149" w:rsidRPr="002C4079" w:rsidTr="009C4567">
        <w:trPr>
          <w:cantSplit/>
          <w:trHeight w:val="80"/>
        </w:trPr>
        <w:tc>
          <w:tcPr>
            <w:tcW w:w="6096" w:type="dxa"/>
            <w:vMerge/>
          </w:tcPr>
          <w:p w:rsidR="00AB0149" w:rsidRPr="002C4079" w:rsidRDefault="00AB0149" w:rsidP="009C4567">
            <w:pPr>
              <w:snapToGrid w:val="0"/>
              <w:rPr>
                <w:b/>
                <w:lang w:val="en-US"/>
              </w:rPr>
            </w:pPr>
          </w:p>
        </w:tc>
        <w:tc>
          <w:tcPr>
            <w:tcW w:w="4218" w:type="dxa"/>
          </w:tcPr>
          <w:p w:rsidR="00AB0149" w:rsidRPr="002C4079" w:rsidRDefault="00AB0149" w:rsidP="009C4567">
            <w:pPr>
              <w:snapToGrid w:val="0"/>
              <w:spacing w:after="0"/>
              <w:ind w:left="57"/>
              <w:rPr>
                <w:rFonts w:cstheme="minorHAnsi"/>
                <w:b/>
                <w:sz w:val="24"/>
                <w:szCs w:val="24"/>
                <w:lang w:val="en-US"/>
              </w:rPr>
            </w:pPr>
            <w:r w:rsidRPr="002C4079">
              <w:rPr>
                <w:rFonts w:cstheme="minorHAnsi"/>
                <w:b/>
                <w:sz w:val="24"/>
                <w:szCs w:val="24"/>
                <w:lang w:val="en-US"/>
              </w:rPr>
              <w:t>English only</w:t>
            </w:r>
          </w:p>
        </w:tc>
      </w:tr>
    </w:tbl>
    <w:p w:rsidR="00AB0149" w:rsidRDefault="00AB0149" w:rsidP="00AB0149">
      <w:pPr>
        <w:rPr>
          <w:rStyle w:val="tlid-translation"/>
          <w:b/>
          <w:sz w:val="28"/>
          <w:szCs w:val="28"/>
          <w:lang w:val="en"/>
        </w:rPr>
      </w:pPr>
    </w:p>
    <w:p w:rsidR="00AB0149" w:rsidRPr="00901FEA" w:rsidRDefault="00AB0149" w:rsidP="00901FEA">
      <w:pPr>
        <w:pStyle w:val="Source"/>
        <w:spacing w:before="0" w:after="0" w:line="360" w:lineRule="auto"/>
        <w:rPr>
          <w:b/>
          <w:bCs/>
          <w:lang w:val="en-US"/>
        </w:rPr>
      </w:pPr>
      <w:r w:rsidRPr="00901FEA">
        <w:rPr>
          <w:b/>
          <w:bCs/>
          <w:lang w:val="en-US"/>
        </w:rPr>
        <w:t>Contribution by the Russian Federation</w:t>
      </w:r>
    </w:p>
    <w:p w:rsidR="00AB0149" w:rsidRPr="00901FEA" w:rsidRDefault="00AB0149" w:rsidP="00901FEA">
      <w:pPr>
        <w:pStyle w:val="ResNo"/>
        <w:spacing w:before="0" w:line="276" w:lineRule="auto"/>
        <w:rPr>
          <w:b/>
          <w:bCs/>
        </w:rPr>
      </w:pPr>
      <w:r w:rsidRPr="00901FEA">
        <w:rPr>
          <w:b/>
          <w:bCs/>
        </w:rPr>
        <w:t>implementation of the outcomes</w:t>
      </w:r>
      <w:r w:rsidRPr="00901FEA">
        <w:rPr>
          <w:rStyle w:val="tlid-translation"/>
          <w:b/>
          <w:szCs w:val="28"/>
          <w:lang w:val="en"/>
        </w:rPr>
        <w:t xml:space="preserve"> of</w:t>
      </w:r>
      <w:r w:rsidR="00901FEA" w:rsidRPr="00901FEA">
        <w:rPr>
          <w:rStyle w:val="tlid-translation"/>
          <w:b/>
          <w:szCs w:val="28"/>
          <w:lang w:val="en-US"/>
        </w:rPr>
        <w:br/>
      </w:r>
      <w:r w:rsidRPr="00901FEA">
        <w:rPr>
          <w:rStyle w:val="tlid-translation"/>
          <w:b/>
          <w:szCs w:val="28"/>
          <w:lang w:val="en"/>
        </w:rPr>
        <w:t xml:space="preserve">the World Summit on the Information Society </w:t>
      </w:r>
    </w:p>
    <w:p w:rsidR="00AB0149" w:rsidRPr="00901FEA" w:rsidRDefault="00AB0149" w:rsidP="00AB0149">
      <w:pPr>
        <w:ind w:left="2124" w:firstLine="708"/>
        <w:rPr>
          <w:rFonts w:ascii="Calibri" w:eastAsia="Times New Roman" w:hAnsi="Calibri" w:cs="Times New Roman"/>
          <w:b/>
          <w:bCs/>
          <w:caps/>
          <w:sz w:val="28"/>
          <w:szCs w:val="20"/>
          <w:lang w:val="en-GB"/>
        </w:rPr>
      </w:pPr>
      <w:r w:rsidRPr="00901FEA">
        <w:rPr>
          <w:rFonts w:ascii="Calibri" w:eastAsia="Times New Roman" w:hAnsi="Calibri" w:cs="Times New Roman"/>
          <w:b/>
          <w:bCs/>
          <w:caps/>
          <w:sz w:val="28"/>
          <w:szCs w:val="20"/>
          <w:lang w:val="en-GB"/>
        </w:rPr>
        <w:t>WSIS FORUM 2020 (WSIS+15)</w:t>
      </w:r>
    </w:p>
    <w:p w:rsidR="00AB0149" w:rsidRPr="00AB0149" w:rsidRDefault="00AB0149" w:rsidP="00AB0149">
      <w:pPr>
        <w:rPr>
          <w:rStyle w:val="tlid-translation"/>
          <w:b/>
          <w:sz w:val="28"/>
          <w:szCs w:val="28"/>
          <w:lang w:val="en-US"/>
        </w:rPr>
      </w:pPr>
    </w:p>
    <w:p w:rsidR="00AB0149" w:rsidRPr="002C4079" w:rsidRDefault="00901FEA" w:rsidP="00DD6DF3">
      <w:pPr>
        <w:spacing w:after="0" w:line="240" w:lineRule="auto"/>
        <w:jc w:val="both"/>
        <w:rPr>
          <w:rStyle w:val="tlid-translation"/>
          <w:b/>
          <w:sz w:val="28"/>
          <w:szCs w:val="28"/>
          <w:lang w:val="en-US"/>
        </w:rPr>
      </w:pPr>
      <w:r w:rsidRPr="00901FEA">
        <w:rPr>
          <w:rFonts w:ascii="Calibri" w:hAnsi="Calibri" w:cstheme="majorBidi"/>
          <w:b/>
          <w:sz w:val="24"/>
          <w:szCs w:val="28"/>
          <w:lang w:val="en-US"/>
        </w:rPr>
        <w:t>I.</w:t>
      </w:r>
      <w:r w:rsidRPr="00901FEA">
        <w:rPr>
          <w:rFonts w:ascii="Calibri" w:hAnsi="Calibri" w:cstheme="majorBidi"/>
          <w:b/>
          <w:sz w:val="24"/>
          <w:szCs w:val="28"/>
          <w:lang w:val="en-US"/>
        </w:rPr>
        <w:tab/>
      </w:r>
      <w:r w:rsidR="00AB0149" w:rsidRPr="00901FEA">
        <w:rPr>
          <w:rFonts w:ascii="Calibri" w:hAnsi="Calibri" w:cstheme="majorBidi"/>
          <w:b/>
          <w:sz w:val="24"/>
          <w:lang w:val="en-US"/>
        </w:rPr>
        <w:t>Introduction</w:t>
      </w:r>
    </w:p>
    <w:p w:rsidR="00AB0149" w:rsidRPr="00901FEA" w:rsidRDefault="00AB0149" w:rsidP="00DD6DF3">
      <w:pPr>
        <w:spacing w:before="240" w:line="240" w:lineRule="auto"/>
        <w:jc w:val="both"/>
        <w:rPr>
          <w:rStyle w:val="tlid-translation"/>
          <w:sz w:val="24"/>
          <w:szCs w:val="24"/>
          <w:lang w:val="en"/>
        </w:rPr>
      </w:pPr>
      <w:r w:rsidRPr="00901FEA">
        <w:rPr>
          <w:rStyle w:val="tlid-translation"/>
          <w:sz w:val="24"/>
          <w:szCs w:val="24"/>
          <w:lang w:val="en"/>
        </w:rPr>
        <w:t>The Declaration of Principles and the Action Plan of the Geneva phase of the 2003 World Summit on the Information Society established Action lines (AL) C1 - C11 to help achieve the internationally agreed development goals.</w:t>
      </w:r>
    </w:p>
    <w:p w:rsidR="00AB0149" w:rsidRPr="00901FEA" w:rsidRDefault="00AB0149" w:rsidP="00DD6DF3">
      <w:pPr>
        <w:autoSpaceDE w:val="0"/>
        <w:autoSpaceDN w:val="0"/>
        <w:adjustRightInd w:val="0"/>
        <w:spacing w:line="240" w:lineRule="auto"/>
        <w:jc w:val="both"/>
        <w:rPr>
          <w:rStyle w:val="tlid-translation"/>
          <w:sz w:val="24"/>
          <w:szCs w:val="24"/>
          <w:lang w:val="en"/>
        </w:rPr>
      </w:pPr>
      <w:r w:rsidRPr="00901FEA">
        <w:rPr>
          <w:rStyle w:val="tlid-translation"/>
          <w:sz w:val="24"/>
          <w:szCs w:val="24"/>
          <w:lang w:val="en"/>
        </w:rPr>
        <w:t>The multi-stakeholder WSIS + 10 High-Level Event adopted by consensus of all interested parties further improvement of AL, indicating additional actions for each of 11 Action lines.</w:t>
      </w:r>
    </w:p>
    <w:p w:rsidR="00AB0149" w:rsidRPr="00901FEA" w:rsidRDefault="00AB0149" w:rsidP="00DD6DF3">
      <w:pPr>
        <w:autoSpaceDE w:val="0"/>
        <w:autoSpaceDN w:val="0"/>
        <w:adjustRightInd w:val="0"/>
        <w:spacing w:line="240" w:lineRule="auto"/>
        <w:jc w:val="both"/>
        <w:rPr>
          <w:rStyle w:val="tlid-translation"/>
          <w:sz w:val="24"/>
          <w:szCs w:val="24"/>
          <w:lang w:val="en"/>
        </w:rPr>
      </w:pPr>
      <w:r w:rsidRPr="00901FEA">
        <w:rPr>
          <w:rStyle w:val="tlid-translation"/>
          <w:sz w:val="24"/>
          <w:szCs w:val="24"/>
          <w:lang w:val="en"/>
        </w:rPr>
        <w:t xml:space="preserve">The 2020 is the year of the 15th anniversary of the Summit and the middle of the period between the 2015 High-Level Meeting of the General Assembly, dedicated to the overall review of the implementation of the WSIS outcomes, and the upcoming UNGA High-Level Meeting in 2025 on the overall review of the implementation of the outcomes of the WSIS, involving all stakeholders, to take stock of progress </w:t>
      </w:r>
      <w:r w:rsidRPr="00901FEA">
        <w:rPr>
          <w:rStyle w:val="tlid-translation"/>
          <w:sz w:val="24"/>
          <w:szCs w:val="24"/>
          <w:lang w:val="en"/>
        </w:rPr>
        <w:lastRenderedPageBreak/>
        <w:t>on the outcomes of the World Summit and identify both areas of continued focus and challenges.</w:t>
      </w:r>
    </w:p>
    <w:p w:rsidR="00AB0149" w:rsidRPr="00901FEA" w:rsidRDefault="00AB0149" w:rsidP="00DD6DF3">
      <w:pPr>
        <w:autoSpaceDE w:val="0"/>
        <w:autoSpaceDN w:val="0"/>
        <w:adjustRightInd w:val="0"/>
        <w:spacing w:line="240" w:lineRule="auto"/>
        <w:jc w:val="both"/>
        <w:rPr>
          <w:rStyle w:val="tlid-translation"/>
          <w:sz w:val="24"/>
          <w:szCs w:val="24"/>
          <w:lang w:val="en"/>
        </w:rPr>
      </w:pPr>
      <w:r w:rsidRPr="00901FEA">
        <w:rPr>
          <w:rStyle w:val="tlid-translation"/>
          <w:sz w:val="24"/>
          <w:szCs w:val="24"/>
          <w:lang w:val="en"/>
        </w:rPr>
        <w:t xml:space="preserve">It seems appropriate, in preparation for the UN GA 2025 meeting, to initiate an analysis of the implementation of activities and the results achieved in each AL </w:t>
      </w:r>
      <w:r w:rsidR="00E16460">
        <w:rPr>
          <w:rStyle w:val="tlid-translation"/>
          <w:sz w:val="24"/>
          <w:szCs w:val="24"/>
          <w:lang w:val="en"/>
        </w:rPr>
        <w:t xml:space="preserve">of </w:t>
      </w:r>
      <w:r w:rsidRPr="00901FEA">
        <w:rPr>
          <w:rStyle w:val="tlid-translation"/>
          <w:sz w:val="24"/>
          <w:szCs w:val="24"/>
          <w:lang w:val="en"/>
        </w:rPr>
        <w:t>the Action Plan, based on the annual reports of ITU and other UNGIS organizations, as well as the Partnership on Measuring ICT for Development, WSIS stocktaking database, the results of activities carried out at the regional level, with the involvement of AL facilitators for each AL, as well as of all WSIS stakeholders.</w:t>
      </w:r>
    </w:p>
    <w:p w:rsidR="00AB0149" w:rsidRPr="00901FEA" w:rsidRDefault="00AB0149" w:rsidP="00DD6DF3">
      <w:pPr>
        <w:autoSpaceDE w:val="0"/>
        <w:autoSpaceDN w:val="0"/>
        <w:adjustRightInd w:val="0"/>
        <w:spacing w:line="240" w:lineRule="auto"/>
        <w:jc w:val="both"/>
        <w:rPr>
          <w:rStyle w:val="tlid-translation"/>
          <w:sz w:val="24"/>
          <w:szCs w:val="24"/>
          <w:lang w:val="en"/>
        </w:rPr>
      </w:pPr>
      <w:r w:rsidRPr="00901FEA">
        <w:rPr>
          <w:rStyle w:val="tlid-translation"/>
          <w:sz w:val="24"/>
          <w:szCs w:val="24"/>
          <w:lang w:val="en"/>
        </w:rPr>
        <w:t>The role of the WSIS activities in achieving the Sustainable Development Goals (SDG) in accordance with the WSIS &amp; SDG Matrix should also be clearly reflected.</w:t>
      </w:r>
    </w:p>
    <w:p w:rsidR="00901FEA" w:rsidRPr="00E16460" w:rsidRDefault="00AB0149" w:rsidP="00DD6DF3">
      <w:pPr>
        <w:spacing w:line="240" w:lineRule="auto"/>
        <w:jc w:val="both"/>
        <w:rPr>
          <w:rStyle w:val="tlid-translation"/>
          <w:sz w:val="24"/>
          <w:szCs w:val="24"/>
          <w:lang w:val="en-US"/>
        </w:rPr>
      </w:pPr>
      <w:r w:rsidRPr="00901FEA">
        <w:rPr>
          <w:rStyle w:val="tlid-translation"/>
          <w:sz w:val="24"/>
          <w:szCs w:val="24"/>
          <w:lang w:val="en"/>
        </w:rPr>
        <w:t>ITU is not only the initiator of the WSIS process, but is the lead/facilitating organization for Action Lines C2 (Information and Communication Infrastructure), C5 (Building Trust and Security in the Use of ICTs) and C6 (Enabling Environment), as well as a potential partner in a number of other A</w:t>
      </w:r>
      <w:r w:rsidR="00E16460" w:rsidRPr="00901FEA">
        <w:rPr>
          <w:rStyle w:val="tlid-translation"/>
          <w:sz w:val="24"/>
          <w:szCs w:val="24"/>
          <w:lang w:val="en"/>
        </w:rPr>
        <w:t>L</w:t>
      </w:r>
      <w:r w:rsidR="00E16460" w:rsidRPr="00E16460">
        <w:rPr>
          <w:sz w:val="24"/>
          <w:szCs w:val="24"/>
          <w:lang w:val="en"/>
        </w:rPr>
        <w:t>s</w:t>
      </w:r>
      <w:r w:rsidRPr="00901FEA">
        <w:rPr>
          <w:rStyle w:val="tlid-translation"/>
          <w:sz w:val="24"/>
          <w:szCs w:val="24"/>
          <w:lang w:val="en"/>
        </w:rPr>
        <w:t xml:space="preserve"> and Chairman/Co-chairman of UN GIS.</w:t>
      </w:r>
    </w:p>
    <w:p w:rsidR="00AB0149" w:rsidRPr="00901FEA" w:rsidRDefault="00901FEA" w:rsidP="00DD6DF3">
      <w:pPr>
        <w:keepNext/>
        <w:keepLines/>
        <w:spacing w:line="240" w:lineRule="auto"/>
        <w:jc w:val="both"/>
        <w:rPr>
          <w:rStyle w:val="tlid-translation"/>
          <w:b/>
          <w:sz w:val="24"/>
          <w:szCs w:val="24"/>
          <w:lang w:val="en"/>
        </w:rPr>
      </w:pPr>
      <w:r>
        <w:rPr>
          <w:rFonts w:ascii="Calibri" w:hAnsi="Calibri" w:cstheme="majorBidi"/>
          <w:b/>
          <w:sz w:val="24"/>
          <w:szCs w:val="24"/>
          <w:lang w:val="en-US"/>
        </w:rPr>
        <w:t>II</w:t>
      </w:r>
      <w:r w:rsidRPr="00901FEA">
        <w:rPr>
          <w:rFonts w:ascii="Calibri" w:hAnsi="Calibri" w:cstheme="majorBidi"/>
          <w:b/>
          <w:sz w:val="24"/>
          <w:szCs w:val="24"/>
          <w:lang w:val="en-US"/>
        </w:rPr>
        <w:t>.</w:t>
      </w:r>
      <w:r w:rsidRPr="00901FEA">
        <w:rPr>
          <w:rFonts w:ascii="Calibri" w:hAnsi="Calibri" w:cstheme="majorBidi"/>
          <w:b/>
          <w:sz w:val="24"/>
          <w:szCs w:val="24"/>
          <w:lang w:val="en-US"/>
        </w:rPr>
        <w:tab/>
      </w:r>
      <w:r w:rsidR="00AB0149" w:rsidRPr="00901FEA">
        <w:rPr>
          <w:rFonts w:ascii="Calibri" w:hAnsi="Calibri" w:cstheme="majorBidi"/>
          <w:b/>
          <w:sz w:val="24"/>
          <w:szCs w:val="24"/>
          <w:lang w:val="en-US"/>
        </w:rPr>
        <w:t>Proposals</w:t>
      </w:r>
    </w:p>
    <w:p w:rsidR="00901FEA" w:rsidRPr="00901FEA" w:rsidRDefault="00AB0149" w:rsidP="00DD6DF3">
      <w:pPr>
        <w:keepNext/>
        <w:keepLines/>
        <w:autoSpaceDE w:val="0"/>
        <w:autoSpaceDN w:val="0"/>
        <w:adjustRightInd w:val="0"/>
        <w:spacing w:line="240" w:lineRule="auto"/>
        <w:jc w:val="both"/>
        <w:rPr>
          <w:rStyle w:val="tlid-translation"/>
          <w:sz w:val="24"/>
          <w:szCs w:val="24"/>
          <w:lang w:val="en-US"/>
        </w:rPr>
      </w:pPr>
      <w:r w:rsidRPr="00901FEA">
        <w:rPr>
          <w:rStyle w:val="tlid-translation"/>
          <w:sz w:val="24"/>
          <w:szCs w:val="24"/>
          <w:lang w:val="en"/>
        </w:rPr>
        <w:t>2.1</w:t>
      </w:r>
      <w:r w:rsidR="00901FEA" w:rsidRPr="00901FEA">
        <w:rPr>
          <w:rStyle w:val="tlid-translation"/>
          <w:sz w:val="24"/>
          <w:szCs w:val="24"/>
          <w:lang w:val="en-US"/>
        </w:rPr>
        <w:tab/>
      </w:r>
      <w:r w:rsidRPr="00901FEA">
        <w:rPr>
          <w:rStyle w:val="tlid-translation"/>
          <w:sz w:val="24"/>
          <w:szCs w:val="24"/>
          <w:lang w:val="en"/>
        </w:rPr>
        <w:t>to recommend the secretariat to analyze the implementation of the WSIS outcomes for A</w:t>
      </w:r>
      <w:r w:rsidR="00E16460" w:rsidRPr="00E16460">
        <w:rPr>
          <w:sz w:val="24"/>
          <w:szCs w:val="24"/>
          <w:lang w:val="en"/>
        </w:rPr>
        <w:t>L</w:t>
      </w:r>
      <w:r w:rsidRPr="00901FEA">
        <w:rPr>
          <w:rStyle w:val="tlid-translation"/>
          <w:sz w:val="24"/>
          <w:szCs w:val="24"/>
          <w:lang w:val="en"/>
        </w:rPr>
        <w:t>s C2, C5 and C6, the achieved results, to identify challenges and what should be done to achieve the targets by 2025, as well as what contribution can be made to facilitate achieving the relevant SDGs by 2030 (See Annex);</w:t>
      </w:r>
    </w:p>
    <w:p w:rsidR="00901FEA" w:rsidRPr="00901FEA" w:rsidRDefault="00901FEA" w:rsidP="00DD6DF3">
      <w:pPr>
        <w:autoSpaceDE w:val="0"/>
        <w:autoSpaceDN w:val="0"/>
        <w:adjustRightInd w:val="0"/>
        <w:spacing w:line="240" w:lineRule="auto"/>
        <w:jc w:val="both"/>
        <w:rPr>
          <w:rStyle w:val="tlid-translation"/>
          <w:sz w:val="24"/>
          <w:szCs w:val="24"/>
          <w:lang w:val="en-US"/>
        </w:rPr>
      </w:pPr>
      <w:r>
        <w:rPr>
          <w:rStyle w:val="tlid-translation"/>
          <w:sz w:val="24"/>
          <w:szCs w:val="24"/>
          <w:lang w:val="en"/>
        </w:rPr>
        <w:t>2.2</w:t>
      </w:r>
      <w:r w:rsidRPr="00901FEA">
        <w:rPr>
          <w:rStyle w:val="tlid-translation"/>
          <w:sz w:val="24"/>
          <w:szCs w:val="24"/>
          <w:lang w:val="en-US"/>
        </w:rPr>
        <w:tab/>
      </w:r>
      <w:proofErr w:type="gramStart"/>
      <w:r w:rsidR="00AB0149" w:rsidRPr="00901FEA">
        <w:rPr>
          <w:rStyle w:val="tlid-translation"/>
          <w:sz w:val="24"/>
          <w:szCs w:val="24"/>
          <w:lang w:val="en"/>
        </w:rPr>
        <w:t>to</w:t>
      </w:r>
      <w:proofErr w:type="gramEnd"/>
      <w:r w:rsidR="00AB0149" w:rsidRPr="00901FEA">
        <w:rPr>
          <w:rStyle w:val="tlid-translation"/>
          <w:sz w:val="24"/>
          <w:szCs w:val="24"/>
          <w:lang w:val="en"/>
        </w:rPr>
        <w:t xml:space="preserve"> recommend WSIS Action Line Facilitators/Co-Facilitators</w:t>
      </w:r>
      <w:r w:rsidR="00A53ADE" w:rsidRPr="00901FEA">
        <w:rPr>
          <w:rStyle w:val="tlid-translation"/>
          <w:sz w:val="24"/>
          <w:szCs w:val="24"/>
          <w:lang w:val="en"/>
        </w:rPr>
        <w:t xml:space="preserve"> and all interested parties to promote </w:t>
      </w:r>
      <w:r w:rsidR="00AB0149" w:rsidRPr="00901FEA">
        <w:rPr>
          <w:rStyle w:val="tlid-translation"/>
          <w:sz w:val="24"/>
          <w:szCs w:val="24"/>
          <w:lang w:val="en"/>
        </w:rPr>
        <w:t>such approach when considering each AL at the WSIS Forum 2020;</w:t>
      </w:r>
    </w:p>
    <w:p w:rsidR="00901FEA" w:rsidRPr="00901FEA" w:rsidRDefault="00901FEA" w:rsidP="00DD6DF3">
      <w:pPr>
        <w:autoSpaceDE w:val="0"/>
        <w:autoSpaceDN w:val="0"/>
        <w:adjustRightInd w:val="0"/>
        <w:spacing w:line="240" w:lineRule="auto"/>
        <w:jc w:val="both"/>
        <w:rPr>
          <w:rStyle w:val="tlid-translation"/>
          <w:sz w:val="24"/>
          <w:szCs w:val="24"/>
          <w:lang w:val="en-US"/>
        </w:rPr>
      </w:pPr>
      <w:r>
        <w:rPr>
          <w:rStyle w:val="tlid-translation"/>
          <w:sz w:val="24"/>
          <w:szCs w:val="24"/>
          <w:lang w:val="en"/>
        </w:rPr>
        <w:t>2.3</w:t>
      </w:r>
      <w:r w:rsidRPr="00901FEA">
        <w:rPr>
          <w:rStyle w:val="tlid-translation"/>
          <w:sz w:val="24"/>
          <w:szCs w:val="24"/>
          <w:lang w:val="en-US"/>
        </w:rPr>
        <w:tab/>
      </w:r>
      <w:proofErr w:type="gramStart"/>
      <w:r w:rsidR="00AB0149" w:rsidRPr="00901FEA">
        <w:rPr>
          <w:rStyle w:val="tlid-translation"/>
          <w:sz w:val="24"/>
          <w:szCs w:val="24"/>
          <w:lang w:val="en"/>
        </w:rPr>
        <w:t>to</w:t>
      </w:r>
      <w:proofErr w:type="gramEnd"/>
      <w:r w:rsidR="00AB0149" w:rsidRPr="00901FEA">
        <w:rPr>
          <w:rStyle w:val="tlid-translation"/>
          <w:sz w:val="24"/>
          <w:szCs w:val="24"/>
          <w:lang w:val="en"/>
        </w:rPr>
        <w:t xml:space="preserve"> request the ITU Secretary General to present the initiative to the UNGIS, if the approach is supported by the WSIS Forum;</w:t>
      </w:r>
    </w:p>
    <w:p w:rsidR="00901FEA" w:rsidRPr="00901FEA" w:rsidRDefault="00901FEA" w:rsidP="00DD6DF3">
      <w:pPr>
        <w:autoSpaceDE w:val="0"/>
        <w:autoSpaceDN w:val="0"/>
        <w:adjustRightInd w:val="0"/>
        <w:spacing w:line="240" w:lineRule="auto"/>
        <w:jc w:val="both"/>
        <w:rPr>
          <w:rStyle w:val="tlid-translation"/>
          <w:sz w:val="24"/>
          <w:szCs w:val="24"/>
          <w:lang w:val="en-US"/>
        </w:rPr>
      </w:pPr>
      <w:r>
        <w:rPr>
          <w:rStyle w:val="tlid-translation"/>
          <w:sz w:val="24"/>
          <w:szCs w:val="24"/>
          <w:lang w:val="en"/>
        </w:rPr>
        <w:lastRenderedPageBreak/>
        <w:t>2.4.</w:t>
      </w:r>
      <w:r w:rsidRPr="00901FEA">
        <w:rPr>
          <w:rStyle w:val="tlid-translation"/>
          <w:sz w:val="24"/>
          <w:szCs w:val="24"/>
          <w:lang w:val="en-US"/>
        </w:rPr>
        <w:tab/>
      </w:r>
      <w:r w:rsidR="00AB0149" w:rsidRPr="00901FEA">
        <w:rPr>
          <w:rStyle w:val="tlid-translation"/>
          <w:sz w:val="24"/>
          <w:szCs w:val="24"/>
          <w:lang w:val="en"/>
        </w:rPr>
        <w:t>to recommend that all WSIS stakeholders be actively involved in evaluating the results achieved, highlighting emerging issues and preparing proposals for their resolution, as well as possible further actions beyond 2025;</w:t>
      </w:r>
    </w:p>
    <w:p w:rsidR="00AB0149" w:rsidRPr="00901FEA" w:rsidRDefault="00901FEA" w:rsidP="00DD6DF3">
      <w:pPr>
        <w:autoSpaceDE w:val="0"/>
        <w:autoSpaceDN w:val="0"/>
        <w:adjustRightInd w:val="0"/>
        <w:spacing w:line="240" w:lineRule="auto"/>
        <w:jc w:val="both"/>
        <w:rPr>
          <w:rStyle w:val="tlid-translation"/>
          <w:sz w:val="24"/>
          <w:szCs w:val="24"/>
          <w:lang w:val="en"/>
        </w:rPr>
      </w:pPr>
      <w:r>
        <w:rPr>
          <w:rStyle w:val="tlid-translation"/>
          <w:sz w:val="24"/>
          <w:szCs w:val="24"/>
          <w:lang w:val="en"/>
        </w:rPr>
        <w:t>2.5</w:t>
      </w:r>
      <w:r w:rsidRPr="00901FEA">
        <w:rPr>
          <w:rStyle w:val="tlid-translation"/>
          <w:sz w:val="24"/>
          <w:szCs w:val="24"/>
          <w:lang w:val="en-US"/>
        </w:rPr>
        <w:tab/>
      </w:r>
      <w:proofErr w:type="gramStart"/>
      <w:r w:rsidR="00AB0149" w:rsidRPr="00901FEA">
        <w:rPr>
          <w:rStyle w:val="tlid-translation"/>
          <w:sz w:val="24"/>
          <w:szCs w:val="24"/>
          <w:lang w:val="en"/>
        </w:rPr>
        <w:t>to</w:t>
      </w:r>
      <w:proofErr w:type="gramEnd"/>
      <w:r w:rsidR="00AB0149" w:rsidRPr="00901FEA">
        <w:rPr>
          <w:rStyle w:val="tlid-translation"/>
          <w:sz w:val="24"/>
          <w:szCs w:val="24"/>
          <w:lang w:val="en"/>
        </w:rPr>
        <w:t xml:space="preserve"> recommend </w:t>
      </w:r>
      <w:r w:rsidR="00A53ADE" w:rsidRPr="00901FEA">
        <w:rPr>
          <w:rStyle w:val="tlid-translation"/>
          <w:sz w:val="24"/>
          <w:szCs w:val="24"/>
          <w:lang w:val="en"/>
        </w:rPr>
        <w:t xml:space="preserve">WSIS Action Line Facilitators/Co-Facilitators </w:t>
      </w:r>
      <w:r w:rsidR="00AB0149" w:rsidRPr="00901FEA">
        <w:rPr>
          <w:rStyle w:val="tlid-translation"/>
          <w:sz w:val="24"/>
          <w:szCs w:val="24"/>
          <w:lang w:val="en"/>
        </w:rPr>
        <w:t>that the results of the discussions at the WSIS Forum be submitted to ECOSOC through the CSTD.</w:t>
      </w:r>
    </w:p>
    <w:p w:rsidR="00901FEA" w:rsidRPr="00DD6DF3" w:rsidRDefault="00901FEA">
      <w:pPr>
        <w:rPr>
          <w:rStyle w:val="tlid-translation"/>
          <w:sz w:val="28"/>
          <w:szCs w:val="28"/>
          <w:lang w:val="en-GB"/>
        </w:rPr>
      </w:pPr>
      <w:r w:rsidRPr="00DD6DF3">
        <w:rPr>
          <w:rStyle w:val="tlid-translation"/>
          <w:sz w:val="28"/>
          <w:szCs w:val="28"/>
          <w:lang w:val="en-GB"/>
        </w:rPr>
        <w:br w:type="page"/>
      </w:r>
    </w:p>
    <w:p w:rsidR="00AB0149" w:rsidRPr="00901FEA" w:rsidRDefault="00AB0149" w:rsidP="00901FEA">
      <w:pPr>
        <w:autoSpaceDE w:val="0"/>
        <w:autoSpaceDN w:val="0"/>
        <w:adjustRightInd w:val="0"/>
        <w:spacing w:after="0" w:line="240" w:lineRule="auto"/>
        <w:jc w:val="right"/>
        <w:rPr>
          <w:rStyle w:val="tlid-translation"/>
          <w:b/>
          <w:sz w:val="24"/>
          <w:szCs w:val="28"/>
          <w:lang w:val="en"/>
        </w:rPr>
      </w:pPr>
      <w:r w:rsidRPr="00901FEA">
        <w:rPr>
          <w:rStyle w:val="tlid-translation"/>
          <w:b/>
          <w:sz w:val="24"/>
          <w:szCs w:val="28"/>
          <w:lang w:val="en"/>
        </w:rPr>
        <w:lastRenderedPageBreak/>
        <w:t>Annex</w:t>
      </w:r>
    </w:p>
    <w:tbl>
      <w:tblPr>
        <w:tblStyle w:val="TableGrid"/>
        <w:tblW w:w="0" w:type="auto"/>
        <w:tblLook w:val="04A0" w:firstRow="1" w:lastRow="0" w:firstColumn="1" w:lastColumn="0" w:noHBand="0" w:noVBand="1"/>
      </w:tblPr>
      <w:tblGrid>
        <w:gridCol w:w="3573"/>
        <w:gridCol w:w="2703"/>
        <w:gridCol w:w="3069"/>
      </w:tblGrid>
      <w:tr w:rsidR="00AB0149" w:rsidRPr="00DD6DF3" w:rsidTr="00901FEA">
        <w:tc>
          <w:tcPr>
            <w:tcW w:w="3652" w:type="dxa"/>
          </w:tcPr>
          <w:p w:rsidR="00AB0149" w:rsidRPr="00901FEA" w:rsidRDefault="00AB0149" w:rsidP="004B619D">
            <w:pPr>
              <w:rPr>
                <w:rFonts w:cs="Times New Roman"/>
                <w:b/>
                <w:iCs/>
                <w:sz w:val="24"/>
                <w:szCs w:val="24"/>
                <w:u w:val="single"/>
                <w:lang w:val="en-US"/>
              </w:rPr>
            </w:pPr>
            <w:r w:rsidRPr="00901FEA">
              <w:rPr>
                <w:rFonts w:cs="Times New Roman"/>
                <w:b/>
                <w:iCs/>
                <w:sz w:val="24"/>
                <w:szCs w:val="24"/>
                <w:lang w:val="en-US"/>
              </w:rPr>
              <w:t>C2. Information and communication infrastructure: an essential foundation for the Information Society</w:t>
            </w:r>
            <w:r w:rsidRPr="00901FEA">
              <w:rPr>
                <w:rFonts w:cs="Times New Roman"/>
                <w:b/>
                <w:iCs/>
                <w:sz w:val="24"/>
                <w:szCs w:val="24"/>
                <w:u w:val="single"/>
                <w:lang w:val="en-GB"/>
              </w:rPr>
              <w:t xml:space="preserve"> </w:t>
            </w:r>
          </w:p>
          <w:p w:rsidR="00AB0149" w:rsidRPr="00901FEA" w:rsidRDefault="00AB0149" w:rsidP="00901FEA">
            <w:pPr>
              <w:spacing w:before="240"/>
              <w:rPr>
                <w:rFonts w:cs="Times New Roman"/>
                <w:b/>
                <w:iCs/>
                <w:sz w:val="24"/>
                <w:szCs w:val="24"/>
                <w:u w:val="single"/>
                <w:lang w:val="en-GB"/>
              </w:rPr>
            </w:pPr>
            <w:r w:rsidRPr="00901FEA">
              <w:rPr>
                <w:rFonts w:cs="Times New Roman"/>
                <w:b/>
                <w:iCs/>
                <w:sz w:val="24"/>
                <w:szCs w:val="24"/>
                <w:u w:val="single"/>
                <w:lang w:val="en-GB"/>
              </w:rPr>
              <w:t>Relevant SDGs</w:t>
            </w:r>
            <w:r w:rsidRPr="00901FEA">
              <w:rPr>
                <w:rFonts w:cs="Times New Roman"/>
                <w:b/>
                <w:iCs/>
                <w:sz w:val="24"/>
                <w:szCs w:val="24"/>
                <w:u w:val="single"/>
                <w:lang w:val="en-US"/>
              </w:rPr>
              <w:t>:</w:t>
            </w:r>
            <w:r w:rsidRPr="00901FEA">
              <w:rPr>
                <w:rFonts w:cs="Times New Roman"/>
                <w:b/>
                <w:iCs/>
                <w:sz w:val="24"/>
                <w:szCs w:val="24"/>
                <w:u w:val="single"/>
                <w:lang w:val="en-GB"/>
              </w:rPr>
              <w:t xml:space="preserve"> 1, 8, 9, 11</w:t>
            </w:r>
          </w:p>
          <w:p w:rsidR="00AB0149" w:rsidRPr="00DD6DF3" w:rsidRDefault="00AB0149" w:rsidP="00901FEA">
            <w:pPr>
              <w:pStyle w:val="Heading2"/>
              <w:ind w:left="0"/>
              <w:jc w:val="both"/>
              <w:outlineLvl w:val="1"/>
              <w:rPr>
                <w:rFonts w:asciiTheme="minorHAnsi" w:hAnsiTheme="minorHAnsi"/>
                <w:iCs/>
                <w:szCs w:val="24"/>
              </w:rPr>
            </w:pPr>
            <w:r w:rsidRPr="00901FEA">
              <w:rPr>
                <w:rFonts w:asciiTheme="minorHAnsi" w:hAnsiTheme="minorHAnsi"/>
                <w:iCs/>
                <w:szCs w:val="24"/>
              </w:rPr>
              <w:t>1.4; 8.2; 9.1; 9a; 9c; 11.5 and 11b</w:t>
            </w:r>
          </w:p>
        </w:tc>
        <w:tc>
          <w:tcPr>
            <w:tcW w:w="2771" w:type="dxa"/>
          </w:tcPr>
          <w:p w:rsidR="00AB0149" w:rsidRPr="00901FEA" w:rsidRDefault="00AB0149" w:rsidP="004B619D">
            <w:pPr>
              <w:rPr>
                <w:rFonts w:cs="Times New Roman"/>
                <w:b/>
                <w:iCs/>
                <w:sz w:val="24"/>
                <w:szCs w:val="24"/>
                <w:u w:val="single"/>
                <w:lang w:val="en-GB"/>
              </w:rPr>
            </w:pPr>
            <w:r w:rsidRPr="00901FEA">
              <w:rPr>
                <w:rFonts w:cs="Times New Roman"/>
                <w:b/>
                <w:iCs/>
                <w:sz w:val="24"/>
                <w:szCs w:val="24"/>
                <w:u w:val="single"/>
                <w:lang w:val="en-GB"/>
              </w:rPr>
              <w:t xml:space="preserve">What </w:t>
            </w:r>
            <w:proofErr w:type="gramStart"/>
            <w:r w:rsidRPr="00901FEA">
              <w:rPr>
                <w:rFonts w:cs="Times New Roman"/>
                <w:b/>
                <w:iCs/>
                <w:sz w:val="24"/>
                <w:szCs w:val="24"/>
                <w:u w:val="single"/>
                <w:lang w:val="en-GB"/>
              </w:rPr>
              <w:t>has been implemented</w:t>
            </w:r>
            <w:proofErr w:type="gramEnd"/>
            <w:r w:rsidRPr="00901FEA">
              <w:rPr>
                <w:rFonts w:cs="Times New Roman"/>
                <w:b/>
                <w:iCs/>
                <w:sz w:val="24"/>
                <w:szCs w:val="24"/>
                <w:u w:val="single"/>
                <w:lang w:val="en-GB"/>
              </w:rPr>
              <w:t>?</w:t>
            </w:r>
          </w:p>
        </w:tc>
        <w:tc>
          <w:tcPr>
            <w:tcW w:w="3148" w:type="dxa"/>
          </w:tcPr>
          <w:p w:rsidR="00AB0149" w:rsidRPr="00901FEA" w:rsidRDefault="00AB0149" w:rsidP="004B619D">
            <w:pPr>
              <w:rPr>
                <w:rFonts w:cs="Times New Roman"/>
                <w:b/>
                <w:iCs/>
                <w:sz w:val="24"/>
                <w:szCs w:val="24"/>
                <w:u w:val="single"/>
                <w:lang w:val="en-GB"/>
              </w:rPr>
            </w:pPr>
            <w:r w:rsidRPr="00901FEA">
              <w:rPr>
                <w:rFonts w:cs="Times New Roman"/>
                <w:b/>
                <w:iCs/>
                <w:sz w:val="24"/>
                <w:szCs w:val="24"/>
                <w:u w:val="single"/>
                <w:lang w:val="en-GB"/>
              </w:rPr>
              <w:t>What should be implemented up to 2025?</w:t>
            </w:r>
          </w:p>
          <w:p w:rsidR="00AB0149" w:rsidRPr="00901FEA" w:rsidRDefault="00AB0149" w:rsidP="004B619D">
            <w:pPr>
              <w:rPr>
                <w:rFonts w:cs="Times New Roman"/>
                <w:b/>
                <w:iCs/>
                <w:sz w:val="24"/>
                <w:szCs w:val="24"/>
                <w:u w:val="single"/>
                <w:lang w:val="en-GB"/>
              </w:rPr>
            </w:pPr>
            <w:r w:rsidRPr="00901FEA">
              <w:rPr>
                <w:rFonts w:cs="Times New Roman"/>
                <w:b/>
                <w:iCs/>
                <w:sz w:val="24"/>
                <w:szCs w:val="24"/>
                <w:u w:val="single"/>
                <w:lang w:val="en-GB"/>
              </w:rPr>
              <w:t>What should be implemented to 2030 to achieve SDGs?</w:t>
            </w:r>
          </w:p>
        </w:tc>
      </w:tr>
      <w:tr w:rsidR="00AB0149" w:rsidRPr="00DD6DF3" w:rsidTr="00901FEA">
        <w:tc>
          <w:tcPr>
            <w:tcW w:w="3652" w:type="dxa"/>
          </w:tcPr>
          <w:p w:rsidR="00AB0149" w:rsidRPr="008A4DD9" w:rsidRDefault="00AB0149" w:rsidP="00901FEA">
            <w:pPr>
              <w:jc w:val="both"/>
              <w:rPr>
                <w:iCs/>
                <w:lang w:val="en-GB"/>
              </w:rPr>
            </w:pPr>
            <w:r w:rsidRPr="008A4DD9">
              <w:rPr>
                <w:iCs/>
                <w:lang w:val="en-GB"/>
              </w:rPr>
              <w:t xml:space="preserve">Infrastructure is central in achieving the goal of digital inclusion, enabling universal, sustainable, ubiquitous and affordable access to ICTs by all, taking </w:t>
            </w:r>
            <w:proofErr w:type="gramStart"/>
            <w:r w:rsidRPr="008A4DD9">
              <w:rPr>
                <w:iCs/>
                <w:lang w:val="en-GB"/>
              </w:rPr>
              <w:t>into account relevant solutions already in place in developing countries and countries with economies in transition,</w:t>
            </w:r>
            <w:proofErr w:type="gramEnd"/>
            <w:r w:rsidRPr="008A4DD9">
              <w:rPr>
                <w:iCs/>
                <w:lang w:val="en-GB"/>
              </w:rPr>
              <w:t xml:space="preserve"> to provide sustainable connectivity and access to remote and marginalized areas at national and regional levels. </w:t>
            </w:r>
          </w:p>
          <w:p w:rsidR="00AB0149" w:rsidRDefault="00AB0149" w:rsidP="00901FEA">
            <w:pPr>
              <w:jc w:val="both"/>
              <w:rPr>
                <w:iCs/>
                <w:lang w:val="en-GB"/>
              </w:rPr>
            </w:pPr>
            <w:r w:rsidRPr="008A4DD9">
              <w:rPr>
                <w:iCs/>
                <w:lang w:val="en-GB"/>
              </w:rPr>
              <w:t>Broadband connection based on converged services and enhanced radio frequency spectrum and satellite orbit management supported by efficient backbone, new technologies, policies which promote innovation, national broadband plans based on reliable data, and international standardization are the keys for such achievement.</w:t>
            </w:r>
          </w:p>
          <w:p w:rsidR="00AB0149" w:rsidRPr="008A4DD9" w:rsidRDefault="00AB0149" w:rsidP="00901FEA">
            <w:pPr>
              <w:jc w:val="both"/>
              <w:rPr>
                <w:rFonts w:ascii="Times New Roman" w:hAnsi="Times New Roman" w:cs="Times New Roman"/>
                <w:sz w:val="24"/>
                <w:szCs w:val="24"/>
                <w:lang w:val="en-US"/>
              </w:rPr>
            </w:pPr>
          </w:p>
        </w:tc>
        <w:tc>
          <w:tcPr>
            <w:tcW w:w="2771" w:type="dxa"/>
          </w:tcPr>
          <w:p w:rsidR="00AB0149" w:rsidRPr="008A4DD9" w:rsidRDefault="00AB0149" w:rsidP="00901FEA">
            <w:pPr>
              <w:autoSpaceDE w:val="0"/>
              <w:autoSpaceDN w:val="0"/>
              <w:adjustRightInd w:val="0"/>
              <w:jc w:val="both"/>
              <w:rPr>
                <w:rFonts w:ascii="Times New Roman" w:hAnsi="Times New Roman" w:cs="Times New Roman"/>
                <w:sz w:val="24"/>
                <w:szCs w:val="24"/>
                <w:lang w:val="en-US"/>
              </w:rPr>
            </w:pPr>
          </w:p>
        </w:tc>
        <w:tc>
          <w:tcPr>
            <w:tcW w:w="3148" w:type="dxa"/>
          </w:tcPr>
          <w:p w:rsidR="00AB0149" w:rsidRPr="008A4DD9" w:rsidRDefault="00AB0149" w:rsidP="00901FEA">
            <w:pPr>
              <w:autoSpaceDE w:val="0"/>
              <w:autoSpaceDN w:val="0"/>
              <w:adjustRightInd w:val="0"/>
              <w:jc w:val="both"/>
              <w:rPr>
                <w:rFonts w:ascii="Times New Roman" w:hAnsi="Times New Roman" w:cs="Times New Roman"/>
                <w:sz w:val="24"/>
                <w:szCs w:val="24"/>
                <w:lang w:val="en-US"/>
              </w:rPr>
            </w:pPr>
          </w:p>
        </w:tc>
      </w:tr>
      <w:tr w:rsidR="00AB0149" w:rsidRPr="00DD6DF3" w:rsidTr="00901FEA">
        <w:tc>
          <w:tcPr>
            <w:tcW w:w="3652" w:type="dxa"/>
          </w:tcPr>
          <w:p w:rsidR="00AB0149" w:rsidRDefault="00AB0149" w:rsidP="00901FEA">
            <w:pPr>
              <w:spacing w:before="120"/>
              <w:jc w:val="both"/>
              <w:rPr>
                <w:iCs/>
                <w:lang w:val="en-GB"/>
              </w:rPr>
            </w:pPr>
            <w:r w:rsidRPr="00C03157">
              <w:rPr>
                <w:b/>
                <w:iCs/>
                <w:lang w:val="en-GB"/>
              </w:rPr>
              <w:t xml:space="preserve">Targets from Geneva Plan of Action </w:t>
            </w:r>
          </w:p>
        </w:tc>
        <w:tc>
          <w:tcPr>
            <w:tcW w:w="2771" w:type="dxa"/>
          </w:tcPr>
          <w:p w:rsidR="00AB0149" w:rsidRPr="00090BAD" w:rsidRDefault="00AB0149" w:rsidP="00901FEA">
            <w:pPr>
              <w:jc w:val="both"/>
              <w:rPr>
                <w:rFonts w:ascii="Times New Roman Bold" w:hAnsi="Times New Roman Bold"/>
                <w:b/>
                <w:iCs/>
                <w:sz w:val="24"/>
                <w:u w:val="single"/>
                <w:lang w:val="en-GB"/>
              </w:rPr>
            </w:pPr>
          </w:p>
        </w:tc>
        <w:tc>
          <w:tcPr>
            <w:tcW w:w="3148" w:type="dxa"/>
          </w:tcPr>
          <w:p w:rsidR="00AB0149" w:rsidRPr="00090BAD" w:rsidRDefault="00AB0149" w:rsidP="00901FEA">
            <w:pPr>
              <w:jc w:val="both"/>
              <w:rPr>
                <w:rFonts w:ascii="Times New Roman Bold" w:hAnsi="Times New Roman Bold"/>
                <w:b/>
                <w:iCs/>
                <w:sz w:val="24"/>
                <w:u w:val="single"/>
                <w:lang w:val="en-GB"/>
              </w:rPr>
            </w:pPr>
          </w:p>
        </w:tc>
      </w:tr>
      <w:tr w:rsidR="00AB0149" w:rsidRPr="00DD6DF3" w:rsidTr="00901FEA">
        <w:tc>
          <w:tcPr>
            <w:tcW w:w="3652" w:type="dxa"/>
          </w:tcPr>
          <w:p w:rsidR="00AB0149" w:rsidRPr="008A4DD9" w:rsidRDefault="00AB0149" w:rsidP="00901FEA">
            <w:pPr>
              <w:spacing w:before="120"/>
              <w:jc w:val="both"/>
              <w:rPr>
                <w:lang w:val="en-US"/>
              </w:rPr>
            </w:pPr>
            <w:r>
              <w:rPr>
                <w:iCs/>
                <w:lang w:val="en-GB"/>
              </w:rPr>
              <w:t>a) Governments should take action, in the framework of national development policies, in order to support an enabling and competitive environment for the necessary investment in ICT infrastructure and for the development of new services.</w:t>
            </w:r>
          </w:p>
        </w:tc>
        <w:tc>
          <w:tcPr>
            <w:tcW w:w="2771" w:type="dxa"/>
          </w:tcPr>
          <w:p w:rsidR="00AB0149" w:rsidRPr="008A4DD9" w:rsidRDefault="00AB0149" w:rsidP="00901FEA">
            <w:pPr>
              <w:jc w:val="both"/>
              <w:rPr>
                <w:lang w:val="en-US"/>
              </w:rPr>
            </w:pPr>
          </w:p>
        </w:tc>
        <w:tc>
          <w:tcPr>
            <w:tcW w:w="3148" w:type="dxa"/>
          </w:tcPr>
          <w:p w:rsidR="00AB0149" w:rsidRPr="008A4DD9" w:rsidRDefault="00AB0149" w:rsidP="00901FEA">
            <w:pPr>
              <w:jc w:val="both"/>
              <w:rPr>
                <w:lang w:val="en-US"/>
              </w:rPr>
            </w:pPr>
          </w:p>
        </w:tc>
      </w:tr>
      <w:tr w:rsidR="00AB0149" w:rsidRPr="00DD6DF3" w:rsidTr="00901FEA">
        <w:tc>
          <w:tcPr>
            <w:tcW w:w="3652" w:type="dxa"/>
          </w:tcPr>
          <w:p w:rsidR="00AB0149" w:rsidRPr="008A4DD9" w:rsidRDefault="00AB0149" w:rsidP="00901FEA">
            <w:pPr>
              <w:spacing w:before="120"/>
              <w:jc w:val="both"/>
              <w:rPr>
                <w:lang w:val="en-US"/>
              </w:rPr>
            </w:pPr>
            <w:r>
              <w:rPr>
                <w:iCs/>
                <w:lang w:val="en-GB"/>
              </w:rPr>
              <w:t>b)</w:t>
            </w:r>
            <w:r>
              <w:rPr>
                <w:b/>
                <w:bCs/>
                <w:iCs/>
                <w:lang w:val="en-GB"/>
              </w:rPr>
              <w:t xml:space="preserve"> </w:t>
            </w:r>
            <w:r>
              <w:rPr>
                <w:rFonts w:eastAsia="Batang"/>
                <w:iCs/>
                <w:lang w:val="en-GB"/>
              </w:rPr>
              <w:t xml:space="preserve">In the context of national e-strategies, devise </w:t>
            </w:r>
            <w:r>
              <w:rPr>
                <w:iCs/>
                <w:lang w:val="en-GB"/>
              </w:rPr>
              <w:t xml:space="preserve">appropriate universal access policies and strategies, and their means of implementation, in line with the indicative targets, and develop ICT connectivity indicators. </w:t>
            </w:r>
          </w:p>
        </w:tc>
        <w:tc>
          <w:tcPr>
            <w:tcW w:w="2771" w:type="dxa"/>
          </w:tcPr>
          <w:p w:rsidR="00AB0149" w:rsidRPr="008A4DD9" w:rsidRDefault="00AB0149" w:rsidP="00901FEA">
            <w:pPr>
              <w:jc w:val="both"/>
              <w:rPr>
                <w:lang w:val="en-US"/>
              </w:rPr>
            </w:pPr>
          </w:p>
        </w:tc>
        <w:tc>
          <w:tcPr>
            <w:tcW w:w="3148" w:type="dxa"/>
          </w:tcPr>
          <w:p w:rsidR="00AB0149" w:rsidRPr="008A4DD9" w:rsidRDefault="00AB0149" w:rsidP="00901FEA">
            <w:pPr>
              <w:jc w:val="both"/>
              <w:rPr>
                <w:lang w:val="en-US"/>
              </w:rPr>
            </w:pPr>
          </w:p>
        </w:tc>
      </w:tr>
      <w:tr w:rsidR="00AB0149" w:rsidRPr="00DD6DF3" w:rsidTr="00901FEA">
        <w:tc>
          <w:tcPr>
            <w:tcW w:w="3652" w:type="dxa"/>
          </w:tcPr>
          <w:p w:rsidR="00AB0149" w:rsidRPr="008A4DD9" w:rsidRDefault="00AB0149" w:rsidP="00901FEA">
            <w:pPr>
              <w:spacing w:before="120"/>
              <w:jc w:val="both"/>
              <w:rPr>
                <w:lang w:val="en-US"/>
              </w:rPr>
            </w:pPr>
            <w:r>
              <w:rPr>
                <w:iCs/>
                <w:lang w:val="en-US"/>
              </w:rPr>
              <w:t xml:space="preserve">c) In the context of national e-strategies, provide and improve ICT connectivity for all schools, universities, health institutions, libraries, post offices, community </w:t>
            </w:r>
            <w:proofErr w:type="spellStart"/>
            <w:r>
              <w:rPr>
                <w:iCs/>
                <w:lang w:val="en-US"/>
              </w:rPr>
              <w:t>centres</w:t>
            </w:r>
            <w:proofErr w:type="spellEnd"/>
            <w:r>
              <w:rPr>
                <w:iCs/>
                <w:lang w:val="en-US"/>
              </w:rPr>
              <w:t xml:space="preserve">, museums and other institutions accessible to the public, in line with the indicative targets. </w:t>
            </w:r>
          </w:p>
        </w:tc>
        <w:tc>
          <w:tcPr>
            <w:tcW w:w="2771" w:type="dxa"/>
          </w:tcPr>
          <w:p w:rsidR="00AB0149" w:rsidRPr="008A4DD9" w:rsidRDefault="00AB0149" w:rsidP="00901FEA">
            <w:pPr>
              <w:jc w:val="both"/>
              <w:rPr>
                <w:lang w:val="en-US"/>
              </w:rPr>
            </w:pPr>
          </w:p>
        </w:tc>
        <w:tc>
          <w:tcPr>
            <w:tcW w:w="3148" w:type="dxa"/>
          </w:tcPr>
          <w:p w:rsidR="00AB0149" w:rsidRPr="008A4DD9" w:rsidRDefault="00AB0149" w:rsidP="00901FEA">
            <w:pPr>
              <w:jc w:val="both"/>
              <w:rPr>
                <w:lang w:val="en-US"/>
              </w:rPr>
            </w:pPr>
          </w:p>
        </w:tc>
      </w:tr>
      <w:tr w:rsidR="00AB0149" w:rsidRPr="00DD6DF3" w:rsidTr="00901FEA">
        <w:tc>
          <w:tcPr>
            <w:tcW w:w="3652" w:type="dxa"/>
          </w:tcPr>
          <w:p w:rsidR="00AB0149" w:rsidRDefault="00AB0149" w:rsidP="00901FEA">
            <w:pPr>
              <w:spacing w:before="120"/>
              <w:jc w:val="both"/>
              <w:rPr>
                <w:iCs/>
                <w:lang w:val="en-US"/>
              </w:rPr>
            </w:pPr>
            <w:r>
              <w:rPr>
                <w:iCs/>
                <w:lang w:val="en-US"/>
              </w:rPr>
              <w:t xml:space="preserve">d) Develop and strengthen national, regional and international broadband network infrastructure, </w:t>
            </w:r>
            <w:r>
              <w:rPr>
                <w:bCs/>
                <w:iCs/>
                <w:lang w:val="en-US"/>
              </w:rPr>
              <w:t>including delivery by satellite and other systems,</w:t>
            </w:r>
            <w:r>
              <w:rPr>
                <w:iCs/>
                <w:lang w:val="en-US"/>
              </w:rPr>
              <w:t xml:space="preserve"> to help in providing the capacity to </w:t>
            </w:r>
            <w:r>
              <w:rPr>
                <w:iCs/>
                <w:lang w:val="en-US"/>
              </w:rPr>
              <w:lastRenderedPageBreak/>
              <w:t>match the needs of countries and their citizens and for the delivery of new ICT-based services. Support technical, regulatory and operational studies by the International Telecommunication Union (ITU) and, as appropriate, other relevant international organizations in order to:</w:t>
            </w:r>
          </w:p>
          <w:p w:rsidR="00AB0149" w:rsidRDefault="00AB0149" w:rsidP="00901FEA">
            <w:pPr>
              <w:numPr>
                <w:ilvl w:val="0"/>
                <w:numId w:val="2"/>
              </w:numPr>
              <w:tabs>
                <w:tab w:val="clear" w:pos="1080"/>
                <w:tab w:val="num" w:pos="720"/>
              </w:tabs>
              <w:spacing w:before="120"/>
              <w:jc w:val="both"/>
              <w:rPr>
                <w:iCs/>
                <w:lang w:val="en-US"/>
              </w:rPr>
            </w:pPr>
            <w:r>
              <w:rPr>
                <w:iCs/>
                <w:lang w:val="en-US"/>
              </w:rPr>
              <w:t xml:space="preserve">broaden access to orbital resources, global frequency harmonization and global systems standardization; </w:t>
            </w:r>
          </w:p>
          <w:p w:rsidR="00AB0149" w:rsidRDefault="00AB0149" w:rsidP="00901FEA">
            <w:pPr>
              <w:numPr>
                <w:ilvl w:val="0"/>
                <w:numId w:val="2"/>
              </w:numPr>
              <w:tabs>
                <w:tab w:val="clear" w:pos="1080"/>
                <w:tab w:val="num" w:pos="720"/>
              </w:tabs>
              <w:spacing w:before="120"/>
              <w:jc w:val="both"/>
              <w:rPr>
                <w:iCs/>
                <w:lang w:val="en-US"/>
              </w:rPr>
            </w:pPr>
            <w:r>
              <w:rPr>
                <w:iCs/>
                <w:lang w:val="en-US"/>
              </w:rPr>
              <w:t xml:space="preserve">encourage public/private partnership; </w:t>
            </w:r>
          </w:p>
          <w:p w:rsidR="00AB0149" w:rsidRDefault="00AB0149" w:rsidP="00901FEA">
            <w:pPr>
              <w:numPr>
                <w:ilvl w:val="0"/>
                <w:numId w:val="2"/>
              </w:numPr>
              <w:tabs>
                <w:tab w:val="clear" w:pos="1080"/>
                <w:tab w:val="num" w:pos="720"/>
              </w:tabs>
              <w:spacing w:before="120"/>
              <w:jc w:val="both"/>
              <w:rPr>
                <w:iCs/>
                <w:lang w:val="en-US"/>
              </w:rPr>
            </w:pPr>
            <w:r>
              <w:rPr>
                <w:iCs/>
                <w:lang w:val="en-US"/>
              </w:rPr>
              <w:t>promote the provision of global high-speed satellite services for underserved areas such as remote and sparsely populated areas;</w:t>
            </w:r>
          </w:p>
          <w:p w:rsidR="00AB0149" w:rsidRPr="008A4DD9" w:rsidRDefault="00AB0149" w:rsidP="00901FEA">
            <w:pPr>
              <w:numPr>
                <w:ilvl w:val="0"/>
                <w:numId w:val="2"/>
              </w:numPr>
              <w:tabs>
                <w:tab w:val="clear" w:pos="1080"/>
                <w:tab w:val="num" w:pos="720"/>
              </w:tabs>
              <w:spacing w:before="120"/>
              <w:jc w:val="both"/>
              <w:rPr>
                <w:lang w:val="en-US"/>
              </w:rPr>
            </w:pPr>
            <w:proofErr w:type="gramStart"/>
            <w:r>
              <w:rPr>
                <w:iCs/>
                <w:lang w:val="en-US"/>
              </w:rPr>
              <w:t>explore</w:t>
            </w:r>
            <w:proofErr w:type="gramEnd"/>
            <w:r>
              <w:rPr>
                <w:iCs/>
                <w:lang w:val="en-US"/>
              </w:rPr>
              <w:t xml:space="preserve"> other systems that can provide high-speed connectivity.</w:t>
            </w:r>
          </w:p>
        </w:tc>
        <w:tc>
          <w:tcPr>
            <w:tcW w:w="2771" w:type="dxa"/>
          </w:tcPr>
          <w:p w:rsidR="00AB0149" w:rsidRPr="008A4DD9" w:rsidRDefault="00AB0149" w:rsidP="00901FEA">
            <w:pPr>
              <w:autoSpaceDE w:val="0"/>
              <w:autoSpaceDN w:val="0"/>
              <w:adjustRightInd w:val="0"/>
              <w:jc w:val="both"/>
              <w:rPr>
                <w:lang w:val="en-US"/>
              </w:rPr>
            </w:pPr>
          </w:p>
        </w:tc>
        <w:tc>
          <w:tcPr>
            <w:tcW w:w="3148" w:type="dxa"/>
          </w:tcPr>
          <w:p w:rsidR="00AB0149" w:rsidRPr="008A4DD9" w:rsidRDefault="00AB0149" w:rsidP="00901FEA">
            <w:pPr>
              <w:jc w:val="both"/>
              <w:rPr>
                <w:lang w:val="en-US"/>
              </w:rPr>
            </w:pPr>
          </w:p>
        </w:tc>
      </w:tr>
      <w:tr w:rsidR="00AB0149" w:rsidRPr="00DD6DF3" w:rsidTr="00901FEA">
        <w:tc>
          <w:tcPr>
            <w:tcW w:w="3652" w:type="dxa"/>
          </w:tcPr>
          <w:p w:rsidR="00AB0149" w:rsidRPr="008A4DD9" w:rsidRDefault="00AB0149" w:rsidP="00901FEA">
            <w:pPr>
              <w:spacing w:before="120"/>
              <w:jc w:val="both"/>
              <w:rPr>
                <w:lang w:val="en-US"/>
              </w:rPr>
            </w:pPr>
            <w:r>
              <w:rPr>
                <w:iCs/>
                <w:lang w:val="en-US"/>
              </w:rPr>
              <w:t xml:space="preserve">e) In the context of national e-strategies, address the special requirements of older people, persons with disabilities, children, especially marginalized children and other disadvantaged and vulnerable groups, including by appropriate educational administrative and legislative measures to ensure their full inclusion in the Information Society. </w:t>
            </w:r>
          </w:p>
        </w:tc>
        <w:tc>
          <w:tcPr>
            <w:tcW w:w="2771" w:type="dxa"/>
          </w:tcPr>
          <w:p w:rsidR="00AB0149" w:rsidRPr="008A4DD9" w:rsidRDefault="00AB0149" w:rsidP="00901FEA">
            <w:pPr>
              <w:jc w:val="both"/>
              <w:rPr>
                <w:lang w:val="en-US"/>
              </w:rPr>
            </w:pPr>
          </w:p>
        </w:tc>
        <w:tc>
          <w:tcPr>
            <w:tcW w:w="3148" w:type="dxa"/>
          </w:tcPr>
          <w:p w:rsidR="00AB0149" w:rsidRPr="008A4DD9" w:rsidRDefault="00AB0149" w:rsidP="00901FEA">
            <w:pPr>
              <w:jc w:val="both"/>
              <w:rPr>
                <w:lang w:val="en-US"/>
              </w:rPr>
            </w:pPr>
          </w:p>
        </w:tc>
      </w:tr>
      <w:tr w:rsidR="00AB0149" w:rsidRPr="00DD6DF3" w:rsidTr="00901FEA">
        <w:tc>
          <w:tcPr>
            <w:tcW w:w="3652" w:type="dxa"/>
          </w:tcPr>
          <w:p w:rsidR="00AB0149" w:rsidRPr="008A4DD9" w:rsidRDefault="00AB0149" w:rsidP="00901FEA">
            <w:pPr>
              <w:spacing w:before="120"/>
              <w:jc w:val="both"/>
              <w:rPr>
                <w:lang w:val="en-US"/>
              </w:rPr>
            </w:pPr>
            <w:proofErr w:type="gramStart"/>
            <w:r>
              <w:rPr>
                <w:iCs/>
                <w:lang w:val="en-US"/>
              </w:rPr>
              <w:t xml:space="preserve">f) Encourage the design and production of ICT equipment and services so that everyone, has easy and affordable access to them including older people, persons with disabilities, children, especially marginalized children, and other disadvantaged and vulnerable groups, and promote the development of technologies, applications, and content suited to their needs, guided </w:t>
            </w:r>
            <w:r>
              <w:rPr>
                <w:iCs/>
                <w:lang w:val="en-GB"/>
              </w:rPr>
              <w:t>by the Universal Design Principle and further enhanced by the use of assistive technologies.</w:t>
            </w:r>
            <w:proofErr w:type="gramEnd"/>
            <w:r>
              <w:rPr>
                <w:iCs/>
                <w:lang w:val="en-US"/>
              </w:rPr>
              <w:t xml:space="preserve"> </w:t>
            </w:r>
          </w:p>
        </w:tc>
        <w:tc>
          <w:tcPr>
            <w:tcW w:w="2771" w:type="dxa"/>
          </w:tcPr>
          <w:p w:rsidR="00AB0149" w:rsidRPr="001522D7" w:rsidRDefault="00AB0149" w:rsidP="00901FEA">
            <w:pPr>
              <w:autoSpaceDE w:val="0"/>
              <w:autoSpaceDN w:val="0"/>
              <w:adjustRightInd w:val="0"/>
              <w:jc w:val="both"/>
              <w:rPr>
                <w:lang w:val="en-GB"/>
              </w:rPr>
            </w:pPr>
          </w:p>
        </w:tc>
        <w:tc>
          <w:tcPr>
            <w:tcW w:w="3148" w:type="dxa"/>
          </w:tcPr>
          <w:p w:rsidR="00AB0149" w:rsidRPr="008A4DD9" w:rsidRDefault="00AB0149" w:rsidP="00901FEA">
            <w:pPr>
              <w:jc w:val="both"/>
              <w:rPr>
                <w:lang w:val="en-US"/>
              </w:rPr>
            </w:pPr>
          </w:p>
        </w:tc>
      </w:tr>
      <w:tr w:rsidR="00AB0149" w:rsidRPr="00DD6DF3" w:rsidTr="00901FEA">
        <w:tc>
          <w:tcPr>
            <w:tcW w:w="3652" w:type="dxa"/>
          </w:tcPr>
          <w:p w:rsidR="00AB0149" w:rsidRPr="008A4DD9" w:rsidRDefault="00AB0149" w:rsidP="00901FEA">
            <w:pPr>
              <w:spacing w:before="120"/>
              <w:jc w:val="both"/>
              <w:rPr>
                <w:lang w:val="en-US"/>
              </w:rPr>
            </w:pPr>
            <w:r>
              <w:rPr>
                <w:iCs/>
                <w:lang w:val="en-GB"/>
              </w:rPr>
              <w:t xml:space="preserve">g) In order to alleviate the challenges of illiteracy, develop affordable technologies and non-text based computer interfaces to facilitate people’s access to ICT, </w:t>
            </w:r>
          </w:p>
        </w:tc>
        <w:tc>
          <w:tcPr>
            <w:tcW w:w="2771" w:type="dxa"/>
          </w:tcPr>
          <w:p w:rsidR="00AB0149" w:rsidRPr="008A4DD9" w:rsidRDefault="00AB0149" w:rsidP="00901FEA">
            <w:pPr>
              <w:jc w:val="both"/>
              <w:rPr>
                <w:lang w:val="en-US"/>
              </w:rPr>
            </w:pPr>
          </w:p>
        </w:tc>
        <w:tc>
          <w:tcPr>
            <w:tcW w:w="3148" w:type="dxa"/>
          </w:tcPr>
          <w:p w:rsidR="00AB0149" w:rsidRPr="008A4DD9" w:rsidRDefault="00AB0149" w:rsidP="00901FEA">
            <w:pPr>
              <w:jc w:val="both"/>
              <w:rPr>
                <w:lang w:val="en-US"/>
              </w:rPr>
            </w:pPr>
          </w:p>
        </w:tc>
      </w:tr>
      <w:tr w:rsidR="00AB0149" w:rsidRPr="00DD6DF3" w:rsidTr="00901FEA">
        <w:tc>
          <w:tcPr>
            <w:tcW w:w="3652" w:type="dxa"/>
          </w:tcPr>
          <w:p w:rsidR="00AB0149" w:rsidRPr="008A4DD9" w:rsidRDefault="00AB0149" w:rsidP="00901FEA">
            <w:pPr>
              <w:spacing w:before="120"/>
              <w:jc w:val="both"/>
              <w:rPr>
                <w:lang w:val="en-US"/>
              </w:rPr>
            </w:pPr>
            <w:r>
              <w:rPr>
                <w:iCs/>
                <w:lang w:val="en-US"/>
              </w:rPr>
              <w:t xml:space="preserve">h) Undertake international research and development efforts aimed at making available adequate and affordable ICT equipment for end users. </w:t>
            </w:r>
          </w:p>
        </w:tc>
        <w:tc>
          <w:tcPr>
            <w:tcW w:w="2771" w:type="dxa"/>
          </w:tcPr>
          <w:p w:rsidR="00AB0149" w:rsidRPr="008A4DD9" w:rsidRDefault="00AB0149" w:rsidP="00901FEA">
            <w:pPr>
              <w:jc w:val="both"/>
              <w:rPr>
                <w:lang w:val="en-US"/>
              </w:rPr>
            </w:pPr>
          </w:p>
        </w:tc>
        <w:tc>
          <w:tcPr>
            <w:tcW w:w="3148" w:type="dxa"/>
          </w:tcPr>
          <w:p w:rsidR="00AB0149" w:rsidRPr="008A4DD9" w:rsidRDefault="00AB0149" w:rsidP="00901FEA">
            <w:pPr>
              <w:jc w:val="both"/>
              <w:rPr>
                <w:lang w:val="en-US"/>
              </w:rPr>
            </w:pPr>
          </w:p>
        </w:tc>
      </w:tr>
      <w:tr w:rsidR="00AB0149" w:rsidRPr="00DD6DF3" w:rsidTr="00901FEA">
        <w:tc>
          <w:tcPr>
            <w:tcW w:w="3652" w:type="dxa"/>
          </w:tcPr>
          <w:p w:rsidR="00AB0149" w:rsidRPr="008A4DD9" w:rsidRDefault="00AB0149" w:rsidP="00901FEA">
            <w:pPr>
              <w:spacing w:before="120"/>
              <w:jc w:val="both"/>
              <w:rPr>
                <w:lang w:val="en-US"/>
              </w:rPr>
            </w:pPr>
            <w:proofErr w:type="spellStart"/>
            <w:r>
              <w:rPr>
                <w:iCs/>
                <w:lang w:val="en-US"/>
              </w:rPr>
              <w:lastRenderedPageBreak/>
              <w:t>i</w:t>
            </w:r>
            <w:proofErr w:type="spellEnd"/>
            <w:r>
              <w:rPr>
                <w:iCs/>
                <w:lang w:val="en-US"/>
              </w:rPr>
              <w:t xml:space="preserve">) Encourage the use of unused wireless capacity, including satellite, in developed countries and in particular in developing countries, to provide access in remote areas, especially in developing countries and countries with economies in transition, and to improve low-cost connectivity in developing countries. Special concern should be given to the Least Developed Countries in their efforts in establishing telecommunication infrastructure. </w:t>
            </w:r>
          </w:p>
        </w:tc>
        <w:tc>
          <w:tcPr>
            <w:tcW w:w="2771" w:type="dxa"/>
          </w:tcPr>
          <w:p w:rsidR="00AB0149" w:rsidRPr="008A4DD9" w:rsidRDefault="00AB0149" w:rsidP="00901FEA">
            <w:pPr>
              <w:jc w:val="both"/>
              <w:rPr>
                <w:lang w:val="en-US"/>
              </w:rPr>
            </w:pPr>
          </w:p>
        </w:tc>
        <w:tc>
          <w:tcPr>
            <w:tcW w:w="3148" w:type="dxa"/>
          </w:tcPr>
          <w:p w:rsidR="00AB0149" w:rsidRPr="008A4DD9" w:rsidRDefault="00AB0149" w:rsidP="00901FEA">
            <w:pPr>
              <w:jc w:val="both"/>
              <w:rPr>
                <w:lang w:val="en-US"/>
              </w:rPr>
            </w:pPr>
          </w:p>
        </w:tc>
      </w:tr>
      <w:tr w:rsidR="00AB0149" w:rsidRPr="00DD6DF3" w:rsidTr="00901FEA">
        <w:tc>
          <w:tcPr>
            <w:tcW w:w="3652" w:type="dxa"/>
          </w:tcPr>
          <w:p w:rsidR="00AB0149" w:rsidRPr="008A4DD9" w:rsidRDefault="00AB0149" w:rsidP="00901FEA">
            <w:pPr>
              <w:spacing w:before="120"/>
              <w:jc w:val="both"/>
              <w:rPr>
                <w:lang w:val="en-US"/>
              </w:rPr>
            </w:pPr>
            <w:r>
              <w:rPr>
                <w:iCs/>
                <w:lang w:val="en-US"/>
              </w:rPr>
              <w:t>j) Optimize connectivity among major information networks by encouraging the creation and development of regional ICT backbones and Internet exchange points, to reduce interconnection costs and broaden network access.</w:t>
            </w:r>
          </w:p>
        </w:tc>
        <w:tc>
          <w:tcPr>
            <w:tcW w:w="2771" w:type="dxa"/>
          </w:tcPr>
          <w:p w:rsidR="00AB0149" w:rsidRPr="008A4DD9" w:rsidRDefault="00AB0149" w:rsidP="00901FEA">
            <w:pPr>
              <w:jc w:val="both"/>
              <w:rPr>
                <w:lang w:val="en-US"/>
              </w:rPr>
            </w:pPr>
          </w:p>
        </w:tc>
        <w:tc>
          <w:tcPr>
            <w:tcW w:w="3148" w:type="dxa"/>
          </w:tcPr>
          <w:p w:rsidR="00AB0149" w:rsidRPr="008A4DD9" w:rsidRDefault="00AB0149" w:rsidP="00901FEA">
            <w:pPr>
              <w:jc w:val="both"/>
              <w:rPr>
                <w:lang w:val="en-US"/>
              </w:rPr>
            </w:pPr>
          </w:p>
        </w:tc>
      </w:tr>
      <w:tr w:rsidR="00AB0149" w:rsidRPr="00DD6DF3" w:rsidTr="00901FEA">
        <w:tc>
          <w:tcPr>
            <w:tcW w:w="3652" w:type="dxa"/>
          </w:tcPr>
          <w:p w:rsidR="00AB0149" w:rsidRPr="008A4DD9" w:rsidRDefault="00AB0149" w:rsidP="00901FEA">
            <w:pPr>
              <w:spacing w:before="120"/>
              <w:jc w:val="both"/>
              <w:rPr>
                <w:lang w:val="en-US"/>
              </w:rPr>
            </w:pPr>
            <w:r>
              <w:rPr>
                <w:iCs/>
                <w:lang w:val="en-US"/>
              </w:rPr>
              <w:t xml:space="preserve">k) Develop strategies for increasing affordable global connectivity, thereby facilitating improved access. Commercially negotiated Internet transit and interconnection costs should be oriented towards objective, transparent and non-discriminatory parameters, taking into account ongoing work on this subject. </w:t>
            </w:r>
          </w:p>
        </w:tc>
        <w:tc>
          <w:tcPr>
            <w:tcW w:w="2771" w:type="dxa"/>
          </w:tcPr>
          <w:p w:rsidR="00AB0149" w:rsidRPr="001522D7" w:rsidRDefault="00AB0149" w:rsidP="00901FEA">
            <w:pPr>
              <w:jc w:val="both"/>
              <w:rPr>
                <w:lang w:val="en-GB"/>
              </w:rPr>
            </w:pPr>
          </w:p>
        </w:tc>
        <w:tc>
          <w:tcPr>
            <w:tcW w:w="3148" w:type="dxa"/>
          </w:tcPr>
          <w:p w:rsidR="00AB0149" w:rsidRPr="008A4DD9" w:rsidRDefault="00AB0149" w:rsidP="00901FEA">
            <w:pPr>
              <w:jc w:val="both"/>
              <w:rPr>
                <w:lang w:val="en-US"/>
              </w:rPr>
            </w:pPr>
          </w:p>
        </w:tc>
      </w:tr>
      <w:tr w:rsidR="00AB0149" w:rsidRPr="00DD6DF3" w:rsidTr="00901FEA">
        <w:tc>
          <w:tcPr>
            <w:tcW w:w="3652" w:type="dxa"/>
          </w:tcPr>
          <w:p w:rsidR="00AB0149" w:rsidRDefault="00AB0149" w:rsidP="00901FEA">
            <w:pPr>
              <w:jc w:val="both"/>
              <w:rPr>
                <w:iCs/>
                <w:lang w:val="en-US"/>
              </w:rPr>
            </w:pPr>
            <w:r w:rsidRPr="00C03157">
              <w:rPr>
                <w:b/>
                <w:iCs/>
                <w:lang w:val="en-GB"/>
              </w:rPr>
              <w:t>Targets from WSIS+10</w:t>
            </w:r>
            <w:r>
              <w:rPr>
                <w:b/>
                <w:iCs/>
                <w:lang w:val="en-GB"/>
              </w:rPr>
              <w:t xml:space="preserve"> </w:t>
            </w:r>
            <w:r w:rsidRPr="00C03157">
              <w:rPr>
                <w:b/>
                <w:iCs/>
                <w:lang w:val="en-GB"/>
              </w:rPr>
              <w:t>Vision for WSIS beyond 2015</w:t>
            </w:r>
          </w:p>
        </w:tc>
        <w:tc>
          <w:tcPr>
            <w:tcW w:w="2771" w:type="dxa"/>
          </w:tcPr>
          <w:p w:rsidR="00AB0149" w:rsidRPr="00090BAD" w:rsidRDefault="00AB0149" w:rsidP="00901FEA">
            <w:pPr>
              <w:jc w:val="both"/>
              <w:rPr>
                <w:lang w:val="en-GB"/>
              </w:rPr>
            </w:pPr>
          </w:p>
        </w:tc>
        <w:tc>
          <w:tcPr>
            <w:tcW w:w="3148" w:type="dxa"/>
          </w:tcPr>
          <w:p w:rsidR="00AB0149" w:rsidRPr="008A4DD9" w:rsidRDefault="00AB0149" w:rsidP="00901FEA">
            <w:pPr>
              <w:jc w:val="both"/>
              <w:rPr>
                <w:lang w:val="en-US"/>
              </w:rPr>
            </w:pPr>
          </w:p>
        </w:tc>
      </w:tr>
      <w:tr w:rsidR="00AB0149" w:rsidRPr="00DD6DF3" w:rsidTr="00901FEA">
        <w:tc>
          <w:tcPr>
            <w:tcW w:w="3652" w:type="dxa"/>
          </w:tcPr>
          <w:p w:rsidR="00AB0149" w:rsidRPr="008A4DD9" w:rsidRDefault="00AB0149" w:rsidP="00901FEA">
            <w:pPr>
              <w:jc w:val="both"/>
              <w:rPr>
                <w:lang w:val="en-US"/>
              </w:rPr>
            </w:pPr>
            <w:r>
              <w:rPr>
                <w:iCs/>
                <w:lang w:val="en-US"/>
              </w:rPr>
              <w:t>l) Encourage and promote joint use of traditional media and new technologies.</w:t>
            </w:r>
          </w:p>
        </w:tc>
        <w:tc>
          <w:tcPr>
            <w:tcW w:w="2771" w:type="dxa"/>
          </w:tcPr>
          <w:p w:rsidR="00AB0149" w:rsidRPr="00090BAD" w:rsidRDefault="00AB0149" w:rsidP="00901FEA">
            <w:pPr>
              <w:jc w:val="both"/>
              <w:rPr>
                <w:lang w:val="en-GB"/>
              </w:rPr>
            </w:pPr>
          </w:p>
        </w:tc>
        <w:tc>
          <w:tcPr>
            <w:tcW w:w="3148" w:type="dxa"/>
          </w:tcPr>
          <w:p w:rsidR="00AB0149" w:rsidRPr="008A4DD9" w:rsidRDefault="00AB0149" w:rsidP="00901FEA">
            <w:pPr>
              <w:jc w:val="both"/>
              <w:rPr>
                <w:lang w:val="en-US"/>
              </w:rPr>
            </w:pPr>
          </w:p>
        </w:tc>
      </w:tr>
      <w:tr w:rsidR="00AB0149" w:rsidRPr="00DD6DF3" w:rsidTr="00901FEA">
        <w:tc>
          <w:tcPr>
            <w:tcW w:w="3652" w:type="dxa"/>
          </w:tcPr>
          <w:p w:rsidR="00AB0149" w:rsidRPr="00090BAD" w:rsidRDefault="00AB0149" w:rsidP="00901FEA">
            <w:pPr>
              <w:autoSpaceDE w:val="0"/>
              <w:autoSpaceDN w:val="0"/>
              <w:adjustRightInd w:val="0"/>
              <w:jc w:val="both"/>
              <w:rPr>
                <w:iCs/>
                <w:lang w:val="en-GB"/>
              </w:rPr>
            </w:pPr>
            <w:r w:rsidRPr="001522D7">
              <w:rPr>
                <w:iCs/>
                <w:lang w:val="en-GB"/>
              </w:rPr>
              <w:t>a. Develop a well-planned, well-maintained, robust, economic, and efficient Broadband infrastructure to ensure the delivery of high quality services including, affordable access to the Internet, information and technologies for citizens.</w:t>
            </w:r>
          </w:p>
        </w:tc>
        <w:tc>
          <w:tcPr>
            <w:tcW w:w="2771" w:type="dxa"/>
          </w:tcPr>
          <w:p w:rsidR="00AB0149" w:rsidRPr="001522D7" w:rsidRDefault="00AB0149" w:rsidP="00901FEA">
            <w:pPr>
              <w:autoSpaceDE w:val="0"/>
              <w:autoSpaceDN w:val="0"/>
              <w:adjustRightInd w:val="0"/>
              <w:jc w:val="both"/>
              <w:rPr>
                <w:iCs/>
                <w:lang w:val="en-GB"/>
              </w:rPr>
            </w:pPr>
          </w:p>
        </w:tc>
        <w:tc>
          <w:tcPr>
            <w:tcW w:w="3148" w:type="dxa"/>
          </w:tcPr>
          <w:p w:rsidR="00AB0149" w:rsidRPr="008A4DD9" w:rsidRDefault="00AB0149" w:rsidP="00901FEA">
            <w:pPr>
              <w:jc w:val="both"/>
              <w:rPr>
                <w:lang w:val="en-US"/>
              </w:rPr>
            </w:pPr>
          </w:p>
        </w:tc>
      </w:tr>
      <w:tr w:rsidR="00AB0149" w:rsidRPr="00DD6DF3" w:rsidTr="00901FEA">
        <w:tc>
          <w:tcPr>
            <w:tcW w:w="3652" w:type="dxa"/>
          </w:tcPr>
          <w:p w:rsidR="00AB0149" w:rsidRPr="00090BAD" w:rsidRDefault="00AB0149" w:rsidP="00901FEA">
            <w:pPr>
              <w:autoSpaceDE w:val="0"/>
              <w:autoSpaceDN w:val="0"/>
              <w:adjustRightInd w:val="0"/>
              <w:jc w:val="both"/>
              <w:rPr>
                <w:iCs/>
                <w:lang w:val="en-GB"/>
              </w:rPr>
            </w:pPr>
            <w:r w:rsidRPr="001522D7">
              <w:rPr>
                <w:iCs/>
                <w:lang w:val="en-GB"/>
              </w:rPr>
              <w:t>b. Development of affordable network/consumer telecommunications equipment, access and services by economy of scale, development, and conformity and interoperability, by international standards are key elements.</w:t>
            </w:r>
          </w:p>
        </w:tc>
        <w:tc>
          <w:tcPr>
            <w:tcW w:w="2771" w:type="dxa"/>
          </w:tcPr>
          <w:p w:rsidR="00AB0149" w:rsidRPr="001522D7" w:rsidRDefault="00AB0149" w:rsidP="00901FEA">
            <w:pPr>
              <w:autoSpaceDE w:val="0"/>
              <w:autoSpaceDN w:val="0"/>
              <w:adjustRightInd w:val="0"/>
              <w:jc w:val="both"/>
              <w:rPr>
                <w:iCs/>
                <w:lang w:val="en-GB"/>
              </w:rPr>
            </w:pPr>
          </w:p>
        </w:tc>
        <w:tc>
          <w:tcPr>
            <w:tcW w:w="3148" w:type="dxa"/>
          </w:tcPr>
          <w:p w:rsidR="00AB0149" w:rsidRPr="008A4DD9" w:rsidRDefault="00AB0149" w:rsidP="00901FEA">
            <w:pPr>
              <w:jc w:val="both"/>
              <w:rPr>
                <w:lang w:val="en-US"/>
              </w:rPr>
            </w:pPr>
          </w:p>
        </w:tc>
      </w:tr>
      <w:tr w:rsidR="00AB0149" w:rsidRPr="00DD6DF3" w:rsidTr="00901FEA">
        <w:tc>
          <w:tcPr>
            <w:tcW w:w="3652" w:type="dxa"/>
          </w:tcPr>
          <w:p w:rsidR="00AB0149" w:rsidRPr="001522D7" w:rsidRDefault="00AB0149" w:rsidP="00901FEA">
            <w:pPr>
              <w:autoSpaceDE w:val="0"/>
              <w:autoSpaceDN w:val="0"/>
              <w:adjustRightInd w:val="0"/>
              <w:jc w:val="both"/>
              <w:rPr>
                <w:lang w:val="en-GB"/>
              </w:rPr>
            </w:pPr>
            <w:r w:rsidRPr="001522D7">
              <w:rPr>
                <w:iCs/>
                <w:lang w:val="en-GB"/>
              </w:rPr>
              <w:t>c. Using policy and financing mechanisms such as Universal Service Funds and/or Public-Private Partnership, to connect and cover rural and remote areas with affordable Broadband information and communication infrastructure. To attract private investment, competition and adequate market liberalization policies to</w:t>
            </w:r>
            <w:r>
              <w:rPr>
                <w:iCs/>
                <w:lang w:val="en-GB"/>
              </w:rPr>
              <w:t xml:space="preserve"> </w:t>
            </w:r>
            <w:r w:rsidRPr="001522D7">
              <w:rPr>
                <w:iCs/>
                <w:lang w:val="en-GB"/>
              </w:rPr>
              <w:t xml:space="preserve">develop the </w:t>
            </w:r>
            <w:r w:rsidRPr="001522D7">
              <w:rPr>
                <w:iCs/>
                <w:lang w:val="en-GB"/>
              </w:rPr>
              <w:lastRenderedPageBreak/>
              <w:t>infrastructure, financing, and new business models need to be studied and deployed, taking into account national circumstances.</w:t>
            </w:r>
          </w:p>
        </w:tc>
        <w:tc>
          <w:tcPr>
            <w:tcW w:w="2771" w:type="dxa"/>
          </w:tcPr>
          <w:p w:rsidR="00AB0149" w:rsidRPr="001522D7" w:rsidRDefault="00AB0149" w:rsidP="00901FEA">
            <w:pPr>
              <w:autoSpaceDE w:val="0"/>
              <w:autoSpaceDN w:val="0"/>
              <w:adjustRightInd w:val="0"/>
              <w:jc w:val="both"/>
              <w:rPr>
                <w:iCs/>
                <w:lang w:val="en-GB"/>
              </w:rPr>
            </w:pPr>
          </w:p>
        </w:tc>
        <w:tc>
          <w:tcPr>
            <w:tcW w:w="3148" w:type="dxa"/>
          </w:tcPr>
          <w:p w:rsidR="00AB0149" w:rsidRPr="008A4DD9" w:rsidRDefault="00AB0149" w:rsidP="00901FEA">
            <w:pPr>
              <w:jc w:val="both"/>
              <w:rPr>
                <w:lang w:val="en-US"/>
              </w:rPr>
            </w:pPr>
          </w:p>
        </w:tc>
      </w:tr>
      <w:tr w:rsidR="00AB0149" w:rsidRPr="00DD6DF3" w:rsidTr="00901FEA">
        <w:tc>
          <w:tcPr>
            <w:tcW w:w="3652" w:type="dxa"/>
          </w:tcPr>
          <w:p w:rsidR="00AB0149" w:rsidRPr="001522D7" w:rsidRDefault="00AB0149" w:rsidP="00901FEA">
            <w:pPr>
              <w:autoSpaceDE w:val="0"/>
              <w:autoSpaceDN w:val="0"/>
              <w:adjustRightInd w:val="0"/>
              <w:jc w:val="both"/>
              <w:rPr>
                <w:iCs/>
                <w:lang w:val="en-GB"/>
              </w:rPr>
            </w:pPr>
            <w:r w:rsidRPr="001522D7">
              <w:rPr>
                <w:iCs/>
                <w:lang w:val="en-GB"/>
              </w:rPr>
              <w:t xml:space="preserve">d. Emergency telecommunication services </w:t>
            </w:r>
            <w:proofErr w:type="gramStart"/>
            <w:r w:rsidRPr="001522D7">
              <w:rPr>
                <w:iCs/>
                <w:lang w:val="en-GB"/>
              </w:rPr>
              <w:t>should be secured</w:t>
            </w:r>
            <w:proofErr w:type="gramEnd"/>
            <w:r w:rsidRPr="001522D7">
              <w:rPr>
                <w:iCs/>
                <w:lang w:val="en-GB"/>
              </w:rPr>
              <w:t>. A resilient and robust information and communication infrastructure is an essential step to ensure the continuity</w:t>
            </w:r>
          </w:p>
          <w:p w:rsidR="00AB0149" w:rsidRPr="00090BAD" w:rsidRDefault="00AB0149" w:rsidP="00901FEA">
            <w:pPr>
              <w:jc w:val="both"/>
              <w:rPr>
                <w:lang w:val="en-GB"/>
              </w:rPr>
            </w:pPr>
          </w:p>
        </w:tc>
        <w:tc>
          <w:tcPr>
            <w:tcW w:w="2771" w:type="dxa"/>
          </w:tcPr>
          <w:p w:rsidR="00AB0149" w:rsidRPr="001522D7" w:rsidRDefault="00AB0149" w:rsidP="00901FEA">
            <w:pPr>
              <w:autoSpaceDE w:val="0"/>
              <w:autoSpaceDN w:val="0"/>
              <w:adjustRightInd w:val="0"/>
              <w:jc w:val="both"/>
              <w:rPr>
                <w:iCs/>
                <w:lang w:val="en-GB"/>
              </w:rPr>
            </w:pPr>
          </w:p>
        </w:tc>
        <w:tc>
          <w:tcPr>
            <w:tcW w:w="3148" w:type="dxa"/>
          </w:tcPr>
          <w:p w:rsidR="00AB0149" w:rsidRPr="008A4DD9" w:rsidRDefault="00AB0149" w:rsidP="00901FEA">
            <w:pPr>
              <w:jc w:val="both"/>
              <w:rPr>
                <w:lang w:val="en-US"/>
              </w:rPr>
            </w:pPr>
          </w:p>
        </w:tc>
      </w:tr>
    </w:tbl>
    <w:p w:rsidR="00A700F1" w:rsidRDefault="009C4567" w:rsidP="00901FEA">
      <w:pPr>
        <w:autoSpaceDE w:val="0"/>
        <w:autoSpaceDN w:val="0"/>
        <w:adjustRightInd w:val="0"/>
        <w:spacing w:after="0" w:line="240" w:lineRule="auto"/>
        <w:rPr>
          <w:lang w:val="en-US"/>
        </w:rPr>
      </w:pPr>
    </w:p>
    <w:p w:rsidR="00DD6DF3" w:rsidRPr="00DD6DF3" w:rsidRDefault="00DD6DF3" w:rsidP="00DD6DF3">
      <w:pPr>
        <w:autoSpaceDE w:val="0"/>
        <w:autoSpaceDN w:val="0"/>
        <w:adjustRightInd w:val="0"/>
        <w:spacing w:after="0" w:line="240" w:lineRule="auto"/>
        <w:jc w:val="center"/>
        <w:rPr>
          <w:u w:val="single"/>
          <w:lang w:val="en-US"/>
        </w:rPr>
      </w:pPr>
      <w:r>
        <w:rPr>
          <w:u w:val="single"/>
          <w:lang w:val="en-US"/>
        </w:rPr>
        <w:t>                                            </w:t>
      </w:r>
    </w:p>
    <w:sectPr w:rsidR="00DD6DF3" w:rsidRPr="00DD6D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700B2"/>
    <w:multiLevelType w:val="hybridMultilevel"/>
    <w:tmpl w:val="83889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2C125B"/>
    <w:multiLevelType w:val="hybridMultilevel"/>
    <w:tmpl w:val="E58007D4"/>
    <w:lvl w:ilvl="0" w:tplc="ECE4A30E">
      <w:start w:val="1"/>
      <w:numFmt w:val="lowerRoman"/>
      <w:lvlText w:val="%1)"/>
      <w:lvlJc w:val="left"/>
      <w:pPr>
        <w:tabs>
          <w:tab w:val="num" w:pos="1080"/>
        </w:tabs>
        <w:ind w:left="720" w:hanging="360"/>
      </w:pPr>
      <w:rPr>
        <w:rFonts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149"/>
    <w:rsid w:val="00017C58"/>
    <w:rsid w:val="00510EF3"/>
    <w:rsid w:val="00626EB7"/>
    <w:rsid w:val="00901FEA"/>
    <w:rsid w:val="009C43C1"/>
    <w:rsid w:val="009C4567"/>
    <w:rsid w:val="00A53ADE"/>
    <w:rsid w:val="00AB0149"/>
    <w:rsid w:val="00DD6DF3"/>
    <w:rsid w:val="00E16460"/>
    <w:rsid w:val="00E66186"/>
    <w:rsid w:val="00F90A2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60FE8-E687-48CE-8BD4-743DDA91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149"/>
  </w:style>
  <w:style w:type="paragraph" w:styleId="Heading2">
    <w:name w:val="heading 2"/>
    <w:basedOn w:val="Normal"/>
    <w:next w:val="Normal"/>
    <w:link w:val="Heading2Char"/>
    <w:qFormat/>
    <w:rsid w:val="00AB0149"/>
    <w:pPr>
      <w:keepNext/>
      <w:spacing w:after="120" w:line="240" w:lineRule="auto"/>
      <w:ind w:left="567"/>
      <w:outlineLvl w:val="1"/>
    </w:pPr>
    <w:rPr>
      <w:rFonts w:ascii="Times New Roman Bold" w:eastAsia="Times New Roman" w:hAnsi="Times New Roman Bold" w:cs="Times New Roman"/>
      <w:b/>
      <w:sz w:val="24"/>
      <w:u w:val="single"/>
      <w:lang w:val="en-GB"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0149"/>
    <w:rPr>
      <w:rFonts w:ascii="Times New Roman Bold" w:eastAsia="Times New Roman" w:hAnsi="Times New Roman Bold" w:cs="Times New Roman"/>
      <w:b/>
      <w:sz w:val="24"/>
      <w:u w:val="single"/>
      <w:lang w:val="en-GB" w:eastAsia="fr-CH"/>
    </w:rPr>
  </w:style>
  <w:style w:type="character" w:customStyle="1" w:styleId="tlid-translation">
    <w:name w:val="tlid-translation"/>
    <w:basedOn w:val="DefaultParagraphFont"/>
    <w:rsid w:val="00AB0149"/>
  </w:style>
  <w:style w:type="paragraph" w:styleId="ListParagraph">
    <w:name w:val="List Paragraph"/>
    <w:basedOn w:val="Normal"/>
    <w:uiPriority w:val="34"/>
    <w:qFormat/>
    <w:rsid w:val="00AB0149"/>
    <w:pPr>
      <w:ind w:left="720"/>
      <w:contextualSpacing/>
    </w:pPr>
  </w:style>
  <w:style w:type="paragraph" w:customStyle="1" w:styleId="ResNo">
    <w:name w:val="Res_No"/>
    <w:basedOn w:val="Normal"/>
    <w:next w:val="Normal"/>
    <w:rsid w:val="00AB0149"/>
    <w:pPr>
      <w:tabs>
        <w:tab w:val="left" w:pos="567"/>
        <w:tab w:val="left" w:pos="1134"/>
        <w:tab w:val="left" w:pos="1701"/>
        <w:tab w:val="left" w:pos="2268"/>
        <w:tab w:val="left" w:pos="2835"/>
      </w:tabs>
      <w:overflowPunct w:val="0"/>
      <w:autoSpaceDE w:val="0"/>
      <w:autoSpaceDN w:val="0"/>
      <w:adjustRightInd w:val="0"/>
      <w:spacing w:before="720" w:after="0" w:line="240" w:lineRule="auto"/>
      <w:jc w:val="center"/>
    </w:pPr>
    <w:rPr>
      <w:rFonts w:ascii="Calibri" w:eastAsia="Times New Roman" w:hAnsi="Calibri" w:cs="Times New Roman"/>
      <w:caps/>
      <w:sz w:val="28"/>
      <w:szCs w:val="20"/>
      <w:lang w:val="en-GB"/>
    </w:rPr>
  </w:style>
  <w:style w:type="paragraph" w:customStyle="1" w:styleId="Source">
    <w:name w:val="Source"/>
    <w:basedOn w:val="Normal"/>
    <w:rsid w:val="00AB0149"/>
    <w:pPr>
      <w:spacing w:before="480" w:after="120" w:line="240" w:lineRule="auto"/>
      <w:jc w:val="center"/>
    </w:pPr>
    <w:rPr>
      <w:rFonts w:eastAsia="SimSun" w:cs="Calibri"/>
      <w:sz w:val="28"/>
      <w:szCs w:val="28"/>
      <w:lang w:val="en-AU" w:eastAsia="zh-CN"/>
    </w:rPr>
  </w:style>
  <w:style w:type="table" w:styleId="TableGrid">
    <w:name w:val="Table Grid"/>
    <w:basedOn w:val="TableNormal"/>
    <w:uiPriority w:val="59"/>
    <w:rsid w:val="00AB0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1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F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1367</Words>
  <Characters>7797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ФГУП НИИР</Company>
  <LinksUpToDate>false</LinksUpToDate>
  <CharactersWithSpaces>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Минкин Владимир Маркович</dc:creator>
  <cp:lastModifiedBy>Janin, Patricia</cp:lastModifiedBy>
  <cp:revision>3</cp:revision>
  <dcterms:created xsi:type="dcterms:W3CDTF">2020-01-06T07:36:00Z</dcterms:created>
  <dcterms:modified xsi:type="dcterms:W3CDTF">2020-01-06T07:42:00Z</dcterms:modified>
</cp:coreProperties>
</file>