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0636C7" w:rsidRPr="00D613F6" w14:paraId="063F73E8" w14:textId="77777777" w:rsidTr="00651235">
        <w:trPr>
          <w:cantSplit/>
        </w:trPr>
        <w:tc>
          <w:tcPr>
            <w:tcW w:w="6096" w:type="dxa"/>
            <w:vAlign w:val="center"/>
          </w:tcPr>
          <w:p w14:paraId="0046798E" w14:textId="77777777" w:rsidR="000636C7" w:rsidRPr="00D613F6" w:rsidRDefault="000636C7" w:rsidP="00651235">
            <w:pPr>
              <w:rPr>
                <w:b/>
                <w:position w:val="6"/>
                <w:sz w:val="26"/>
                <w:szCs w:val="26"/>
              </w:rPr>
            </w:pPr>
            <w:r w:rsidRPr="000F2E67">
              <w:rPr>
                <w:b/>
                <w:position w:val="6"/>
                <w:sz w:val="30"/>
                <w:szCs w:val="30"/>
              </w:rPr>
              <w:t>Council Working Group on</w:t>
            </w:r>
            <w:r>
              <w:rPr>
                <w:b/>
                <w:position w:val="6"/>
                <w:sz w:val="30"/>
                <w:szCs w:val="30"/>
              </w:rPr>
              <w:t xml:space="preserve"> WSIS&amp;SDG</w:t>
            </w:r>
            <w:r>
              <w:rPr>
                <w:b/>
                <w:position w:val="6"/>
                <w:sz w:val="30"/>
                <w:szCs w:val="30"/>
              </w:rPr>
              <w:br/>
            </w:r>
            <w:r w:rsidRPr="00B55DE5">
              <w:rPr>
                <w:rFonts w:cstheme="minorHAnsi"/>
                <w:b/>
                <w:sz w:val="22"/>
                <w:szCs w:val="22"/>
              </w:rPr>
              <w:t xml:space="preserve">35th meeting </w:t>
            </w:r>
            <w:r w:rsidRPr="00B55DE5">
              <w:rPr>
                <w:rFonts w:eastAsia="Calibri" w:cstheme="minorHAnsi"/>
                <w:b/>
                <w:color w:val="000000"/>
                <w:sz w:val="22"/>
                <w:szCs w:val="22"/>
              </w:rPr>
              <w:t>–</w:t>
            </w:r>
            <w:r w:rsidRPr="00B55DE5">
              <w:rPr>
                <w:rFonts w:cstheme="minorHAnsi"/>
                <w:b/>
                <w:sz w:val="22"/>
                <w:szCs w:val="22"/>
              </w:rPr>
              <w:t xml:space="preserve"> Geneva, 6-7 February 2020</w:t>
            </w:r>
          </w:p>
        </w:tc>
        <w:tc>
          <w:tcPr>
            <w:tcW w:w="4218" w:type="dxa"/>
          </w:tcPr>
          <w:p w14:paraId="2AB1E8DF" w14:textId="77777777" w:rsidR="000636C7" w:rsidRPr="00D613F6" w:rsidRDefault="000636C7" w:rsidP="00B55DE5">
            <w:pPr>
              <w:spacing w:after="120" w:line="240" w:lineRule="atLeast"/>
            </w:pPr>
            <w:bookmarkStart w:id="0" w:name="ditulogo"/>
            <w:bookmarkEnd w:id="0"/>
            <w:r>
              <w:rPr>
                <w:noProof/>
                <w:lang w:val="en-GB" w:eastAsia="zh-CN"/>
              </w:rPr>
              <w:drawing>
                <wp:inline distT="0" distB="0" distL="0" distR="0" wp14:anchorId="250469FB" wp14:editId="3AC9BC7F">
                  <wp:extent cx="648000"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684000"/>
                          </a:xfrm>
                          <a:prstGeom prst="rect">
                            <a:avLst/>
                          </a:prstGeom>
                        </pic:spPr>
                      </pic:pic>
                    </a:graphicData>
                  </a:graphic>
                </wp:inline>
              </w:drawing>
            </w:r>
          </w:p>
        </w:tc>
      </w:tr>
      <w:tr w:rsidR="000636C7" w:rsidRPr="00D613F6" w14:paraId="55AE6358" w14:textId="77777777" w:rsidTr="00651235">
        <w:trPr>
          <w:cantSplit/>
        </w:trPr>
        <w:tc>
          <w:tcPr>
            <w:tcW w:w="6096" w:type="dxa"/>
            <w:tcBorders>
              <w:top w:val="single" w:sz="12" w:space="0" w:color="auto"/>
            </w:tcBorders>
          </w:tcPr>
          <w:p w14:paraId="4B4E3252" w14:textId="77777777" w:rsidR="000636C7" w:rsidRPr="00D613F6" w:rsidRDefault="000636C7" w:rsidP="00651235">
            <w:pPr>
              <w:snapToGrid w:val="0"/>
              <w:rPr>
                <w:b/>
                <w:smallCaps/>
              </w:rPr>
            </w:pPr>
          </w:p>
        </w:tc>
        <w:tc>
          <w:tcPr>
            <w:tcW w:w="4218" w:type="dxa"/>
            <w:tcBorders>
              <w:top w:val="single" w:sz="12" w:space="0" w:color="auto"/>
            </w:tcBorders>
          </w:tcPr>
          <w:p w14:paraId="11ED3F9F" w14:textId="77777777" w:rsidR="000636C7" w:rsidRPr="00D613F6" w:rsidRDefault="000636C7" w:rsidP="00651235">
            <w:pPr>
              <w:snapToGrid w:val="0"/>
              <w:ind w:left="209"/>
              <w:rPr>
                <w:rFonts w:ascii="Verdana" w:hAnsi="Verdana"/>
              </w:rPr>
            </w:pPr>
          </w:p>
        </w:tc>
      </w:tr>
      <w:tr w:rsidR="000636C7" w:rsidRPr="00D1370A" w14:paraId="026F2424" w14:textId="77777777" w:rsidTr="00651235">
        <w:trPr>
          <w:cantSplit/>
          <w:trHeight w:val="23"/>
        </w:trPr>
        <w:tc>
          <w:tcPr>
            <w:tcW w:w="6096" w:type="dxa"/>
            <w:vMerge w:val="restart"/>
          </w:tcPr>
          <w:p w14:paraId="1E2603BB" w14:textId="77777777" w:rsidR="000636C7" w:rsidRPr="00D613F6" w:rsidRDefault="000636C7" w:rsidP="00651235">
            <w:pPr>
              <w:snapToGrid w:val="0"/>
              <w:rPr>
                <w:b/>
              </w:rPr>
            </w:pPr>
          </w:p>
        </w:tc>
        <w:tc>
          <w:tcPr>
            <w:tcW w:w="4218" w:type="dxa"/>
          </w:tcPr>
          <w:p w14:paraId="3369F1D4" w14:textId="0E4956E4" w:rsidR="000636C7" w:rsidRPr="00CA20F2" w:rsidRDefault="000636C7" w:rsidP="00B55DE5">
            <w:pPr>
              <w:snapToGrid w:val="0"/>
              <w:ind w:left="57"/>
              <w:rPr>
                <w:rFonts w:cstheme="minorHAnsi"/>
                <w:b/>
                <w:spacing w:val="-4"/>
                <w:lang w:val="de-CH"/>
              </w:rPr>
            </w:pPr>
            <w:r w:rsidRPr="00CA20F2">
              <w:rPr>
                <w:rFonts w:cstheme="minorHAnsi"/>
                <w:b/>
                <w:spacing w:val="-4"/>
                <w:lang w:val="de-CH"/>
              </w:rPr>
              <w:t>Document CWG-WSIS&amp;SDG-3</w:t>
            </w:r>
            <w:r>
              <w:rPr>
                <w:rFonts w:cstheme="minorHAnsi"/>
                <w:b/>
                <w:spacing w:val="-4"/>
                <w:lang w:val="de-CH"/>
              </w:rPr>
              <w:t>5</w:t>
            </w:r>
            <w:r w:rsidRPr="00CA20F2">
              <w:rPr>
                <w:rFonts w:cstheme="minorHAnsi"/>
                <w:b/>
                <w:spacing w:val="-4"/>
                <w:lang w:val="de-CH"/>
              </w:rPr>
              <w:t>/</w:t>
            </w:r>
            <w:r w:rsidR="00B55DE5">
              <w:rPr>
                <w:rFonts w:cstheme="minorHAnsi"/>
                <w:b/>
                <w:spacing w:val="-4"/>
                <w:lang w:val="de-CH"/>
              </w:rPr>
              <w:t>5</w:t>
            </w:r>
            <w:r w:rsidRPr="00CA20F2">
              <w:rPr>
                <w:rFonts w:cstheme="minorHAnsi"/>
                <w:b/>
                <w:spacing w:val="-4"/>
                <w:lang w:val="de-CH"/>
              </w:rPr>
              <w:t>-E</w:t>
            </w:r>
          </w:p>
        </w:tc>
      </w:tr>
      <w:tr w:rsidR="000636C7" w:rsidRPr="00AB6E27" w14:paraId="52690112" w14:textId="77777777" w:rsidTr="00651235">
        <w:trPr>
          <w:cantSplit/>
          <w:trHeight w:val="23"/>
        </w:trPr>
        <w:tc>
          <w:tcPr>
            <w:tcW w:w="6096" w:type="dxa"/>
            <w:vMerge/>
          </w:tcPr>
          <w:p w14:paraId="7CCA2F8C" w14:textId="77777777" w:rsidR="000636C7" w:rsidRPr="00D613F6" w:rsidRDefault="000636C7" w:rsidP="00651235">
            <w:pPr>
              <w:snapToGrid w:val="0"/>
              <w:rPr>
                <w:b/>
                <w:lang w:val="de-CH"/>
              </w:rPr>
            </w:pPr>
          </w:p>
        </w:tc>
        <w:tc>
          <w:tcPr>
            <w:tcW w:w="4218" w:type="dxa"/>
          </w:tcPr>
          <w:p w14:paraId="738F1016" w14:textId="3FDF6A0F" w:rsidR="000636C7" w:rsidRPr="00AB6E27" w:rsidRDefault="00B55DE5" w:rsidP="00651235">
            <w:pPr>
              <w:snapToGrid w:val="0"/>
              <w:ind w:left="57"/>
              <w:rPr>
                <w:rFonts w:cstheme="minorHAnsi"/>
                <w:b/>
              </w:rPr>
            </w:pPr>
            <w:r>
              <w:rPr>
                <w:rFonts w:cstheme="minorHAnsi"/>
                <w:b/>
              </w:rPr>
              <w:t>10 December</w:t>
            </w:r>
            <w:r w:rsidR="000636C7">
              <w:rPr>
                <w:rFonts w:cstheme="minorHAnsi"/>
                <w:b/>
              </w:rPr>
              <w:t xml:space="preserve"> 2019</w:t>
            </w:r>
          </w:p>
        </w:tc>
      </w:tr>
      <w:tr w:rsidR="000636C7" w:rsidRPr="00CA20F2" w14:paraId="69D4D910" w14:textId="77777777" w:rsidTr="00651235">
        <w:trPr>
          <w:cantSplit/>
          <w:trHeight w:val="80"/>
        </w:trPr>
        <w:tc>
          <w:tcPr>
            <w:tcW w:w="6096" w:type="dxa"/>
            <w:vMerge/>
          </w:tcPr>
          <w:p w14:paraId="215AEABB" w14:textId="77777777" w:rsidR="000636C7" w:rsidRPr="00E544AC" w:rsidRDefault="000636C7" w:rsidP="00651235">
            <w:pPr>
              <w:snapToGrid w:val="0"/>
              <w:rPr>
                <w:b/>
              </w:rPr>
            </w:pPr>
          </w:p>
        </w:tc>
        <w:tc>
          <w:tcPr>
            <w:tcW w:w="4218" w:type="dxa"/>
          </w:tcPr>
          <w:p w14:paraId="37EBBD95" w14:textId="77777777" w:rsidR="000636C7" w:rsidRPr="00CA20F2" w:rsidRDefault="000636C7" w:rsidP="00651235">
            <w:pPr>
              <w:snapToGrid w:val="0"/>
              <w:ind w:left="57"/>
              <w:rPr>
                <w:rFonts w:cstheme="minorHAnsi"/>
                <w:b/>
              </w:rPr>
            </w:pPr>
            <w:r w:rsidRPr="00CA20F2">
              <w:rPr>
                <w:rFonts w:cstheme="minorHAnsi"/>
                <w:b/>
              </w:rPr>
              <w:t>English only</w:t>
            </w:r>
          </w:p>
        </w:tc>
      </w:tr>
      <w:tr w:rsidR="000636C7" w:rsidRPr="007D5130" w14:paraId="5B620288" w14:textId="77777777" w:rsidTr="00651235">
        <w:trPr>
          <w:cantSplit/>
          <w:trHeight w:val="80"/>
        </w:trPr>
        <w:tc>
          <w:tcPr>
            <w:tcW w:w="10314" w:type="dxa"/>
            <w:gridSpan w:val="2"/>
          </w:tcPr>
          <w:p w14:paraId="25983625" w14:textId="64AB3DBF" w:rsidR="000636C7" w:rsidRPr="005E4587" w:rsidRDefault="005E4587" w:rsidP="005E4587">
            <w:pPr>
              <w:pStyle w:val="ListParagraph"/>
              <w:keepNext/>
              <w:keepLines/>
              <w:spacing w:before="720" w:after="240" w:line="259" w:lineRule="auto"/>
              <w:ind w:left="34"/>
              <w:contextualSpacing/>
              <w:jc w:val="center"/>
              <w:rPr>
                <w:rFonts w:cstheme="minorHAnsi"/>
                <w:b/>
                <w:sz w:val="28"/>
                <w:szCs w:val="28"/>
              </w:rPr>
            </w:pPr>
            <w:r w:rsidRPr="008B491C">
              <w:rPr>
                <w:rFonts w:cstheme="minorHAnsi"/>
                <w:b/>
                <w:sz w:val="28"/>
                <w:szCs w:val="28"/>
              </w:rPr>
              <w:t>World Telecommunication and Information Society Day 2020</w:t>
            </w:r>
          </w:p>
        </w:tc>
      </w:tr>
    </w:tbl>
    <w:p w14:paraId="13C6020F" w14:textId="77777777" w:rsidR="008B491C" w:rsidRPr="008B491C" w:rsidRDefault="008B491C" w:rsidP="005E4587">
      <w:pPr>
        <w:snapToGrid w:val="0"/>
        <w:spacing w:before="240" w:after="120"/>
        <w:jc w:val="both"/>
        <w:rPr>
          <w:b/>
        </w:rPr>
      </w:pPr>
      <w:r w:rsidRPr="008B491C">
        <w:rPr>
          <w:b/>
        </w:rPr>
        <w:t>1.</w:t>
      </w:r>
      <w:r w:rsidRPr="008B491C">
        <w:rPr>
          <w:b/>
        </w:rPr>
        <w:tab/>
        <w:t xml:space="preserve">Background </w:t>
      </w:r>
    </w:p>
    <w:p w14:paraId="5D2AFE5F" w14:textId="270D4792" w:rsidR="008B491C" w:rsidRPr="008B491C" w:rsidRDefault="008B491C" w:rsidP="00B55DE5">
      <w:pPr>
        <w:snapToGrid w:val="0"/>
        <w:spacing w:before="120" w:after="120"/>
        <w:jc w:val="both"/>
        <w:rPr>
          <w:bCs/>
        </w:rPr>
      </w:pPr>
      <w:r w:rsidRPr="008B491C">
        <w:rPr>
          <w:bCs/>
        </w:rPr>
        <w:t>1.1.</w:t>
      </w:r>
      <w:r w:rsidRPr="008B491C">
        <w:rPr>
          <w:bCs/>
        </w:rPr>
        <w:tab/>
      </w:r>
      <w:r w:rsidRPr="008B491C">
        <w:rPr>
          <w:bCs/>
          <w:i/>
          <w:iCs/>
        </w:rPr>
        <w:t>World Telecommunication Day</w:t>
      </w:r>
      <w:r w:rsidRPr="008B491C">
        <w:rPr>
          <w:bCs/>
        </w:rPr>
        <w:t xml:space="preserve"> </w:t>
      </w:r>
      <w:proofErr w:type="gramStart"/>
      <w:r w:rsidRPr="008B491C">
        <w:rPr>
          <w:bCs/>
        </w:rPr>
        <w:t>has been celebrated</w:t>
      </w:r>
      <w:proofErr w:type="gramEnd"/>
      <w:r w:rsidRPr="008B491C">
        <w:rPr>
          <w:bCs/>
        </w:rPr>
        <w:t xml:space="preserve"> annually on 17 May since 1969, marking the date of the founding of ITU and the signing of the first International Telegraph Convention in 1865. </w:t>
      </w:r>
      <w:proofErr w:type="gramStart"/>
      <w:r w:rsidRPr="008B491C">
        <w:rPr>
          <w:bCs/>
        </w:rPr>
        <w:t xml:space="preserve">It was formally instituted by the Plenipotentiary Conference in Malaga </w:t>
      </w:r>
      <w:proofErr w:type="spellStart"/>
      <w:r w:rsidRPr="008B491C">
        <w:rPr>
          <w:bCs/>
        </w:rPr>
        <w:t>Torremolinos</w:t>
      </w:r>
      <w:proofErr w:type="spellEnd"/>
      <w:proofErr w:type="gramEnd"/>
      <w:r w:rsidRPr="008B491C">
        <w:rPr>
          <w:bCs/>
        </w:rPr>
        <w:t xml:space="preserve"> in 1973. In recognition of ITU as the lead United Nations agency for telecommunications and information and communication technologies (ICTs), the World Summit on the Information Society (WSIS) in Tunis, November 2005, called on the United Nations General Assembly to proclaim 17 May as World Information Society Day (</w:t>
      </w:r>
      <w:hyperlink r:id="rId9" w:history="1">
        <w:r w:rsidRPr="008B491C">
          <w:rPr>
            <w:rStyle w:val="Hyperlink"/>
            <w:bCs/>
          </w:rPr>
          <w:t>see paragraph 121 of the Tunis Agenda</w:t>
        </w:r>
      </w:hyperlink>
      <w:r w:rsidRPr="008B491C">
        <w:rPr>
          <w:bCs/>
        </w:rPr>
        <w:t>).</w:t>
      </w:r>
    </w:p>
    <w:p w14:paraId="5EC4C2A4" w14:textId="77777777" w:rsidR="008B491C" w:rsidRPr="008B491C" w:rsidRDefault="008B491C" w:rsidP="00B55DE5">
      <w:pPr>
        <w:snapToGrid w:val="0"/>
        <w:spacing w:before="120" w:after="120"/>
        <w:jc w:val="both"/>
        <w:rPr>
          <w:bCs/>
        </w:rPr>
      </w:pPr>
      <w:r w:rsidRPr="008B491C">
        <w:rPr>
          <w:bCs/>
        </w:rPr>
        <w:t>1.2.</w:t>
      </w:r>
      <w:r w:rsidRPr="008B491C">
        <w:rPr>
          <w:bCs/>
        </w:rPr>
        <w:tab/>
        <w:t xml:space="preserve">On 27 March 2006, the United Nations General Assembly adopted Resolution 60/252, proclaiming 17 May as World Information Society Day to focus global attention annually on bringing the enormous benefits of the digital revolution in ICTs to the world’s inhabitants. </w:t>
      </w:r>
    </w:p>
    <w:p w14:paraId="7E2D257F" w14:textId="62801377" w:rsidR="000636C7" w:rsidRDefault="008B491C" w:rsidP="00B55DE5">
      <w:pPr>
        <w:snapToGrid w:val="0"/>
        <w:spacing w:before="120" w:after="120"/>
        <w:jc w:val="both"/>
        <w:rPr>
          <w:bCs/>
        </w:rPr>
      </w:pPr>
      <w:r w:rsidRPr="008B491C">
        <w:rPr>
          <w:bCs/>
        </w:rPr>
        <w:t>1.3.</w:t>
      </w:r>
      <w:r w:rsidRPr="008B491C">
        <w:rPr>
          <w:bCs/>
        </w:rPr>
        <w:tab/>
        <w:t xml:space="preserve">The ITU Plenipotentiary Conference in November 2006 welcomed the General Assembly’s decision and amended Resolution 68 to invite the Council to adopt a specific theme for each </w:t>
      </w:r>
      <w:r w:rsidRPr="008B491C">
        <w:rPr>
          <w:bCs/>
          <w:i/>
          <w:iCs/>
        </w:rPr>
        <w:t>World Telecommunication and Information Society Day</w:t>
      </w:r>
      <w:r w:rsidR="00283DCF">
        <w:rPr>
          <w:bCs/>
          <w:i/>
          <w:iCs/>
        </w:rPr>
        <w:t xml:space="preserve"> (WTISD)</w:t>
      </w:r>
      <w:r w:rsidRPr="008B491C">
        <w:rPr>
          <w:bCs/>
        </w:rPr>
        <w:t>.</w:t>
      </w:r>
    </w:p>
    <w:p w14:paraId="38A671FE" w14:textId="0E7FE25E" w:rsidR="008B491C" w:rsidRDefault="008B491C" w:rsidP="00B55DE5">
      <w:pPr>
        <w:snapToGrid w:val="0"/>
        <w:spacing w:before="120" w:after="120"/>
        <w:jc w:val="both"/>
        <w:rPr>
          <w:bCs/>
        </w:rPr>
      </w:pPr>
      <w:r>
        <w:rPr>
          <w:bCs/>
        </w:rPr>
        <w:t>1.4.</w:t>
      </w:r>
      <w:r>
        <w:rPr>
          <w:bCs/>
        </w:rPr>
        <w:tab/>
      </w:r>
      <w:r w:rsidRPr="008B491C">
        <w:rPr>
          <w:bCs/>
        </w:rPr>
        <w:t xml:space="preserve">The theme for WTISD-20 approved by the 2019 Session of </w:t>
      </w:r>
      <w:r w:rsidR="00B55DE5">
        <w:rPr>
          <w:bCs/>
        </w:rPr>
        <w:t xml:space="preserve">the </w:t>
      </w:r>
      <w:r w:rsidRPr="008B491C">
        <w:rPr>
          <w:bCs/>
        </w:rPr>
        <w:t>Council is “Connect 2030: ICTs for the Sustainable Development Goals (SDGs)”.</w:t>
      </w:r>
    </w:p>
    <w:p w14:paraId="4F13EB84" w14:textId="5B1BE5DF" w:rsidR="008B491C" w:rsidRDefault="008B491C" w:rsidP="00B55DE5">
      <w:pPr>
        <w:snapToGrid w:val="0"/>
        <w:spacing w:before="120" w:after="120"/>
        <w:jc w:val="both"/>
        <w:rPr>
          <w:bCs/>
        </w:rPr>
      </w:pPr>
      <w:r>
        <w:rPr>
          <w:bCs/>
        </w:rPr>
        <w:t>1.5.</w:t>
      </w:r>
      <w:r>
        <w:rPr>
          <w:bCs/>
        </w:rPr>
        <w:tab/>
      </w:r>
      <w:r w:rsidRPr="008B491C">
        <w:rPr>
          <w:bCs/>
        </w:rPr>
        <w:t>The theme is also in line with Resolution 200 (Rev. Dubai, 2018) and Resolution 71 (Rev. Dubai, 2018)</w:t>
      </w:r>
      <w:r w:rsidR="00B55DE5">
        <w:rPr>
          <w:bCs/>
        </w:rPr>
        <w:t xml:space="preserve"> of the Plenipotentiary Confer</w:t>
      </w:r>
      <w:r w:rsidR="00B55DE5">
        <w:rPr>
          <w:bCs/>
        </w:rPr>
        <w:lastRenderedPageBreak/>
        <w:t>ence</w:t>
      </w:r>
      <w:r w:rsidRPr="008B491C">
        <w:rPr>
          <w:bCs/>
        </w:rPr>
        <w:t>, which defines the Connect 2030 Agenda for telecommunications/ICTs, fully aligned with the strategic plan of the Union (2020-2023) and the global efforts to ‘Connect the unconnected’.</w:t>
      </w:r>
    </w:p>
    <w:p w14:paraId="4978EDB2" w14:textId="5E19E59D" w:rsidR="008B491C" w:rsidRDefault="008B491C" w:rsidP="00B55DE5">
      <w:pPr>
        <w:snapToGrid w:val="0"/>
        <w:spacing w:before="120" w:after="120"/>
        <w:jc w:val="both"/>
        <w:rPr>
          <w:bCs/>
        </w:rPr>
      </w:pPr>
      <w:r>
        <w:rPr>
          <w:bCs/>
        </w:rPr>
        <w:t>1.6.</w:t>
      </w:r>
      <w:r>
        <w:rPr>
          <w:bCs/>
        </w:rPr>
        <w:tab/>
        <w:t xml:space="preserve">A briefing </w:t>
      </w:r>
      <w:r w:rsidR="00FE7D38">
        <w:rPr>
          <w:bCs/>
        </w:rPr>
        <w:t>on the WTISD</w:t>
      </w:r>
      <w:r w:rsidR="00283DCF">
        <w:rPr>
          <w:bCs/>
        </w:rPr>
        <w:t>-</w:t>
      </w:r>
      <w:r w:rsidR="00FE7D38">
        <w:rPr>
          <w:bCs/>
        </w:rPr>
        <w:t xml:space="preserve">20 plan </w:t>
      </w:r>
      <w:proofErr w:type="gramStart"/>
      <w:r w:rsidR="00FE7D38">
        <w:rPr>
          <w:bCs/>
        </w:rPr>
        <w:t xml:space="preserve">has already </w:t>
      </w:r>
      <w:r w:rsidR="00283DCF">
        <w:rPr>
          <w:bCs/>
        </w:rPr>
        <w:t xml:space="preserve">been </w:t>
      </w:r>
      <w:r w:rsidR="00FE7D38">
        <w:rPr>
          <w:bCs/>
        </w:rPr>
        <w:t>presented</w:t>
      </w:r>
      <w:proofErr w:type="gramEnd"/>
      <w:r w:rsidR="00FE7D38">
        <w:rPr>
          <w:bCs/>
        </w:rPr>
        <w:t xml:space="preserve"> to the CWG-WSIS&amp;SDG </w:t>
      </w:r>
      <w:r w:rsidR="00283DCF">
        <w:rPr>
          <w:bCs/>
        </w:rPr>
        <w:t xml:space="preserve">in </w:t>
      </w:r>
      <w:r w:rsidR="00FE7D38">
        <w:rPr>
          <w:bCs/>
        </w:rPr>
        <w:t>September 2019.</w:t>
      </w:r>
    </w:p>
    <w:p w14:paraId="13644B95" w14:textId="60EDFA76" w:rsidR="008B491C" w:rsidRDefault="00B55DE5" w:rsidP="00B55DE5">
      <w:pPr>
        <w:snapToGrid w:val="0"/>
        <w:spacing w:before="360" w:after="120"/>
        <w:jc w:val="both"/>
        <w:rPr>
          <w:b/>
        </w:rPr>
      </w:pPr>
      <w:r>
        <w:rPr>
          <w:b/>
        </w:rPr>
        <w:t>2.</w:t>
      </w:r>
      <w:r w:rsidR="008B491C" w:rsidRPr="008B491C">
        <w:rPr>
          <w:b/>
        </w:rPr>
        <w:tab/>
      </w:r>
      <w:r w:rsidR="00283DCF" w:rsidRPr="00283DCF">
        <w:rPr>
          <w:b/>
        </w:rPr>
        <w:t>World Telecommunication and Information Society Day 20</w:t>
      </w:r>
      <w:r w:rsidR="00283DCF">
        <w:rPr>
          <w:b/>
        </w:rPr>
        <w:t>20</w:t>
      </w:r>
    </w:p>
    <w:p w14:paraId="04E66D0B" w14:textId="471E578E" w:rsidR="00FE7D38" w:rsidRDefault="00FE7D38" w:rsidP="005E4587">
      <w:pPr>
        <w:snapToGrid w:val="0"/>
        <w:spacing w:before="120" w:after="120"/>
        <w:jc w:val="both"/>
        <w:rPr>
          <w:bCs/>
        </w:rPr>
      </w:pPr>
      <w:proofErr w:type="gramStart"/>
      <w:r>
        <w:rPr>
          <w:bCs/>
        </w:rPr>
        <w:t>2.1.</w:t>
      </w:r>
      <w:r>
        <w:rPr>
          <w:bCs/>
        </w:rPr>
        <w:tab/>
      </w:r>
      <w:r w:rsidRPr="00FE7D38">
        <w:rPr>
          <w:bCs/>
        </w:rPr>
        <w:t xml:space="preserve">WTISD-20 will represent a unique opportunity for ITU membership to commemorate ICT’s contribution to the advancement of the Information Society, and to present the </w:t>
      </w:r>
      <w:r w:rsidR="005E4587">
        <w:rPr>
          <w:bCs/>
        </w:rPr>
        <w:t>“</w:t>
      </w:r>
      <w:r w:rsidRPr="00FE7D38">
        <w:rPr>
          <w:bCs/>
        </w:rPr>
        <w:t>Connect 2030 Agenda for Global Telecommun</w:t>
      </w:r>
      <w:r w:rsidR="00B55DE5">
        <w:rPr>
          <w:bCs/>
        </w:rPr>
        <w:t>ication/ICT Development</w:t>
      </w:r>
      <w:r w:rsidR="005E4587">
        <w:rPr>
          <w:bCs/>
        </w:rPr>
        <w:t>”</w:t>
      </w:r>
      <w:r w:rsidR="00B55DE5">
        <w:rPr>
          <w:bCs/>
        </w:rPr>
        <w:t xml:space="preserve"> (</w:t>
      </w:r>
      <w:r w:rsidRPr="00FE7D38">
        <w:rPr>
          <w:bCs/>
        </w:rPr>
        <w:t xml:space="preserve">Resolution 200, Rev. Dubai, 2018) now linked to the Strategic Plan of the Union for the period 2020-2023, and specifically focusing on how technological advances in the coming </w:t>
      </w:r>
      <w:r w:rsidR="00D1370A">
        <w:rPr>
          <w:bCs/>
        </w:rPr>
        <w:t>ten</w:t>
      </w:r>
      <w:r w:rsidRPr="00FE7D38">
        <w:rPr>
          <w:bCs/>
        </w:rPr>
        <w:t xml:space="preserve"> years will contribute to accelerate the achievement of the SDGs of the UN 2030 Agenda for Sustainable Development.</w:t>
      </w:r>
      <w:proofErr w:type="gramEnd"/>
    </w:p>
    <w:p w14:paraId="3C25A181" w14:textId="7FC49DFF" w:rsidR="00FE7D38" w:rsidRDefault="00FE7D38" w:rsidP="00B55DE5">
      <w:pPr>
        <w:snapToGrid w:val="0"/>
        <w:spacing w:before="120" w:after="120"/>
        <w:jc w:val="both"/>
        <w:rPr>
          <w:bCs/>
        </w:rPr>
      </w:pPr>
      <w:r>
        <w:rPr>
          <w:bCs/>
        </w:rPr>
        <w:t>2.2.</w:t>
      </w:r>
      <w:r>
        <w:rPr>
          <w:bCs/>
        </w:rPr>
        <w:tab/>
      </w:r>
      <w:r w:rsidRPr="00FE7D38">
        <w:rPr>
          <w:bCs/>
        </w:rPr>
        <w:t>As per Resolution 200 (Rev. Dubai</w:t>
      </w:r>
      <w:r w:rsidR="005E4587">
        <w:rPr>
          <w:bCs/>
        </w:rPr>
        <w:t>,</w:t>
      </w:r>
      <w:r w:rsidRPr="00FE7D38">
        <w:rPr>
          <w:bCs/>
        </w:rPr>
        <w:t xml:space="preserve"> 2018), ITU is committed to reaffirm a shared global vision for the development of the telecommunication/ICT sector, under the Connect 2030 Agenda envisaging "an information society, empowered by the interconnected world, where telecommunications/ICTs enable and accelerate social, economic and environmentally sustainable growth and development for everyone".</w:t>
      </w:r>
    </w:p>
    <w:p w14:paraId="4E24DF6F" w14:textId="4BCF04A5" w:rsidR="00C93939" w:rsidRDefault="00C93939" w:rsidP="00B55DE5">
      <w:pPr>
        <w:snapToGrid w:val="0"/>
        <w:spacing w:before="120" w:after="120"/>
        <w:jc w:val="both"/>
        <w:rPr>
          <w:bCs/>
        </w:rPr>
      </w:pPr>
      <w:r>
        <w:rPr>
          <w:bCs/>
        </w:rPr>
        <w:t>2.3.</w:t>
      </w:r>
      <w:r>
        <w:rPr>
          <w:bCs/>
        </w:rPr>
        <w:tab/>
      </w:r>
      <w:r w:rsidRPr="00C93939">
        <w:rPr>
          <w:bCs/>
        </w:rPr>
        <w:t>The theme “Connect 2030: ICTs for the Sustainable Development Goals (SDGs)”, will allow ITU membership to focus on specific ICT-enabled solutions and emerging trends for fostering economic, environmental and social sustainability, contributing to the five strategic goals of the Connect 2030 Agenda: Growth, Inclusiveness, Sustainability, Innovation and Partnership.</w:t>
      </w:r>
    </w:p>
    <w:p w14:paraId="76F4403D" w14:textId="50165E3F" w:rsidR="00FE7D38" w:rsidRDefault="00FE7D38" w:rsidP="00B55DE5">
      <w:pPr>
        <w:snapToGrid w:val="0"/>
        <w:spacing w:before="120" w:after="120"/>
        <w:jc w:val="both"/>
        <w:rPr>
          <w:bCs/>
        </w:rPr>
      </w:pPr>
      <w:r>
        <w:rPr>
          <w:bCs/>
        </w:rPr>
        <w:t>2.3.</w:t>
      </w:r>
      <w:r>
        <w:rPr>
          <w:bCs/>
        </w:rPr>
        <w:tab/>
      </w:r>
      <w:r w:rsidRPr="00FE7D38">
        <w:rPr>
          <w:bCs/>
        </w:rPr>
        <w:t xml:space="preserve">The ITU secretariat </w:t>
      </w:r>
      <w:r w:rsidR="00304E1B">
        <w:rPr>
          <w:bCs/>
        </w:rPr>
        <w:t>has d</w:t>
      </w:r>
      <w:r w:rsidRPr="00FE7D38">
        <w:rPr>
          <w:bCs/>
        </w:rPr>
        <w:t>evelop</w:t>
      </w:r>
      <w:r w:rsidR="00304E1B">
        <w:rPr>
          <w:bCs/>
        </w:rPr>
        <w:t>ed</w:t>
      </w:r>
      <w:r w:rsidRPr="00FE7D38">
        <w:rPr>
          <w:bCs/>
        </w:rPr>
        <w:t xml:space="preserve"> a more detailed plan of activities for the WTISD-20 </w:t>
      </w:r>
      <w:proofErr w:type="gramStart"/>
      <w:r w:rsidRPr="00FE7D38">
        <w:rPr>
          <w:bCs/>
        </w:rPr>
        <w:t xml:space="preserve">celebrations, </w:t>
      </w:r>
      <w:r>
        <w:rPr>
          <w:bCs/>
        </w:rPr>
        <w:t>that</w:t>
      </w:r>
      <w:proofErr w:type="gramEnd"/>
      <w:r>
        <w:rPr>
          <w:bCs/>
        </w:rPr>
        <w:t xml:space="preserve"> includes:</w:t>
      </w:r>
    </w:p>
    <w:p w14:paraId="5CCE3A07" w14:textId="63486719" w:rsidR="00C93939" w:rsidRPr="00C93939" w:rsidRDefault="00FE7D38" w:rsidP="005E4587">
      <w:pPr>
        <w:pStyle w:val="ListParagraph"/>
        <w:numPr>
          <w:ilvl w:val="0"/>
          <w:numId w:val="8"/>
        </w:numPr>
        <w:snapToGrid w:val="0"/>
        <w:spacing w:before="120" w:after="120"/>
        <w:ind w:left="709" w:hanging="567"/>
        <w:jc w:val="both"/>
        <w:rPr>
          <w:bCs/>
        </w:rPr>
      </w:pPr>
      <w:r w:rsidRPr="00C93939">
        <w:rPr>
          <w:bCs/>
        </w:rPr>
        <w:t xml:space="preserve">a Circular Letter </w:t>
      </w:r>
      <w:r w:rsidR="00C93939" w:rsidRPr="00C93939">
        <w:rPr>
          <w:bCs/>
        </w:rPr>
        <w:t xml:space="preserve">sent to </w:t>
      </w:r>
      <w:r w:rsidRPr="00C93939">
        <w:rPr>
          <w:bCs/>
        </w:rPr>
        <w:t>ITU membership</w:t>
      </w:r>
      <w:r w:rsidR="00C93939" w:rsidRPr="00C93939">
        <w:rPr>
          <w:bCs/>
        </w:rPr>
        <w:t xml:space="preserve"> with</w:t>
      </w:r>
      <w:r w:rsidRPr="00C93939">
        <w:rPr>
          <w:bCs/>
        </w:rPr>
        <w:t xml:space="preserve"> a call for action to endorse the high-level strategic goals and targets set out in the strategic plan of the Union and global broadband targets, </w:t>
      </w:r>
      <w:r w:rsidR="00C93939" w:rsidRPr="00C93939">
        <w:rPr>
          <w:bCs/>
        </w:rPr>
        <w:t xml:space="preserve">as well </w:t>
      </w:r>
      <w:r w:rsidR="00C93939" w:rsidRPr="00C93939">
        <w:rPr>
          <w:bCs/>
        </w:rPr>
        <w:lastRenderedPageBreak/>
        <w:t xml:space="preserve">as </w:t>
      </w:r>
      <w:r w:rsidRPr="00C93939">
        <w:rPr>
          <w:bCs/>
        </w:rPr>
        <w:t>inspiring and inviting all stakeholders and entities to work together to implement the Connect 2030 Agenda, contributing to the implementation of the 2030 Age</w:t>
      </w:r>
      <w:r w:rsidR="005E4587">
        <w:rPr>
          <w:bCs/>
        </w:rPr>
        <w:t>nda for Sustainable Development;</w:t>
      </w:r>
    </w:p>
    <w:p w14:paraId="61AA59BF" w14:textId="2B517C60" w:rsidR="00C93939" w:rsidRPr="00766094" w:rsidRDefault="00C93939" w:rsidP="005E4587">
      <w:pPr>
        <w:pStyle w:val="ListParagraph"/>
        <w:numPr>
          <w:ilvl w:val="0"/>
          <w:numId w:val="7"/>
        </w:numPr>
        <w:snapToGrid w:val="0"/>
        <w:spacing w:before="120" w:after="120"/>
        <w:ind w:left="709" w:hanging="567"/>
        <w:jc w:val="both"/>
        <w:rPr>
          <w:bCs/>
        </w:rPr>
      </w:pPr>
      <w:r w:rsidRPr="00766094">
        <w:rPr>
          <w:bCs/>
        </w:rPr>
        <w:t xml:space="preserve">a </w:t>
      </w:r>
      <w:r w:rsidR="001C1C46" w:rsidRPr="00766094">
        <w:rPr>
          <w:bCs/>
        </w:rPr>
        <w:t>T</w:t>
      </w:r>
      <w:r w:rsidRPr="00766094">
        <w:rPr>
          <w:bCs/>
        </w:rPr>
        <w:t>oolkit</w:t>
      </w:r>
      <w:r w:rsidR="001C1C46" w:rsidRPr="00766094">
        <w:rPr>
          <w:bCs/>
        </w:rPr>
        <w:t xml:space="preserve"> </w:t>
      </w:r>
      <w:r w:rsidRPr="00766094">
        <w:rPr>
          <w:bCs/>
        </w:rPr>
        <w:t xml:space="preserve">explaining how the membership can be part of the celebration by explaining the objectives, the </w:t>
      </w:r>
      <w:r w:rsidR="001C1C46" w:rsidRPr="00766094">
        <w:rPr>
          <w:bCs/>
        </w:rPr>
        <w:t>events</w:t>
      </w:r>
      <w:r w:rsidRPr="00766094">
        <w:rPr>
          <w:bCs/>
        </w:rPr>
        <w:t xml:space="preserve"> that can be organized at the national, regional and international level, the expected contribution of the Connect 2030 Agenda, and providing different materials to support the </w:t>
      </w:r>
      <w:r w:rsidR="001C1C46" w:rsidRPr="00766094">
        <w:rPr>
          <w:bCs/>
        </w:rPr>
        <w:t>activities</w:t>
      </w:r>
      <w:r w:rsidR="005E4587" w:rsidRPr="00766094">
        <w:rPr>
          <w:bCs/>
        </w:rPr>
        <w:t>;</w:t>
      </w:r>
    </w:p>
    <w:p w14:paraId="5CFA0611" w14:textId="6E55E706" w:rsidR="00C93939" w:rsidRPr="00766094" w:rsidRDefault="00763B1D" w:rsidP="005E4587">
      <w:pPr>
        <w:pStyle w:val="ListParagraph"/>
        <w:numPr>
          <w:ilvl w:val="0"/>
          <w:numId w:val="7"/>
        </w:numPr>
        <w:snapToGrid w:val="0"/>
        <w:spacing w:before="120" w:after="120"/>
        <w:ind w:left="709" w:hanging="567"/>
        <w:jc w:val="both"/>
        <w:rPr>
          <w:bCs/>
        </w:rPr>
      </w:pPr>
      <w:r w:rsidRPr="00766094">
        <w:rPr>
          <w:bCs/>
        </w:rPr>
        <w:t>a</w:t>
      </w:r>
      <w:r w:rsidR="00C93939" w:rsidRPr="00766094">
        <w:rPr>
          <w:bCs/>
        </w:rPr>
        <w:t xml:space="preserve"> WTISD-20 webpage </w:t>
      </w:r>
      <w:r w:rsidRPr="00766094">
        <w:rPr>
          <w:bCs/>
        </w:rPr>
        <w:t xml:space="preserve">where to post all </w:t>
      </w:r>
      <w:r w:rsidR="001C1C46" w:rsidRPr="00766094">
        <w:rPr>
          <w:bCs/>
        </w:rPr>
        <w:t>success stories and national strategies towards “Connect 2030”</w:t>
      </w:r>
      <w:r w:rsidR="005E4587" w:rsidRPr="00766094">
        <w:rPr>
          <w:bCs/>
        </w:rPr>
        <w:t>;</w:t>
      </w:r>
    </w:p>
    <w:p w14:paraId="504215D9" w14:textId="6DA41CA8" w:rsidR="00763B1D" w:rsidRPr="00763B1D" w:rsidRDefault="00763B1D" w:rsidP="005E4587">
      <w:pPr>
        <w:pStyle w:val="ListParagraph"/>
        <w:numPr>
          <w:ilvl w:val="0"/>
          <w:numId w:val="7"/>
        </w:numPr>
        <w:snapToGrid w:val="0"/>
        <w:spacing w:before="120" w:after="120"/>
        <w:ind w:left="709" w:hanging="567"/>
        <w:jc w:val="both"/>
        <w:rPr>
          <w:bCs/>
        </w:rPr>
      </w:pPr>
      <w:bookmarkStart w:id="1" w:name="_GoBack"/>
      <w:bookmarkEnd w:id="1"/>
      <w:r w:rsidRPr="00763B1D">
        <w:rPr>
          <w:bCs/>
        </w:rPr>
        <w:t xml:space="preserve">a visual identity and a communication campaign to promote the WTISD-20, and also to present the Connect 2030 Agenda, to strengthen the role of ICTs to accelerate the achievement of the UN SDGs, and to </w:t>
      </w:r>
      <w:r>
        <w:rPr>
          <w:bCs/>
        </w:rPr>
        <w:t>r</w:t>
      </w:r>
      <w:r w:rsidRPr="00763B1D">
        <w:rPr>
          <w:bCs/>
        </w:rPr>
        <w:t>ais</w:t>
      </w:r>
      <w:r>
        <w:rPr>
          <w:bCs/>
        </w:rPr>
        <w:t>e</w:t>
      </w:r>
      <w:r w:rsidRPr="00763B1D">
        <w:rPr>
          <w:bCs/>
        </w:rPr>
        <w:t xml:space="preserve"> awareness of the importance of connectivity, as well as specific ICT-enabled solutions and emerging trends for fostering economic, environmental and social sustainability.</w:t>
      </w:r>
    </w:p>
    <w:p w14:paraId="63D3BF29" w14:textId="451B76C3" w:rsidR="005E4587" w:rsidRDefault="00FE7D38" w:rsidP="00766094">
      <w:pPr>
        <w:snapToGrid w:val="0"/>
        <w:spacing w:before="240" w:after="120"/>
        <w:jc w:val="both"/>
        <w:rPr>
          <w:bCs/>
        </w:rPr>
      </w:pPr>
      <w:r>
        <w:rPr>
          <w:bCs/>
        </w:rPr>
        <w:t>2.4.</w:t>
      </w:r>
      <w:r>
        <w:rPr>
          <w:bCs/>
        </w:rPr>
        <w:tab/>
      </w:r>
      <w:r w:rsidR="00C93939">
        <w:rPr>
          <w:bCs/>
        </w:rPr>
        <w:t xml:space="preserve">More information related to the WTISD-20 </w:t>
      </w:r>
      <w:proofErr w:type="gramStart"/>
      <w:r w:rsidR="00C93939">
        <w:rPr>
          <w:bCs/>
        </w:rPr>
        <w:t>can be found</w:t>
      </w:r>
      <w:proofErr w:type="gramEnd"/>
      <w:r w:rsidR="00C93939">
        <w:rPr>
          <w:bCs/>
        </w:rPr>
        <w:t xml:space="preserve"> in </w:t>
      </w:r>
      <w:hyperlink r:id="rId10" w:history="1">
        <w:r w:rsidR="00766094">
          <w:rPr>
            <w:rStyle w:val="Hyperlink"/>
          </w:rPr>
          <w:t>https://www.itu.int/en/wtisd/2020/Pages/default.aspx</w:t>
        </w:r>
      </w:hyperlink>
      <w:r w:rsidR="00766094">
        <w:t>.</w:t>
      </w:r>
    </w:p>
    <w:p w14:paraId="2EADC61D" w14:textId="4D5966FA" w:rsidR="00763B1D" w:rsidRDefault="00763B1D" w:rsidP="005E4587">
      <w:pPr>
        <w:snapToGrid w:val="0"/>
        <w:spacing w:before="120" w:after="120"/>
        <w:jc w:val="both"/>
        <w:rPr>
          <w:bCs/>
        </w:rPr>
      </w:pPr>
      <w:r>
        <w:rPr>
          <w:bCs/>
        </w:rPr>
        <w:t>2.5.</w:t>
      </w:r>
      <w:r>
        <w:rPr>
          <w:bCs/>
        </w:rPr>
        <w:tab/>
      </w:r>
      <w:r w:rsidR="001C1C46" w:rsidRPr="001C1C46">
        <w:rPr>
          <w:bCs/>
        </w:rPr>
        <w:t xml:space="preserve">The ITU secretariat </w:t>
      </w:r>
      <w:r w:rsidR="001C1C46">
        <w:rPr>
          <w:bCs/>
        </w:rPr>
        <w:t xml:space="preserve">will continue to communicate ITU membership about the preparations for </w:t>
      </w:r>
      <w:r w:rsidR="001C1C46" w:rsidRPr="001C1C46">
        <w:rPr>
          <w:bCs/>
        </w:rPr>
        <w:t>World Telecommunication and Information Society Day</w:t>
      </w:r>
      <w:r w:rsidR="001C1C46">
        <w:rPr>
          <w:bCs/>
        </w:rPr>
        <w:t xml:space="preserve"> 2020 by official means and </w:t>
      </w:r>
      <w:r w:rsidR="00304E1B">
        <w:rPr>
          <w:bCs/>
        </w:rPr>
        <w:t>through the</w:t>
      </w:r>
      <w:r w:rsidR="001C1C46">
        <w:rPr>
          <w:bCs/>
        </w:rPr>
        <w:t xml:space="preserve"> communications campaign.</w:t>
      </w:r>
    </w:p>
    <w:p w14:paraId="78F48BDA" w14:textId="58A61232" w:rsidR="00B55DE5" w:rsidRPr="00FE7D38" w:rsidRDefault="00B55DE5" w:rsidP="00B55DE5">
      <w:pPr>
        <w:spacing w:before="840"/>
        <w:jc w:val="center"/>
        <w:rPr>
          <w:bCs/>
        </w:rPr>
      </w:pPr>
      <w:r>
        <w:rPr>
          <w:bCs/>
        </w:rPr>
        <w:t>_________________</w:t>
      </w:r>
    </w:p>
    <w:sectPr w:rsidR="00B55DE5" w:rsidRPr="00FE7D38" w:rsidSect="005E4587">
      <w:headerReference w:type="default" r:id="rId11"/>
      <w:footerReference w:type="first" r:id="rId12"/>
      <w:pgSz w:w="12240" w:h="15840" w:code="1"/>
      <w:pgMar w:top="1418" w:right="1247" w:bottom="1247" w:left="124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8D412" w14:textId="77777777" w:rsidR="005E4587" w:rsidRDefault="005E4587" w:rsidP="005E4587">
      <w:r>
        <w:separator/>
      </w:r>
    </w:p>
  </w:endnote>
  <w:endnote w:type="continuationSeparator" w:id="0">
    <w:p w14:paraId="4A14A413" w14:textId="77777777" w:rsidR="005E4587" w:rsidRDefault="005E4587" w:rsidP="005E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9375" w14:textId="50B75E1F" w:rsidR="005E4587" w:rsidRDefault="005E4587" w:rsidP="005E4587">
    <w:pPr>
      <w:spacing w:before="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7C17A" w14:textId="77777777" w:rsidR="005E4587" w:rsidRDefault="005E4587" w:rsidP="005E4587">
      <w:r>
        <w:separator/>
      </w:r>
    </w:p>
  </w:footnote>
  <w:footnote w:type="continuationSeparator" w:id="0">
    <w:p w14:paraId="21D99C87" w14:textId="77777777" w:rsidR="005E4587" w:rsidRDefault="005E4587" w:rsidP="005E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39E6" w14:textId="577EF31C" w:rsidR="005E4587" w:rsidRPr="005E4587" w:rsidRDefault="005E4587" w:rsidP="005E4587">
    <w:pPr>
      <w:pStyle w:val="Header"/>
      <w:spacing w:after="120"/>
      <w:jc w:val="center"/>
      <w:rPr>
        <w:sz w:val="18"/>
        <w:szCs w:val="18"/>
      </w:rPr>
    </w:pPr>
    <w:r w:rsidRPr="005E4587">
      <w:rPr>
        <w:sz w:val="18"/>
        <w:szCs w:val="18"/>
      </w:rPr>
      <w:fldChar w:fldCharType="begin"/>
    </w:r>
    <w:r w:rsidRPr="005E4587">
      <w:rPr>
        <w:sz w:val="18"/>
        <w:szCs w:val="18"/>
      </w:rPr>
      <w:instrText xml:space="preserve"> PAGE  \* Arabic  \* MERGEFORMAT </w:instrText>
    </w:r>
    <w:r w:rsidRPr="005E4587">
      <w:rPr>
        <w:sz w:val="18"/>
        <w:szCs w:val="18"/>
      </w:rPr>
      <w:fldChar w:fldCharType="separate"/>
    </w:r>
    <w:r w:rsidR="00766094">
      <w:rPr>
        <w:noProof/>
        <w:sz w:val="18"/>
        <w:szCs w:val="18"/>
      </w:rPr>
      <w:t>2</w:t>
    </w:r>
    <w:r w:rsidRPr="005E458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88C"/>
    <w:multiLevelType w:val="hybridMultilevel"/>
    <w:tmpl w:val="20907D90"/>
    <w:lvl w:ilvl="0" w:tplc="5A9224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D7172D"/>
    <w:multiLevelType w:val="hybridMultilevel"/>
    <w:tmpl w:val="7B6A1D44"/>
    <w:lvl w:ilvl="0" w:tplc="3DCAD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A5DB4"/>
    <w:multiLevelType w:val="multilevel"/>
    <w:tmpl w:val="2CDA3756"/>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sz w:val="24"/>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89B43FF"/>
    <w:multiLevelType w:val="multilevel"/>
    <w:tmpl w:val="7C7AD7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F356D"/>
    <w:multiLevelType w:val="hybridMultilevel"/>
    <w:tmpl w:val="CBE46DEC"/>
    <w:lvl w:ilvl="0" w:tplc="AAF64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169F5"/>
    <w:multiLevelType w:val="multilevel"/>
    <w:tmpl w:val="8910D3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1024F86"/>
    <w:multiLevelType w:val="hybridMultilevel"/>
    <w:tmpl w:val="B1DCC3FE"/>
    <w:lvl w:ilvl="0" w:tplc="84C87F4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C7"/>
    <w:rsid w:val="00036261"/>
    <w:rsid w:val="000636C7"/>
    <w:rsid w:val="00073DEB"/>
    <w:rsid w:val="00075A69"/>
    <w:rsid w:val="000E4D8B"/>
    <w:rsid w:val="00167C31"/>
    <w:rsid w:val="00174493"/>
    <w:rsid w:val="00185827"/>
    <w:rsid w:val="001C1C46"/>
    <w:rsid w:val="001D144F"/>
    <w:rsid w:val="00220614"/>
    <w:rsid w:val="00275AAC"/>
    <w:rsid w:val="00283DCF"/>
    <w:rsid w:val="002B2CC9"/>
    <w:rsid w:val="002B5AE3"/>
    <w:rsid w:val="00304E1B"/>
    <w:rsid w:val="00361107"/>
    <w:rsid w:val="003A44C0"/>
    <w:rsid w:val="003E2F08"/>
    <w:rsid w:val="003E5C36"/>
    <w:rsid w:val="004031EB"/>
    <w:rsid w:val="00480F22"/>
    <w:rsid w:val="00493AD6"/>
    <w:rsid w:val="004E66DB"/>
    <w:rsid w:val="004F0E1E"/>
    <w:rsid w:val="00510442"/>
    <w:rsid w:val="00525D57"/>
    <w:rsid w:val="00580965"/>
    <w:rsid w:val="005C4DAC"/>
    <w:rsid w:val="005E4587"/>
    <w:rsid w:val="00624E24"/>
    <w:rsid w:val="00684DB4"/>
    <w:rsid w:val="00691F2B"/>
    <w:rsid w:val="006943D6"/>
    <w:rsid w:val="006B14C8"/>
    <w:rsid w:val="0072204D"/>
    <w:rsid w:val="00763B1D"/>
    <w:rsid w:val="00766094"/>
    <w:rsid w:val="007819A1"/>
    <w:rsid w:val="007A5888"/>
    <w:rsid w:val="007B0125"/>
    <w:rsid w:val="007B7DE5"/>
    <w:rsid w:val="007D3090"/>
    <w:rsid w:val="008B26F1"/>
    <w:rsid w:val="008B491C"/>
    <w:rsid w:val="008C137D"/>
    <w:rsid w:val="008D6674"/>
    <w:rsid w:val="00932751"/>
    <w:rsid w:val="009A4FD7"/>
    <w:rsid w:val="009B0F8C"/>
    <w:rsid w:val="009C1CC7"/>
    <w:rsid w:val="009E3910"/>
    <w:rsid w:val="009F5C72"/>
    <w:rsid w:val="009F6D8B"/>
    <w:rsid w:val="00A267B7"/>
    <w:rsid w:val="00A531C8"/>
    <w:rsid w:val="00A614F3"/>
    <w:rsid w:val="00A7220A"/>
    <w:rsid w:val="00AA1B11"/>
    <w:rsid w:val="00AA492D"/>
    <w:rsid w:val="00AE33BC"/>
    <w:rsid w:val="00B00EF8"/>
    <w:rsid w:val="00B205E0"/>
    <w:rsid w:val="00B3593C"/>
    <w:rsid w:val="00B55DE5"/>
    <w:rsid w:val="00B75C4C"/>
    <w:rsid w:val="00BD0AB1"/>
    <w:rsid w:val="00C36573"/>
    <w:rsid w:val="00C42AF9"/>
    <w:rsid w:val="00C65F3F"/>
    <w:rsid w:val="00C93939"/>
    <w:rsid w:val="00CB0518"/>
    <w:rsid w:val="00D12316"/>
    <w:rsid w:val="00D1323C"/>
    <w:rsid w:val="00D1370A"/>
    <w:rsid w:val="00D33F3D"/>
    <w:rsid w:val="00D7224C"/>
    <w:rsid w:val="00DB6F44"/>
    <w:rsid w:val="00DF65E1"/>
    <w:rsid w:val="00E04469"/>
    <w:rsid w:val="00E16DAD"/>
    <w:rsid w:val="00E322D9"/>
    <w:rsid w:val="00E349BF"/>
    <w:rsid w:val="00E91F3A"/>
    <w:rsid w:val="00E976DF"/>
    <w:rsid w:val="00ED7265"/>
    <w:rsid w:val="00EF6CDB"/>
    <w:rsid w:val="00F51519"/>
    <w:rsid w:val="00F77650"/>
    <w:rsid w:val="00FA2B3B"/>
    <w:rsid w:val="00FB207A"/>
    <w:rsid w:val="00FC3560"/>
    <w:rsid w:val="00FC4833"/>
    <w:rsid w:val="00FD5CD2"/>
    <w:rsid w:val="00FE7D38"/>
    <w:rsid w:val="00FF3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52C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6C7"/>
    <w:pPr>
      <w:ind w:left="720"/>
    </w:pPr>
  </w:style>
  <w:style w:type="paragraph" w:styleId="NormalWeb">
    <w:name w:val="Normal (Web)"/>
    <w:basedOn w:val="Normal"/>
    <w:uiPriority w:val="99"/>
    <w:semiHidden/>
    <w:unhideWhenUsed/>
    <w:rsid w:val="00F77650"/>
    <w:rPr>
      <w:rFonts w:ascii="Times New Roman" w:hAnsi="Times New Roman" w:cs="Times New Roman"/>
    </w:rPr>
  </w:style>
  <w:style w:type="character" w:styleId="Hyperlink">
    <w:name w:val="Hyperlink"/>
    <w:basedOn w:val="DefaultParagraphFont"/>
    <w:uiPriority w:val="99"/>
    <w:unhideWhenUsed/>
    <w:rsid w:val="008B491C"/>
    <w:rPr>
      <w:color w:val="0563C1" w:themeColor="hyperlink"/>
      <w:u w:val="single"/>
    </w:rPr>
  </w:style>
  <w:style w:type="character" w:customStyle="1" w:styleId="UnresolvedMention1">
    <w:name w:val="Unresolved Mention1"/>
    <w:basedOn w:val="DefaultParagraphFont"/>
    <w:uiPriority w:val="99"/>
    <w:semiHidden/>
    <w:unhideWhenUsed/>
    <w:rsid w:val="008B491C"/>
    <w:rPr>
      <w:color w:val="605E5C"/>
      <w:shd w:val="clear" w:color="auto" w:fill="E1DFDD"/>
    </w:rPr>
  </w:style>
  <w:style w:type="character" w:styleId="CommentReference">
    <w:name w:val="annotation reference"/>
    <w:basedOn w:val="DefaultParagraphFont"/>
    <w:uiPriority w:val="99"/>
    <w:semiHidden/>
    <w:unhideWhenUsed/>
    <w:rsid w:val="001C1C46"/>
    <w:rPr>
      <w:sz w:val="16"/>
      <w:szCs w:val="16"/>
    </w:rPr>
  </w:style>
  <w:style w:type="paragraph" w:styleId="CommentText">
    <w:name w:val="annotation text"/>
    <w:basedOn w:val="Normal"/>
    <w:link w:val="CommentTextChar"/>
    <w:uiPriority w:val="99"/>
    <w:semiHidden/>
    <w:unhideWhenUsed/>
    <w:rsid w:val="001C1C46"/>
    <w:rPr>
      <w:sz w:val="20"/>
      <w:szCs w:val="20"/>
    </w:rPr>
  </w:style>
  <w:style w:type="character" w:customStyle="1" w:styleId="CommentTextChar">
    <w:name w:val="Comment Text Char"/>
    <w:basedOn w:val="DefaultParagraphFont"/>
    <w:link w:val="CommentText"/>
    <w:uiPriority w:val="99"/>
    <w:semiHidden/>
    <w:rsid w:val="001C1C46"/>
    <w:rPr>
      <w:sz w:val="20"/>
      <w:szCs w:val="20"/>
    </w:rPr>
  </w:style>
  <w:style w:type="paragraph" w:styleId="CommentSubject">
    <w:name w:val="annotation subject"/>
    <w:basedOn w:val="CommentText"/>
    <w:next w:val="CommentText"/>
    <w:link w:val="CommentSubjectChar"/>
    <w:uiPriority w:val="99"/>
    <w:semiHidden/>
    <w:unhideWhenUsed/>
    <w:rsid w:val="001C1C46"/>
    <w:rPr>
      <w:b/>
      <w:bCs/>
    </w:rPr>
  </w:style>
  <w:style w:type="character" w:customStyle="1" w:styleId="CommentSubjectChar">
    <w:name w:val="Comment Subject Char"/>
    <w:basedOn w:val="CommentTextChar"/>
    <w:link w:val="CommentSubject"/>
    <w:uiPriority w:val="99"/>
    <w:semiHidden/>
    <w:rsid w:val="001C1C46"/>
    <w:rPr>
      <w:b/>
      <w:bCs/>
      <w:sz w:val="20"/>
      <w:szCs w:val="20"/>
    </w:rPr>
  </w:style>
  <w:style w:type="paragraph" w:styleId="BalloonText">
    <w:name w:val="Balloon Text"/>
    <w:basedOn w:val="Normal"/>
    <w:link w:val="BalloonTextChar"/>
    <w:uiPriority w:val="99"/>
    <w:semiHidden/>
    <w:unhideWhenUsed/>
    <w:rsid w:val="001C1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C46"/>
    <w:rPr>
      <w:rFonts w:ascii="Segoe UI" w:hAnsi="Segoe UI" w:cs="Segoe UI"/>
      <w:sz w:val="18"/>
      <w:szCs w:val="18"/>
    </w:rPr>
  </w:style>
  <w:style w:type="paragraph" w:styleId="Header">
    <w:name w:val="header"/>
    <w:basedOn w:val="Normal"/>
    <w:link w:val="HeaderChar"/>
    <w:uiPriority w:val="99"/>
    <w:unhideWhenUsed/>
    <w:rsid w:val="005E4587"/>
    <w:pPr>
      <w:tabs>
        <w:tab w:val="center" w:pos="4513"/>
        <w:tab w:val="right" w:pos="9026"/>
      </w:tabs>
    </w:pPr>
  </w:style>
  <w:style w:type="character" w:customStyle="1" w:styleId="HeaderChar">
    <w:name w:val="Header Char"/>
    <w:basedOn w:val="DefaultParagraphFont"/>
    <w:link w:val="Header"/>
    <w:uiPriority w:val="99"/>
    <w:rsid w:val="005E4587"/>
  </w:style>
  <w:style w:type="paragraph" w:styleId="Footer">
    <w:name w:val="footer"/>
    <w:basedOn w:val="Normal"/>
    <w:link w:val="FooterChar"/>
    <w:uiPriority w:val="99"/>
    <w:unhideWhenUsed/>
    <w:rsid w:val="005E4587"/>
    <w:pPr>
      <w:tabs>
        <w:tab w:val="center" w:pos="4513"/>
        <w:tab w:val="right" w:pos="9026"/>
      </w:tabs>
    </w:pPr>
  </w:style>
  <w:style w:type="character" w:customStyle="1" w:styleId="FooterChar">
    <w:name w:val="Footer Char"/>
    <w:basedOn w:val="DefaultParagraphFont"/>
    <w:link w:val="Footer"/>
    <w:uiPriority w:val="99"/>
    <w:rsid w:val="005E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401063">
      <w:bodyDiv w:val="1"/>
      <w:marLeft w:val="0"/>
      <w:marRight w:val="0"/>
      <w:marTop w:val="0"/>
      <w:marBottom w:val="0"/>
      <w:divBdr>
        <w:top w:val="none" w:sz="0" w:space="0" w:color="auto"/>
        <w:left w:val="none" w:sz="0" w:space="0" w:color="auto"/>
        <w:bottom w:val="none" w:sz="0" w:space="0" w:color="auto"/>
        <w:right w:val="none" w:sz="0" w:space="0" w:color="auto"/>
      </w:divBdr>
      <w:divsChild>
        <w:div w:id="1846701568">
          <w:marLeft w:val="0"/>
          <w:marRight w:val="0"/>
          <w:marTop w:val="0"/>
          <w:marBottom w:val="0"/>
          <w:divBdr>
            <w:top w:val="none" w:sz="0" w:space="0" w:color="auto"/>
            <w:left w:val="none" w:sz="0" w:space="0" w:color="auto"/>
            <w:bottom w:val="none" w:sz="0" w:space="0" w:color="auto"/>
            <w:right w:val="none" w:sz="0" w:space="0" w:color="auto"/>
          </w:divBdr>
          <w:divsChild>
            <w:div w:id="401101849">
              <w:marLeft w:val="0"/>
              <w:marRight w:val="0"/>
              <w:marTop w:val="0"/>
              <w:marBottom w:val="0"/>
              <w:divBdr>
                <w:top w:val="none" w:sz="0" w:space="0" w:color="auto"/>
                <w:left w:val="none" w:sz="0" w:space="0" w:color="auto"/>
                <w:bottom w:val="none" w:sz="0" w:space="0" w:color="auto"/>
                <w:right w:val="none" w:sz="0" w:space="0" w:color="auto"/>
              </w:divBdr>
              <w:divsChild>
                <w:div w:id="9241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6497">
      <w:bodyDiv w:val="1"/>
      <w:marLeft w:val="0"/>
      <w:marRight w:val="0"/>
      <w:marTop w:val="0"/>
      <w:marBottom w:val="0"/>
      <w:divBdr>
        <w:top w:val="none" w:sz="0" w:space="0" w:color="auto"/>
        <w:left w:val="none" w:sz="0" w:space="0" w:color="auto"/>
        <w:bottom w:val="none" w:sz="0" w:space="0" w:color="auto"/>
        <w:right w:val="none" w:sz="0" w:space="0" w:color="auto"/>
      </w:divBdr>
      <w:divsChild>
        <w:div w:id="1297761429">
          <w:marLeft w:val="0"/>
          <w:marRight w:val="0"/>
          <w:marTop w:val="0"/>
          <w:marBottom w:val="0"/>
          <w:divBdr>
            <w:top w:val="none" w:sz="0" w:space="0" w:color="auto"/>
            <w:left w:val="none" w:sz="0" w:space="0" w:color="auto"/>
            <w:bottom w:val="none" w:sz="0" w:space="0" w:color="auto"/>
            <w:right w:val="none" w:sz="0" w:space="0" w:color="auto"/>
          </w:divBdr>
          <w:divsChild>
            <w:div w:id="2103211245">
              <w:marLeft w:val="0"/>
              <w:marRight w:val="0"/>
              <w:marTop w:val="0"/>
              <w:marBottom w:val="0"/>
              <w:divBdr>
                <w:top w:val="none" w:sz="0" w:space="0" w:color="auto"/>
                <w:left w:val="none" w:sz="0" w:space="0" w:color="auto"/>
                <w:bottom w:val="none" w:sz="0" w:space="0" w:color="auto"/>
                <w:right w:val="none" w:sz="0" w:space="0" w:color="auto"/>
              </w:divBdr>
              <w:divsChild>
                <w:div w:id="17590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8690">
      <w:bodyDiv w:val="1"/>
      <w:marLeft w:val="0"/>
      <w:marRight w:val="0"/>
      <w:marTop w:val="0"/>
      <w:marBottom w:val="0"/>
      <w:divBdr>
        <w:top w:val="none" w:sz="0" w:space="0" w:color="auto"/>
        <w:left w:val="none" w:sz="0" w:space="0" w:color="auto"/>
        <w:bottom w:val="none" w:sz="0" w:space="0" w:color="auto"/>
        <w:right w:val="none" w:sz="0" w:space="0" w:color="auto"/>
      </w:divBdr>
    </w:div>
    <w:div w:id="897596697">
      <w:bodyDiv w:val="1"/>
      <w:marLeft w:val="0"/>
      <w:marRight w:val="0"/>
      <w:marTop w:val="0"/>
      <w:marBottom w:val="0"/>
      <w:divBdr>
        <w:top w:val="none" w:sz="0" w:space="0" w:color="auto"/>
        <w:left w:val="none" w:sz="0" w:space="0" w:color="auto"/>
        <w:bottom w:val="none" w:sz="0" w:space="0" w:color="auto"/>
        <w:right w:val="none" w:sz="0" w:space="0" w:color="auto"/>
      </w:divBdr>
    </w:div>
    <w:div w:id="1204440156">
      <w:bodyDiv w:val="1"/>
      <w:marLeft w:val="0"/>
      <w:marRight w:val="0"/>
      <w:marTop w:val="0"/>
      <w:marBottom w:val="0"/>
      <w:divBdr>
        <w:top w:val="none" w:sz="0" w:space="0" w:color="auto"/>
        <w:left w:val="none" w:sz="0" w:space="0" w:color="auto"/>
        <w:bottom w:val="none" w:sz="0" w:space="0" w:color="auto"/>
        <w:right w:val="none" w:sz="0" w:space="0" w:color="auto"/>
      </w:divBdr>
      <w:divsChild>
        <w:div w:id="1857885674">
          <w:marLeft w:val="0"/>
          <w:marRight w:val="0"/>
          <w:marTop w:val="0"/>
          <w:marBottom w:val="0"/>
          <w:divBdr>
            <w:top w:val="none" w:sz="0" w:space="0" w:color="auto"/>
            <w:left w:val="none" w:sz="0" w:space="0" w:color="auto"/>
            <w:bottom w:val="none" w:sz="0" w:space="0" w:color="auto"/>
            <w:right w:val="none" w:sz="0" w:space="0" w:color="auto"/>
          </w:divBdr>
          <w:divsChild>
            <w:div w:id="797144195">
              <w:marLeft w:val="0"/>
              <w:marRight w:val="0"/>
              <w:marTop w:val="0"/>
              <w:marBottom w:val="0"/>
              <w:divBdr>
                <w:top w:val="none" w:sz="0" w:space="0" w:color="auto"/>
                <w:left w:val="none" w:sz="0" w:space="0" w:color="auto"/>
                <w:bottom w:val="none" w:sz="0" w:space="0" w:color="auto"/>
                <w:right w:val="none" w:sz="0" w:space="0" w:color="auto"/>
              </w:divBdr>
              <w:divsChild>
                <w:div w:id="3063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63265">
      <w:bodyDiv w:val="1"/>
      <w:marLeft w:val="0"/>
      <w:marRight w:val="0"/>
      <w:marTop w:val="0"/>
      <w:marBottom w:val="0"/>
      <w:divBdr>
        <w:top w:val="none" w:sz="0" w:space="0" w:color="auto"/>
        <w:left w:val="none" w:sz="0" w:space="0" w:color="auto"/>
        <w:bottom w:val="none" w:sz="0" w:space="0" w:color="auto"/>
        <w:right w:val="none" w:sz="0" w:space="0" w:color="auto"/>
      </w:divBdr>
      <w:divsChild>
        <w:div w:id="603539118">
          <w:marLeft w:val="0"/>
          <w:marRight w:val="0"/>
          <w:marTop w:val="0"/>
          <w:marBottom w:val="0"/>
          <w:divBdr>
            <w:top w:val="none" w:sz="0" w:space="0" w:color="auto"/>
            <w:left w:val="none" w:sz="0" w:space="0" w:color="auto"/>
            <w:bottom w:val="none" w:sz="0" w:space="0" w:color="auto"/>
            <w:right w:val="none" w:sz="0" w:space="0" w:color="auto"/>
          </w:divBdr>
          <w:divsChild>
            <w:div w:id="1925068594">
              <w:marLeft w:val="0"/>
              <w:marRight w:val="0"/>
              <w:marTop w:val="0"/>
              <w:marBottom w:val="0"/>
              <w:divBdr>
                <w:top w:val="none" w:sz="0" w:space="0" w:color="auto"/>
                <w:left w:val="none" w:sz="0" w:space="0" w:color="auto"/>
                <w:bottom w:val="none" w:sz="0" w:space="0" w:color="auto"/>
                <w:right w:val="none" w:sz="0" w:space="0" w:color="auto"/>
              </w:divBdr>
              <w:divsChild>
                <w:div w:id="7293410">
                  <w:marLeft w:val="0"/>
                  <w:marRight w:val="0"/>
                  <w:marTop w:val="0"/>
                  <w:marBottom w:val="0"/>
                  <w:divBdr>
                    <w:top w:val="none" w:sz="0" w:space="0" w:color="auto"/>
                    <w:left w:val="none" w:sz="0" w:space="0" w:color="auto"/>
                    <w:bottom w:val="none" w:sz="0" w:space="0" w:color="auto"/>
                    <w:right w:val="none" w:sz="0" w:space="0" w:color="auto"/>
                  </w:divBdr>
                </w:div>
              </w:divsChild>
            </w:div>
            <w:div w:id="232861677">
              <w:marLeft w:val="0"/>
              <w:marRight w:val="0"/>
              <w:marTop w:val="0"/>
              <w:marBottom w:val="0"/>
              <w:divBdr>
                <w:top w:val="none" w:sz="0" w:space="0" w:color="auto"/>
                <w:left w:val="none" w:sz="0" w:space="0" w:color="auto"/>
                <w:bottom w:val="none" w:sz="0" w:space="0" w:color="auto"/>
                <w:right w:val="none" w:sz="0" w:space="0" w:color="auto"/>
              </w:divBdr>
              <w:divsChild>
                <w:div w:id="5612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767">
          <w:marLeft w:val="0"/>
          <w:marRight w:val="0"/>
          <w:marTop w:val="0"/>
          <w:marBottom w:val="0"/>
          <w:divBdr>
            <w:top w:val="none" w:sz="0" w:space="0" w:color="auto"/>
            <w:left w:val="none" w:sz="0" w:space="0" w:color="auto"/>
            <w:bottom w:val="none" w:sz="0" w:space="0" w:color="auto"/>
            <w:right w:val="none" w:sz="0" w:space="0" w:color="auto"/>
          </w:divBdr>
          <w:divsChild>
            <w:div w:id="194075075">
              <w:marLeft w:val="0"/>
              <w:marRight w:val="0"/>
              <w:marTop w:val="0"/>
              <w:marBottom w:val="0"/>
              <w:divBdr>
                <w:top w:val="none" w:sz="0" w:space="0" w:color="auto"/>
                <w:left w:val="none" w:sz="0" w:space="0" w:color="auto"/>
                <w:bottom w:val="none" w:sz="0" w:space="0" w:color="auto"/>
                <w:right w:val="none" w:sz="0" w:space="0" w:color="auto"/>
              </w:divBdr>
              <w:divsChild>
                <w:div w:id="231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7500">
      <w:bodyDiv w:val="1"/>
      <w:marLeft w:val="0"/>
      <w:marRight w:val="0"/>
      <w:marTop w:val="0"/>
      <w:marBottom w:val="0"/>
      <w:divBdr>
        <w:top w:val="none" w:sz="0" w:space="0" w:color="auto"/>
        <w:left w:val="none" w:sz="0" w:space="0" w:color="auto"/>
        <w:bottom w:val="none" w:sz="0" w:space="0" w:color="auto"/>
        <w:right w:val="none" w:sz="0" w:space="0" w:color="auto"/>
      </w:divBdr>
    </w:div>
    <w:div w:id="1383941599">
      <w:bodyDiv w:val="1"/>
      <w:marLeft w:val="0"/>
      <w:marRight w:val="0"/>
      <w:marTop w:val="0"/>
      <w:marBottom w:val="0"/>
      <w:divBdr>
        <w:top w:val="none" w:sz="0" w:space="0" w:color="auto"/>
        <w:left w:val="none" w:sz="0" w:space="0" w:color="auto"/>
        <w:bottom w:val="none" w:sz="0" w:space="0" w:color="auto"/>
        <w:right w:val="none" w:sz="0" w:space="0" w:color="auto"/>
      </w:divBdr>
    </w:div>
    <w:div w:id="1903707818">
      <w:bodyDiv w:val="1"/>
      <w:marLeft w:val="0"/>
      <w:marRight w:val="0"/>
      <w:marTop w:val="0"/>
      <w:marBottom w:val="0"/>
      <w:divBdr>
        <w:top w:val="none" w:sz="0" w:space="0" w:color="auto"/>
        <w:left w:val="none" w:sz="0" w:space="0" w:color="auto"/>
        <w:bottom w:val="none" w:sz="0" w:space="0" w:color="auto"/>
        <w:right w:val="none" w:sz="0" w:space="0" w:color="auto"/>
      </w:divBdr>
    </w:div>
    <w:div w:id="1988245651">
      <w:bodyDiv w:val="1"/>
      <w:marLeft w:val="0"/>
      <w:marRight w:val="0"/>
      <w:marTop w:val="0"/>
      <w:marBottom w:val="0"/>
      <w:divBdr>
        <w:top w:val="none" w:sz="0" w:space="0" w:color="auto"/>
        <w:left w:val="none" w:sz="0" w:space="0" w:color="auto"/>
        <w:bottom w:val="none" w:sz="0" w:space="0" w:color="auto"/>
        <w:right w:val="none" w:sz="0" w:space="0" w:color="auto"/>
      </w:divBdr>
      <w:divsChild>
        <w:div w:id="851796228">
          <w:marLeft w:val="0"/>
          <w:marRight w:val="0"/>
          <w:marTop w:val="0"/>
          <w:marBottom w:val="0"/>
          <w:divBdr>
            <w:top w:val="none" w:sz="0" w:space="0" w:color="auto"/>
            <w:left w:val="none" w:sz="0" w:space="0" w:color="auto"/>
            <w:bottom w:val="none" w:sz="0" w:space="0" w:color="auto"/>
            <w:right w:val="none" w:sz="0" w:space="0" w:color="auto"/>
          </w:divBdr>
          <w:divsChild>
            <w:div w:id="73627394">
              <w:marLeft w:val="0"/>
              <w:marRight w:val="0"/>
              <w:marTop w:val="0"/>
              <w:marBottom w:val="0"/>
              <w:divBdr>
                <w:top w:val="none" w:sz="0" w:space="0" w:color="auto"/>
                <w:left w:val="none" w:sz="0" w:space="0" w:color="auto"/>
                <w:bottom w:val="none" w:sz="0" w:space="0" w:color="auto"/>
                <w:right w:val="none" w:sz="0" w:space="0" w:color="auto"/>
              </w:divBdr>
              <w:divsChild>
                <w:div w:id="19889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wtisd/2020/Pages/default.aspx" TargetMode="External"/><Relationship Id="rId4" Type="http://schemas.openxmlformats.org/officeDocument/2006/relationships/settings" Target="settings.xml"/><Relationship Id="rId9" Type="http://schemas.openxmlformats.org/officeDocument/2006/relationships/hyperlink" Target="http://www.itu.int/net/wsis/docs2/tunis/off/6rev1.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1AB3-35FA-4F06-B2FF-10280DC0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 2020</dc:title>
  <dc:subject>Council Working Group on WSIS&amp;SDGs</dc:subject>
  <dc:creator>Ruth Sidabutar</dc:creator>
  <cp:keywords>CWGs, CWG-WSIS&amp;SDGs</cp:keywords>
  <dc:description/>
  <cp:lastModifiedBy>Janin, Patricia</cp:lastModifiedBy>
  <cp:revision>2</cp:revision>
  <dcterms:created xsi:type="dcterms:W3CDTF">2019-12-23T12:41:00Z</dcterms:created>
  <dcterms:modified xsi:type="dcterms:W3CDTF">2019-12-23T12:41:00Z</dcterms:modified>
</cp:coreProperties>
</file>