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7449B0" w:rsidRPr="007449B0" w14:paraId="670D3A65" w14:textId="77777777" w:rsidTr="00FB7867">
        <w:trPr>
          <w:cantSplit/>
        </w:trPr>
        <w:tc>
          <w:tcPr>
            <w:tcW w:w="6521" w:type="dxa"/>
          </w:tcPr>
          <w:p w14:paraId="7C1C7BAF" w14:textId="77777777" w:rsidR="007449B0" w:rsidRPr="007449B0" w:rsidRDefault="007449B0" w:rsidP="007449B0">
            <w:pPr>
              <w:spacing w:before="240" w:after="48" w:line="240" w:lineRule="auto"/>
              <w:rPr>
                <w:rFonts w:ascii="Calibri" w:eastAsia="SimSun" w:hAnsi="Calibri" w:cs="Times New Roman"/>
                <w:b/>
                <w:position w:val="6"/>
                <w:sz w:val="30"/>
                <w:szCs w:val="30"/>
                <w:lang w:val="en-US" w:eastAsia="zh-CN"/>
              </w:rPr>
            </w:pPr>
            <w:r w:rsidRPr="007449B0">
              <w:rPr>
                <w:rFonts w:ascii="Calibri" w:eastAsia="SimSun" w:hAnsi="Calibri" w:cs="Times New Roman"/>
                <w:b/>
                <w:position w:val="6"/>
                <w:sz w:val="30"/>
                <w:szCs w:val="30"/>
                <w:lang w:val="en-US" w:eastAsia="zh-CN"/>
              </w:rPr>
              <w:t xml:space="preserve">Council Working Group on </w:t>
            </w:r>
            <w:r w:rsidRPr="007449B0">
              <w:rPr>
                <w:rFonts w:ascii="Calibri" w:eastAsia="SimSun" w:hAnsi="Calibri" w:cs="Times New Roman"/>
                <w:b/>
                <w:position w:val="6"/>
                <w:sz w:val="30"/>
                <w:szCs w:val="30"/>
                <w:lang w:val="en-US" w:eastAsia="zh-CN"/>
              </w:rPr>
              <w:br/>
              <w:t>Financial and Human Resources</w:t>
            </w:r>
          </w:p>
          <w:p w14:paraId="6BC1D13F" w14:textId="77777777" w:rsidR="007449B0" w:rsidRPr="007449B0" w:rsidRDefault="007449B0" w:rsidP="007449B0">
            <w:pPr>
              <w:spacing w:after="120" w:line="240" w:lineRule="auto"/>
              <w:rPr>
                <w:rFonts w:ascii="Calibri" w:eastAsia="SimSun" w:hAnsi="Calibri" w:cs="Times New Roman"/>
                <w:b/>
                <w:position w:val="6"/>
                <w:lang w:val="en-US" w:eastAsia="zh-CN"/>
              </w:rPr>
            </w:pPr>
            <w:r w:rsidRPr="007449B0">
              <w:rPr>
                <w:rFonts w:ascii="Calibri" w:eastAsia="SimSun" w:hAnsi="Calibri" w:cs="Times New Roman Bold"/>
                <w:b/>
                <w:lang w:val="en-US" w:eastAsia="zh-CN"/>
              </w:rPr>
              <w:t xml:space="preserve">Eleventh meeting </w:t>
            </w:r>
            <w:r w:rsidRPr="007449B0">
              <w:rPr>
                <w:rFonts w:ascii="Calibri" w:eastAsia="Calibri" w:hAnsi="Calibri" w:cs="Calibri"/>
                <w:b/>
                <w:color w:val="000000"/>
                <w:lang w:val="en-US" w:eastAsia="zh-CN"/>
              </w:rPr>
              <w:t>–</w:t>
            </w:r>
            <w:r w:rsidRPr="007449B0">
              <w:rPr>
                <w:rFonts w:ascii="Calibri" w:eastAsia="SimSun" w:hAnsi="Calibri" w:cs="Times New Roman Bold"/>
                <w:b/>
                <w:lang w:val="en-US" w:eastAsia="zh-CN"/>
              </w:rPr>
              <w:t xml:space="preserve"> Geneva, 3-4 February 2020</w:t>
            </w:r>
          </w:p>
        </w:tc>
        <w:tc>
          <w:tcPr>
            <w:tcW w:w="3793" w:type="dxa"/>
          </w:tcPr>
          <w:p w14:paraId="058554A7" w14:textId="77777777" w:rsidR="007449B0" w:rsidRPr="007449B0" w:rsidRDefault="007449B0" w:rsidP="007449B0">
            <w:pPr>
              <w:spacing w:before="120" w:after="0" w:line="240" w:lineRule="atLeast"/>
              <w:rPr>
                <w:rFonts w:ascii="Arial" w:eastAsia="SimSun" w:hAnsi="Arial" w:cs="Times New Roman"/>
                <w:szCs w:val="24"/>
                <w:lang w:val="en-US" w:eastAsia="zh-CN"/>
              </w:rPr>
            </w:pPr>
            <w:bookmarkStart w:id="0" w:name="ditulogo"/>
            <w:bookmarkEnd w:id="0"/>
            <w:r w:rsidRPr="007449B0">
              <w:rPr>
                <w:rFonts w:ascii="Arial" w:eastAsia="SimSun" w:hAnsi="Arial" w:cs="Times New Roman"/>
                <w:noProof/>
                <w:szCs w:val="24"/>
                <w:lang w:val="en-US"/>
              </w:rPr>
              <w:drawing>
                <wp:inline distT="0" distB="0" distL="0" distR="0" wp14:anchorId="296EC2DA" wp14:editId="1935E796">
                  <wp:extent cx="615600" cy="6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5600" cy="648000"/>
                          </a:xfrm>
                          <a:prstGeom prst="rect">
                            <a:avLst/>
                          </a:prstGeom>
                        </pic:spPr>
                      </pic:pic>
                    </a:graphicData>
                  </a:graphic>
                </wp:inline>
              </w:drawing>
            </w:r>
          </w:p>
        </w:tc>
      </w:tr>
      <w:tr w:rsidR="007449B0" w:rsidRPr="007449B0" w14:paraId="0193B031" w14:textId="77777777" w:rsidTr="00FB7867">
        <w:trPr>
          <w:cantSplit/>
        </w:trPr>
        <w:tc>
          <w:tcPr>
            <w:tcW w:w="6521" w:type="dxa"/>
            <w:tcBorders>
              <w:top w:val="single" w:sz="12" w:space="0" w:color="auto"/>
            </w:tcBorders>
          </w:tcPr>
          <w:p w14:paraId="01862995" w14:textId="77777777" w:rsidR="007449B0" w:rsidRPr="007449B0" w:rsidRDefault="007449B0" w:rsidP="007449B0">
            <w:pPr>
              <w:snapToGrid w:val="0"/>
              <w:spacing w:after="0" w:line="240" w:lineRule="auto"/>
              <w:rPr>
                <w:rFonts w:ascii="Arial" w:eastAsia="SimSun" w:hAnsi="Arial" w:cs="Times New Roman"/>
                <w:b/>
                <w:smallCaps/>
                <w:szCs w:val="24"/>
                <w:lang w:val="en-US" w:eastAsia="zh-CN"/>
              </w:rPr>
            </w:pPr>
          </w:p>
        </w:tc>
        <w:tc>
          <w:tcPr>
            <w:tcW w:w="3793" w:type="dxa"/>
            <w:tcBorders>
              <w:top w:val="single" w:sz="12" w:space="0" w:color="auto"/>
            </w:tcBorders>
          </w:tcPr>
          <w:p w14:paraId="12F5FA65" w14:textId="77777777" w:rsidR="007449B0" w:rsidRPr="007449B0" w:rsidRDefault="007449B0" w:rsidP="007449B0">
            <w:pPr>
              <w:snapToGrid w:val="0"/>
              <w:spacing w:after="0" w:line="240" w:lineRule="auto"/>
              <w:ind w:left="209"/>
              <w:rPr>
                <w:rFonts w:ascii="Verdana" w:eastAsia="SimSun" w:hAnsi="Verdana" w:cs="Times New Roman"/>
                <w:szCs w:val="24"/>
                <w:lang w:val="en-US" w:eastAsia="zh-CN"/>
              </w:rPr>
            </w:pPr>
          </w:p>
        </w:tc>
      </w:tr>
      <w:tr w:rsidR="007449B0" w:rsidRPr="007449B0" w14:paraId="59002BDA" w14:textId="77777777" w:rsidTr="00FB7867">
        <w:trPr>
          <w:cantSplit/>
          <w:trHeight w:val="23"/>
        </w:trPr>
        <w:tc>
          <w:tcPr>
            <w:tcW w:w="6521" w:type="dxa"/>
            <w:vMerge w:val="restart"/>
          </w:tcPr>
          <w:p w14:paraId="19DAE8F6" w14:textId="77777777" w:rsidR="007449B0" w:rsidRPr="007449B0" w:rsidRDefault="007449B0" w:rsidP="007449B0">
            <w:pPr>
              <w:snapToGrid w:val="0"/>
              <w:spacing w:after="0" w:line="240" w:lineRule="auto"/>
              <w:rPr>
                <w:rFonts w:ascii="Calibri" w:eastAsia="SimSun" w:hAnsi="Calibri" w:cs="Times New Roman"/>
                <w:b/>
                <w:szCs w:val="24"/>
                <w:lang w:val="en-US" w:eastAsia="zh-CN"/>
              </w:rPr>
            </w:pPr>
          </w:p>
        </w:tc>
        <w:tc>
          <w:tcPr>
            <w:tcW w:w="3793" w:type="dxa"/>
          </w:tcPr>
          <w:p w14:paraId="7E27D415" w14:textId="4FBBCA5D" w:rsidR="007449B0" w:rsidRPr="007449B0" w:rsidRDefault="007449B0" w:rsidP="007449B0">
            <w:pPr>
              <w:snapToGrid w:val="0"/>
              <w:spacing w:after="0" w:line="240" w:lineRule="auto"/>
              <w:ind w:left="57"/>
              <w:rPr>
                <w:rFonts w:ascii="Calibri" w:eastAsia="SimSun" w:hAnsi="Calibri" w:cs="Times New Roman"/>
                <w:b/>
                <w:sz w:val="24"/>
                <w:szCs w:val="24"/>
                <w:lang w:val="en-US" w:eastAsia="zh-CN"/>
              </w:rPr>
            </w:pPr>
            <w:r w:rsidRPr="007449B0">
              <w:rPr>
                <w:rFonts w:ascii="Calibri" w:eastAsia="SimSun" w:hAnsi="Calibri" w:cs="Times New Roman"/>
                <w:b/>
                <w:sz w:val="24"/>
                <w:szCs w:val="24"/>
                <w:lang w:val="en-US" w:eastAsia="zh-CN"/>
              </w:rPr>
              <w:t>Document CWG-FHR-11/1</w:t>
            </w:r>
            <w:r>
              <w:rPr>
                <w:rFonts w:ascii="Calibri" w:eastAsia="SimSun" w:hAnsi="Calibri" w:cs="Times New Roman"/>
                <w:b/>
                <w:sz w:val="24"/>
                <w:szCs w:val="24"/>
                <w:lang w:val="en-US" w:eastAsia="zh-CN"/>
              </w:rPr>
              <w:t>5</w:t>
            </w:r>
          </w:p>
        </w:tc>
      </w:tr>
      <w:tr w:rsidR="007449B0" w:rsidRPr="007449B0" w14:paraId="6004BE2A" w14:textId="77777777" w:rsidTr="00FB7867">
        <w:trPr>
          <w:cantSplit/>
          <w:trHeight w:val="23"/>
        </w:trPr>
        <w:tc>
          <w:tcPr>
            <w:tcW w:w="6521" w:type="dxa"/>
            <w:vMerge/>
          </w:tcPr>
          <w:p w14:paraId="769F3EB5" w14:textId="77777777" w:rsidR="007449B0" w:rsidRPr="007449B0" w:rsidRDefault="007449B0" w:rsidP="007449B0">
            <w:pPr>
              <w:snapToGrid w:val="0"/>
              <w:spacing w:after="0" w:line="240" w:lineRule="auto"/>
              <w:rPr>
                <w:rFonts w:ascii="Calibri" w:eastAsia="SimSun" w:hAnsi="Calibri" w:cs="Times New Roman"/>
                <w:b/>
                <w:szCs w:val="24"/>
                <w:lang w:val="de-CH" w:eastAsia="zh-CN"/>
              </w:rPr>
            </w:pPr>
          </w:p>
        </w:tc>
        <w:tc>
          <w:tcPr>
            <w:tcW w:w="3793" w:type="dxa"/>
          </w:tcPr>
          <w:p w14:paraId="563590E6" w14:textId="77777777" w:rsidR="007449B0" w:rsidRPr="007449B0" w:rsidRDefault="007449B0" w:rsidP="007449B0">
            <w:pPr>
              <w:snapToGrid w:val="0"/>
              <w:spacing w:after="0" w:line="240" w:lineRule="auto"/>
              <w:ind w:left="57"/>
              <w:rPr>
                <w:rFonts w:ascii="Calibri" w:eastAsia="SimSun" w:hAnsi="Calibri" w:cs="Times New Roman"/>
                <w:b/>
                <w:sz w:val="24"/>
                <w:szCs w:val="24"/>
                <w:lang w:val="en-US" w:eastAsia="zh-CN"/>
              </w:rPr>
            </w:pPr>
            <w:r w:rsidRPr="007449B0">
              <w:rPr>
                <w:rFonts w:ascii="Calibri" w:eastAsia="SimSun" w:hAnsi="Calibri" w:cs="Times New Roman"/>
                <w:b/>
                <w:sz w:val="24"/>
                <w:szCs w:val="24"/>
                <w:lang w:val="en-US" w:eastAsia="zh-CN"/>
              </w:rPr>
              <w:t>22 January 2020</w:t>
            </w:r>
          </w:p>
        </w:tc>
      </w:tr>
      <w:tr w:rsidR="007449B0" w:rsidRPr="007449B0" w14:paraId="09129870" w14:textId="77777777" w:rsidTr="00FB7867">
        <w:trPr>
          <w:cantSplit/>
          <w:trHeight w:val="80"/>
        </w:trPr>
        <w:tc>
          <w:tcPr>
            <w:tcW w:w="6521" w:type="dxa"/>
            <w:vMerge/>
          </w:tcPr>
          <w:p w14:paraId="31003FB4" w14:textId="77777777" w:rsidR="007449B0" w:rsidRPr="007449B0" w:rsidRDefault="007449B0" w:rsidP="007449B0">
            <w:pPr>
              <w:snapToGrid w:val="0"/>
              <w:spacing w:after="0" w:line="240" w:lineRule="auto"/>
              <w:rPr>
                <w:rFonts w:ascii="Calibri" w:eastAsia="SimSun" w:hAnsi="Calibri" w:cs="Times New Roman"/>
                <w:b/>
                <w:szCs w:val="24"/>
                <w:lang w:val="en-US" w:eastAsia="zh-CN"/>
              </w:rPr>
            </w:pPr>
          </w:p>
        </w:tc>
        <w:tc>
          <w:tcPr>
            <w:tcW w:w="3793" w:type="dxa"/>
          </w:tcPr>
          <w:p w14:paraId="7198AC30" w14:textId="77777777" w:rsidR="007449B0" w:rsidRPr="007449B0" w:rsidRDefault="007449B0" w:rsidP="007449B0">
            <w:pPr>
              <w:snapToGrid w:val="0"/>
              <w:spacing w:after="0" w:line="240" w:lineRule="auto"/>
              <w:ind w:left="57"/>
              <w:rPr>
                <w:rFonts w:ascii="Calibri" w:eastAsia="SimSun" w:hAnsi="Calibri" w:cs="Times New Roman"/>
                <w:b/>
                <w:sz w:val="24"/>
                <w:szCs w:val="24"/>
                <w:lang w:val="en-US" w:eastAsia="zh-CN"/>
              </w:rPr>
            </w:pPr>
            <w:r w:rsidRPr="007449B0">
              <w:rPr>
                <w:rFonts w:ascii="Calibri" w:eastAsia="SimSun" w:hAnsi="Calibri" w:cs="Times New Roman"/>
                <w:b/>
                <w:sz w:val="24"/>
                <w:szCs w:val="24"/>
                <w:lang w:val="en-US" w:eastAsia="zh-CN"/>
              </w:rPr>
              <w:t>English only</w:t>
            </w:r>
          </w:p>
        </w:tc>
      </w:tr>
    </w:tbl>
    <w:tbl>
      <w:tblPr>
        <w:tblW w:w="9837" w:type="dxa"/>
        <w:tblLayout w:type="fixed"/>
        <w:tblLook w:val="0000" w:firstRow="0" w:lastRow="0" w:firstColumn="0" w:lastColumn="0" w:noHBand="0" w:noVBand="0"/>
      </w:tblPr>
      <w:tblGrid>
        <w:gridCol w:w="9837"/>
      </w:tblGrid>
      <w:tr w:rsidR="000854C6" w:rsidRPr="003737DE" w14:paraId="2CF60B2A" w14:textId="77777777" w:rsidTr="00372CD6">
        <w:trPr>
          <w:cantSplit/>
          <w:trHeight w:val="138"/>
        </w:trPr>
        <w:tc>
          <w:tcPr>
            <w:tcW w:w="9837" w:type="dxa"/>
          </w:tcPr>
          <w:p w14:paraId="2B7E725C" w14:textId="36B6BA28" w:rsidR="000854C6" w:rsidRDefault="002F138E" w:rsidP="000854C6">
            <w:pPr>
              <w:pStyle w:val="Source"/>
            </w:pPr>
            <w:r>
              <w:t xml:space="preserve">Contribution by the </w:t>
            </w:r>
            <w:r w:rsidR="00CB5F63">
              <w:t>United States of America</w:t>
            </w:r>
          </w:p>
        </w:tc>
      </w:tr>
      <w:tr w:rsidR="000854C6" w:rsidRPr="003737DE" w14:paraId="27824CBA" w14:textId="77777777" w:rsidTr="00372CD6">
        <w:trPr>
          <w:cantSplit/>
          <w:trHeight w:val="138"/>
        </w:trPr>
        <w:tc>
          <w:tcPr>
            <w:tcW w:w="9837" w:type="dxa"/>
          </w:tcPr>
          <w:p w14:paraId="11774442" w14:textId="2FA32C29" w:rsidR="00CB5F63" w:rsidRPr="00CB5F63" w:rsidRDefault="0082269F" w:rsidP="002F138E">
            <w:pPr>
              <w:pStyle w:val="Title2"/>
            </w:pPr>
            <w:r>
              <w:t xml:space="preserve">Proposal for a </w:t>
            </w:r>
            <w:r w:rsidR="00767209">
              <w:t>New Investigation Function and Process</w:t>
            </w:r>
          </w:p>
        </w:tc>
      </w:tr>
    </w:tbl>
    <w:p w14:paraId="60710F68" w14:textId="18188D25" w:rsidR="0082269F" w:rsidRPr="0082269F" w:rsidRDefault="00CB5F63" w:rsidP="002F138E">
      <w:pPr>
        <w:spacing w:before="360"/>
        <w:rPr>
          <w:b/>
          <w:sz w:val="28"/>
          <w:szCs w:val="28"/>
        </w:rPr>
      </w:pPr>
      <w:r w:rsidRPr="00CB5F63">
        <w:rPr>
          <w:b/>
          <w:sz w:val="28"/>
          <w:szCs w:val="28"/>
        </w:rPr>
        <w:t>Introduction</w:t>
      </w:r>
    </w:p>
    <w:p w14:paraId="6C68F0DB" w14:textId="674A3BA3" w:rsidR="0082269F" w:rsidRPr="002F138E" w:rsidRDefault="00475E96" w:rsidP="0082269F">
      <w:pPr>
        <w:spacing w:after="0" w:line="240" w:lineRule="auto"/>
        <w:rPr>
          <w:b/>
          <w:sz w:val="24"/>
          <w:szCs w:val="24"/>
        </w:rPr>
      </w:pPr>
      <w:r w:rsidRPr="002F138E">
        <w:rPr>
          <w:sz w:val="24"/>
          <w:szCs w:val="24"/>
        </w:rPr>
        <w:t>The United States is pleased to submit this contribution to the ITU Council Working Group on Finance and Human Resources issues (CWG-FHR) for</w:t>
      </w:r>
      <w:r w:rsidR="000668B2" w:rsidRPr="002F138E">
        <w:rPr>
          <w:sz w:val="24"/>
          <w:szCs w:val="24"/>
        </w:rPr>
        <w:t xml:space="preserve"> its discussion and</w:t>
      </w:r>
      <w:r w:rsidRPr="002F138E">
        <w:rPr>
          <w:sz w:val="24"/>
          <w:szCs w:val="24"/>
        </w:rPr>
        <w:t xml:space="preserve"> consi</w:t>
      </w:r>
      <w:r w:rsidR="008B7EAF" w:rsidRPr="002F138E">
        <w:rPr>
          <w:sz w:val="24"/>
          <w:szCs w:val="24"/>
        </w:rPr>
        <w:t>deration during its February 3-4, 2020</w:t>
      </w:r>
      <w:r w:rsidR="00522504" w:rsidRPr="002F138E">
        <w:rPr>
          <w:sz w:val="24"/>
          <w:szCs w:val="24"/>
        </w:rPr>
        <w:t xml:space="preserve"> meeting</w:t>
      </w:r>
      <w:r w:rsidR="008B7EAF" w:rsidRPr="002F138E">
        <w:rPr>
          <w:sz w:val="24"/>
          <w:szCs w:val="24"/>
        </w:rPr>
        <w:t>s.  This proposal is</w:t>
      </w:r>
      <w:r w:rsidR="00522504" w:rsidRPr="002F138E">
        <w:rPr>
          <w:sz w:val="24"/>
          <w:szCs w:val="24"/>
        </w:rPr>
        <w:t xml:space="preserve"> based on the 2019 Council decision on </w:t>
      </w:r>
      <w:r w:rsidR="00522504" w:rsidRPr="002F138E">
        <w:rPr>
          <w:i/>
          <w:sz w:val="24"/>
          <w:szCs w:val="24"/>
        </w:rPr>
        <w:t xml:space="preserve">General Audit Following the Case of Fraud at a Regional Office </w:t>
      </w:r>
      <w:r w:rsidR="00522504" w:rsidRPr="002F138E">
        <w:rPr>
          <w:sz w:val="24"/>
          <w:szCs w:val="24"/>
        </w:rPr>
        <w:t>(</w:t>
      </w:r>
      <w:hyperlink r:id="rId12" w:history="1">
        <w:r w:rsidR="00522504" w:rsidRPr="002F138E">
          <w:rPr>
            <w:rStyle w:val="Hyperlink"/>
            <w:sz w:val="24"/>
            <w:szCs w:val="24"/>
          </w:rPr>
          <w:t>Decision 613</w:t>
        </w:r>
      </w:hyperlink>
      <w:bookmarkStart w:id="1" w:name="_GoBack"/>
      <w:bookmarkEnd w:id="1"/>
      <w:r w:rsidR="00522504" w:rsidRPr="002F138E">
        <w:rPr>
          <w:sz w:val="24"/>
          <w:szCs w:val="24"/>
        </w:rPr>
        <w:t>)</w:t>
      </w:r>
      <w:r w:rsidR="00767209" w:rsidRPr="002F138E">
        <w:rPr>
          <w:sz w:val="24"/>
          <w:szCs w:val="24"/>
        </w:rPr>
        <w:t xml:space="preserve"> and in response to CWG-FHR’s previous decision for “Fraud and Related Matters” to continue as a permanent agenda item</w:t>
      </w:r>
      <w:r w:rsidR="00522504" w:rsidRPr="002F138E">
        <w:rPr>
          <w:sz w:val="24"/>
          <w:szCs w:val="24"/>
        </w:rPr>
        <w:t>.</w:t>
      </w:r>
    </w:p>
    <w:p w14:paraId="6B6175F0" w14:textId="77777777" w:rsidR="0082269F" w:rsidRPr="0082269F" w:rsidRDefault="0082269F" w:rsidP="002F138E">
      <w:pPr>
        <w:spacing w:before="360" w:after="0" w:line="240" w:lineRule="auto"/>
        <w:rPr>
          <w:b/>
          <w:sz w:val="28"/>
          <w:szCs w:val="28"/>
        </w:rPr>
      </w:pPr>
      <w:r w:rsidRPr="0082269F">
        <w:rPr>
          <w:b/>
          <w:sz w:val="28"/>
          <w:szCs w:val="28"/>
        </w:rPr>
        <w:t>Discussion</w:t>
      </w:r>
    </w:p>
    <w:p w14:paraId="552FBBD3" w14:textId="7A3FB683" w:rsidR="00EF1066" w:rsidRPr="002F138E" w:rsidRDefault="00EF1066" w:rsidP="002F138E">
      <w:pPr>
        <w:spacing w:before="160" w:after="0" w:line="240" w:lineRule="auto"/>
        <w:rPr>
          <w:sz w:val="24"/>
          <w:szCs w:val="24"/>
        </w:rPr>
      </w:pPr>
      <w:r w:rsidRPr="002F138E">
        <w:rPr>
          <w:sz w:val="24"/>
          <w:szCs w:val="24"/>
        </w:rPr>
        <w:t>During the 2019 Council session, members were provided details of fraud and misconduct that occurred at the ITU Regional Office for Asia and the Pacific.</w:t>
      </w:r>
      <w:r w:rsidRPr="002F138E">
        <w:rPr>
          <w:rStyle w:val="FootnoteReference"/>
          <w:sz w:val="22"/>
        </w:rPr>
        <w:footnoteReference w:id="1"/>
      </w:r>
      <w:r w:rsidRPr="002F138E">
        <w:rPr>
          <w:sz w:val="24"/>
          <w:szCs w:val="24"/>
        </w:rPr>
        <w:t xml:space="preserve"> The fraud and misconduct that were uncovered in this incident exposed shortcomings in the organization’s internal controls framework and its oversight mechanisms.  For example, according to current investigation procedures, neither the Ethics Officer nor ITU’s Internal Audit Unit (IAU) have the authority to initiate investigations into allegations of misconduct, as is best practice in the UN system, and a recommendation of the UN Joint Inspection Unit (JIU).</w:t>
      </w:r>
      <w:r w:rsidRPr="002F138E">
        <w:rPr>
          <w:rStyle w:val="FootnoteReference"/>
          <w:sz w:val="22"/>
        </w:rPr>
        <w:footnoteReference w:id="2"/>
      </w:r>
      <w:r w:rsidRPr="002F138E">
        <w:t xml:space="preserve"> </w:t>
      </w:r>
      <w:r w:rsidRPr="002F138E">
        <w:rPr>
          <w:sz w:val="24"/>
          <w:szCs w:val="24"/>
        </w:rPr>
        <w:t>Concerns were also raised about how the allegations were handled, including maintaining the confidentiality of the information provided by the complainant, and therefore, whether ITU’s policy to protect staff from retaliation for reporting misconduct (Service Order 11/04) was effectively implemented.</w:t>
      </w:r>
      <w:r w:rsidRPr="002F138E">
        <w:rPr>
          <w:rStyle w:val="FootnoteReference"/>
          <w:sz w:val="22"/>
        </w:rPr>
        <w:footnoteReference w:id="3"/>
      </w:r>
      <w:r w:rsidRPr="002F138E">
        <w:t xml:space="preserve"> </w:t>
      </w:r>
      <w:r w:rsidRPr="002F138E">
        <w:rPr>
          <w:sz w:val="24"/>
          <w:szCs w:val="24"/>
        </w:rPr>
        <w:t xml:space="preserve"> </w:t>
      </w:r>
    </w:p>
    <w:p w14:paraId="3BF0184B" w14:textId="4DD68933" w:rsidR="00EF1066" w:rsidRPr="002F138E" w:rsidRDefault="00EF1066" w:rsidP="002F138E">
      <w:pPr>
        <w:autoSpaceDE w:val="0"/>
        <w:autoSpaceDN w:val="0"/>
        <w:adjustRightInd w:val="0"/>
        <w:spacing w:before="160" w:after="0" w:line="240" w:lineRule="auto"/>
        <w:rPr>
          <w:rFonts w:ascii="Calibri" w:eastAsia="SimSun" w:hAnsi="Calibri" w:cs="Calibri"/>
          <w:sz w:val="24"/>
          <w:szCs w:val="24"/>
          <w:lang w:eastAsia="zh-CN"/>
        </w:rPr>
      </w:pPr>
      <w:r w:rsidRPr="002F138E">
        <w:rPr>
          <w:sz w:val="24"/>
          <w:szCs w:val="24"/>
        </w:rPr>
        <w:t xml:space="preserve">In Council Decision 613, the council members acknowledged the need for effective oversight mechanisms, policies and procedures through the implementation of </w:t>
      </w:r>
      <w:r w:rsidRPr="002F138E">
        <w:rPr>
          <w:rFonts w:cs="Calibri"/>
          <w:sz w:val="24"/>
          <w:szCs w:val="24"/>
        </w:rPr>
        <w:t>best practices as it relates to the independence of the investigation process and strong ethics functions</w:t>
      </w:r>
      <w:r w:rsidR="00D404E6" w:rsidRPr="002F138E">
        <w:rPr>
          <w:rFonts w:cs="Calibri"/>
          <w:sz w:val="24"/>
          <w:szCs w:val="24"/>
        </w:rPr>
        <w:t xml:space="preserve">. </w:t>
      </w:r>
      <w:r w:rsidRPr="002F138E">
        <w:rPr>
          <w:rFonts w:cs="Calibri"/>
          <w:sz w:val="24"/>
          <w:szCs w:val="24"/>
        </w:rPr>
        <w:t xml:space="preserve">This decision and Resolution 48 (Rev. Dubai, 2018) recognized that the organization needs to take further steps to strengthen </w:t>
      </w:r>
      <w:proofErr w:type="spellStart"/>
      <w:r w:rsidRPr="002F138E">
        <w:rPr>
          <w:rFonts w:cs="Calibri"/>
          <w:sz w:val="24"/>
          <w:szCs w:val="24"/>
        </w:rPr>
        <w:t>whistleblower</w:t>
      </w:r>
      <w:proofErr w:type="spellEnd"/>
      <w:r w:rsidRPr="002F138E">
        <w:rPr>
          <w:rFonts w:cs="Calibri"/>
          <w:sz w:val="24"/>
          <w:szCs w:val="24"/>
        </w:rPr>
        <w:t xml:space="preserve"> protections, including addressing the findings and recommendations from the JIU report on </w:t>
      </w:r>
      <w:r w:rsidRPr="002F138E">
        <w:rPr>
          <w:rFonts w:ascii="Calibri" w:eastAsia="SimSun" w:hAnsi="Calibri" w:cs="Calibri"/>
          <w:sz w:val="24"/>
          <w:szCs w:val="24"/>
          <w:lang w:eastAsia="zh-CN"/>
        </w:rPr>
        <w:t>"Review of Whistle-</w:t>
      </w:r>
    </w:p>
    <w:p w14:paraId="3F6CE536" w14:textId="3F91C812" w:rsidR="008870F3" w:rsidRPr="002F138E" w:rsidRDefault="00EF1066" w:rsidP="002F138E">
      <w:pPr>
        <w:spacing w:before="160" w:after="0" w:line="240" w:lineRule="auto"/>
        <w:rPr>
          <w:rFonts w:ascii="Calibri" w:eastAsia="SimSun" w:hAnsi="Calibri" w:cs="Calibri"/>
          <w:sz w:val="24"/>
          <w:szCs w:val="24"/>
          <w:lang w:eastAsia="zh-CN"/>
        </w:rPr>
      </w:pPr>
      <w:r w:rsidRPr="002F138E">
        <w:rPr>
          <w:rFonts w:ascii="Calibri" w:eastAsia="SimSun" w:hAnsi="Calibri" w:cs="Calibri"/>
          <w:sz w:val="24"/>
          <w:szCs w:val="24"/>
          <w:lang w:eastAsia="zh-CN"/>
        </w:rPr>
        <w:lastRenderedPageBreak/>
        <w:t>Blower Policies and Practices in United Nations System Organizations" with respect to the Union.  The Council instructed the CWG-FHR, in consultation with the Ethics Office and the Internal Audit Unit, to recommend actions for ITU Council to strengthen the independence of ITU’s oversight and audit functions, ethics framework, and investigation procedures in view of UN system-wide best practice and UN JIU recommendations as appropriate.</w:t>
      </w:r>
    </w:p>
    <w:p w14:paraId="4707F523" w14:textId="77AB793E" w:rsidR="00CA75A2" w:rsidRPr="002F138E" w:rsidRDefault="00445A93" w:rsidP="002F138E">
      <w:pPr>
        <w:spacing w:before="160" w:after="0" w:line="240" w:lineRule="auto"/>
        <w:rPr>
          <w:sz w:val="24"/>
          <w:szCs w:val="24"/>
        </w:rPr>
      </w:pPr>
      <w:r w:rsidRPr="002F138E">
        <w:rPr>
          <w:rFonts w:ascii="Calibri" w:eastAsia="SimSun" w:hAnsi="Calibri" w:cs="Calibri"/>
          <w:sz w:val="24"/>
          <w:szCs w:val="24"/>
          <w:lang w:eastAsia="zh-CN"/>
        </w:rPr>
        <w:t xml:space="preserve">Following </w:t>
      </w:r>
      <w:r w:rsidR="00767209" w:rsidRPr="002F138E">
        <w:rPr>
          <w:rFonts w:ascii="Calibri" w:eastAsia="SimSun" w:hAnsi="Calibri" w:cs="Calibri"/>
          <w:sz w:val="24"/>
          <w:szCs w:val="24"/>
          <w:lang w:eastAsia="zh-CN"/>
        </w:rPr>
        <w:t>analysis of UN system-wide best practices, UN JIU reports,</w:t>
      </w:r>
      <w:r w:rsidR="00181527" w:rsidRPr="002F138E">
        <w:rPr>
          <w:rFonts w:ascii="Calibri" w:eastAsia="SimSun" w:hAnsi="Calibri" w:cs="Calibri"/>
          <w:sz w:val="24"/>
          <w:szCs w:val="24"/>
          <w:lang w:eastAsia="zh-CN"/>
        </w:rPr>
        <w:t xml:space="preserve"> and consultations with the ITU Secretariat, </w:t>
      </w:r>
      <w:r w:rsidRPr="002F138E">
        <w:rPr>
          <w:rFonts w:ascii="Calibri" w:eastAsia="SimSun" w:hAnsi="Calibri" w:cs="Calibri"/>
          <w:sz w:val="24"/>
          <w:szCs w:val="24"/>
          <w:lang w:eastAsia="zh-CN"/>
        </w:rPr>
        <w:t xml:space="preserve">the </w:t>
      </w:r>
      <w:r w:rsidR="006C240F" w:rsidRPr="002F138E">
        <w:rPr>
          <w:rFonts w:ascii="Calibri" w:eastAsia="SimSun" w:hAnsi="Calibri" w:cs="Calibri"/>
          <w:sz w:val="24"/>
          <w:szCs w:val="24"/>
          <w:lang w:eastAsia="zh-CN"/>
        </w:rPr>
        <w:t xml:space="preserve">United States is concerned that </w:t>
      </w:r>
      <w:r w:rsidR="00181527" w:rsidRPr="002F138E">
        <w:rPr>
          <w:rFonts w:ascii="Calibri" w:eastAsia="SimSun" w:hAnsi="Calibri" w:cs="Calibri"/>
          <w:sz w:val="24"/>
          <w:szCs w:val="24"/>
          <w:lang w:eastAsia="zh-CN"/>
        </w:rPr>
        <w:t>the</w:t>
      </w:r>
      <w:r w:rsidR="00767209" w:rsidRPr="002F138E">
        <w:rPr>
          <w:sz w:val="24"/>
          <w:szCs w:val="24"/>
        </w:rPr>
        <w:t xml:space="preserve"> current investigation function and processes at ITU either do not </w:t>
      </w:r>
      <w:proofErr w:type="gramStart"/>
      <w:r w:rsidR="00767209" w:rsidRPr="002F138E">
        <w:rPr>
          <w:sz w:val="24"/>
          <w:szCs w:val="24"/>
        </w:rPr>
        <w:t>exist</w:t>
      </w:r>
      <w:r w:rsidRPr="002F138E">
        <w:rPr>
          <w:sz w:val="24"/>
          <w:szCs w:val="24"/>
        </w:rPr>
        <w:t>,</w:t>
      </w:r>
      <w:r w:rsidR="00767209" w:rsidRPr="002F138E">
        <w:rPr>
          <w:sz w:val="24"/>
          <w:szCs w:val="24"/>
        </w:rPr>
        <w:t xml:space="preserve"> or</w:t>
      </w:r>
      <w:proofErr w:type="gramEnd"/>
      <w:r w:rsidR="00767209" w:rsidRPr="002F138E">
        <w:rPr>
          <w:sz w:val="24"/>
          <w:szCs w:val="24"/>
        </w:rPr>
        <w:t xml:space="preserve"> are not aligned with best practices.</w:t>
      </w:r>
      <w:r w:rsidR="0007694E" w:rsidRPr="002F138E">
        <w:rPr>
          <w:sz w:val="24"/>
          <w:szCs w:val="24"/>
        </w:rPr>
        <w:t xml:space="preserve"> </w:t>
      </w:r>
      <w:r w:rsidRPr="002F138E">
        <w:rPr>
          <w:sz w:val="24"/>
          <w:szCs w:val="24"/>
        </w:rPr>
        <w:t xml:space="preserve">Unlike other UN organizations for example, ITU does not have a single oversight unit/office that </w:t>
      </w:r>
      <w:r w:rsidR="00913102" w:rsidRPr="002F138E">
        <w:rPr>
          <w:sz w:val="24"/>
          <w:szCs w:val="24"/>
        </w:rPr>
        <w:t>includes a separate and independent</w:t>
      </w:r>
      <w:r w:rsidR="00283527" w:rsidRPr="002F138E">
        <w:rPr>
          <w:sz w:val="24"/>
          <w:szCs w:val="24"/>
        </w:rPr>
        <w:t xml:space="preserve"> investigations unit</w:t>
      </w:r>
      <w:r w:rsidR="00913102" w:rsidRPr="002F138E">
        <w:rPr>
          <w:sz w:val="24"/>
          <w:szCs w:val="24"/>
        </w:rPr>
        <w:t>,</w:t>
      </w:r>
      <w:r w:rsidR="00283527" w:rsidRPr="002F138E">
        <w:rPr>
          <w:sz w:val="24"/>
          <w:szCs w:val="24"/>
        </w:rPr>
        <w:t xml:space="preserve"> and</w:t>
      </w:r>
      <w:r w:rsidRPr="002F138E">
        <w:rPr>
          <w:sz w:val="24"/>
          <w:szCs w:val="24"/>
        </w:rPr>
        <w:t xml:space="preserve"> </w:t>
      </w:r>
      <w:r w:rsidR="00CA75A2" w:rsidRPr="002F138E">
        <w:rPr>
          <w:sz w:val="24"/>
          <w:szCs w:val="24"/>
        </w:rPr>
        <w:t>the current oversight functions</w:t>
      </w:r>
      <w:r w:rsidR="00283527" w:rsidRPr="002F138E">
        <w:rPr>
          <w:sz w:val="24"/>
          <w:szCs w:val="24"/>
        </w:rPr>
        <w:t xml:space="preserve"> (i.e. Ethics Office and IAU) </w:t>
      </w:r>
      <w:r w:rsidR="00CA75A2" w:rsidRPr="002F138E">
        <w:rPr>
          <w:sz w:val="24"/>
          <w:szCs w:val="24"/>
        </w:rPr>
        <w:t>that receive complaints of wrongdoing</w:t>
      </w:r>
      <w:r w:rsidR="00913102" w:rsidRPr="002F138E">
        <w:rPr>
          <w:sz w:val="24"/>
          <w:szCs w:val="24"/>
        </w:rPr>
        <w:t>,</w:t>
      </w:r>
      <w:r w:rsidR="00CA75A2" w:rsidRPr="002F138E">
        <w:rPr>
          <w:sz w:val="24"/>
          <w:szCs w:val="24"/>
        </w:rPr>
        <w:t xml:space="preserve"> </w:t>
      </w:r>
      <w:r w:rsidR="00283527" w:rsidRPr="002F138E">
        <w:rPr>
          <w:sz w:val="24"/>
          <w:szCs w:val="24"/>
        </w:rPr>
        <w:t>do not</w:t>
      </w:r>
      <w:r w:rsidR="00CA75A2" w:rsidRPr="002F138E">
        <w:rPr>
          <w:sz w:val="24"/>
          <w:szCs w:val="24"/>
        </w:rPr>
        <w:t xml:space="preserve"> have the authority to initiate</w:t>
      </w:r>
      <w:r w:rsidR="006B2186" w:rsidRPr="002F138E">
        <w:rPr>
          <w:sz w:val="24"/>
          <w:szCs w:val="24"/>
        </w:rPr>
        <w:t xml:space="preserve"> investigations. </w:t>
      </w:r>
      <w:r w:rsidR="00AB6ABA" w:rsidRPr="002F138E">
        <w:rPr>
          <w:sz w:val="24"/>
          <w:szCs w:val="24"/>
        </w:rPr>
        <w:t>There also has been a significant increase in the reports of wrongdoing since the Ethics Officer came on board</w:t>
      </w:r>
      <w:r w:rsidR="0076608D" w:rsidRPr="002F138E">
        <w:rPr>
          <w:sz w:val="24"/>
          <w:szCs w:val="24"/>
        </w:rPr>
        <w:t xml:space="preserve"> in 2018.</w:t>
      </w:r>
      <w:r w:rsidR="00767209" w:rsidRPr="002F138E">
        <w:rPr>
          <w:sz w:val="24"/>
          <w:szCs w:val="24"/>
        </w:rPr>
        <w:t xml:space="preserve"> </w:t>
      </w:r>
    </w:p>
    <w:p w14:paraId="4BE323C4" w14:textId="111E9817" w:rsidR="0082269F" w:rsidRPr="00EF1066" w:rsidRDefault="0076025F" w:rsidP="002F138E">
      <w:pPr>
        <w:spacing w:before="160" w:after="0" w:line="240" w:lineRule="auto"/>
      </w:pPr>
      <w:r w:rsidRPr="002F138E">
        <w:rPr>
          <w:sz w:val="24"/>
          <w:szCs w:val="24"/>
        </w:rPr>
        <w:t>ITU does not have a full-time investigator and has been handling allegations on an ad-hoc</w:t>
      </w:r>
      <w:r w:rsidR="000668B2" w:rsidRPr="002F138E">
        <w:rPr>
          <w:sz w:val="24"/>
          <w:szCs w:val="24"/>
        </w:rPr>
        <w:t>,</w:t>
      </w:r>
      <w:r w:rsidR="00913102" w:rsidRPr="002F138E">
        <w:rPr>
          <w:sz w:val="24"/>
          <w:szCs w:val="24"/>
        </w:rPr>
        <w:t xml:space="preserve"> case</w:t>
      </w:r>
      <w:r w:rsidR="000668B2" w:rsidRPr="002F138E">
        <w:rPr>
          <w:sz w:val="24"/>
          <w:szCs w:val="24"/>
        </w:rPr>
        <w:t>-</w:t>
      </w:r>
      <w:r w:rsidR="00913102" w:rsidRPr="002F138E">
        <w:rPr>
          <w:sz w:val="24"/>
          <w:szCs w:val="24"/>
        </w:rPr>
        <w:t>by</w:t>
      </w:r>
      <w:r w:rsidR="000668B2" w:rsidRPr="002F138E">
        <w:rPr>
          <w:sz w:val="24"/>
          <w:szCs w:val="24"/>
        </w:rPr>
        <w:t>-</w:t>
      </w:r>
      <w:r w:rsidR="00913102" w:rsidRPr="002F138E">
        <w:rPr>
          <w:sz w:val="24"/>
          <w:szCs w:val="24"/>
        </w:rPr>
        <w:t>case</w:t>
      </w:r>
      <w:r w:rsidR="000668B2" w:rsidRPr="002F138E">
        <w:rPr>
          <w:sz w:val="24"/>
          <w:szCs w:val="24"/>
        </w:rPr>
        <w:t>,</w:t>
      </w:r>
      <w:r w:rsidRPr="002F138E">
        <w:rPr>
          <w:sz w:val="24"/>
          <w:szCs w:val="24"/>
        </w:rPr>
        <w:t xml:space="preserve"> basis with the involvem</w:t>
      </w:r>
      <w:r w:rsidR="000B1FD8" w:rsidRPr="002F138E">
        <w:rPr>
          <w:sz w:val="24"/>
          <w:szCs w:val="24"/>
        </w:rPr>
        <w:t>ent of different ITU departments (i.e. Ethi</w:t>
      </w:r>
      <w:r w:rsidR="0007694E" w:rsidRPr="002F138E">
        <w:rPr>
          <w:sz w:val="24"/>
          <w:szCs w:val="24"/>
        </w:rPr>
        <w:t>cs Office, HRMD, IAU) or hire</w:t>
      </w:r>
      <w:r w:rsidR="000668B2" w:rsidRPr="002F138E">
        <w:rPr>
          <w:sz w:val="24"/>
          <w:szCs w:val="24"/>
        </w:rPr>
        <w:t>s</w:t>
      </w:r>
      <w:r w:rsidR="0007694E" w:rsidRPr="002F138E">
        <w:rPr>
          <w:sz w:val="24"/>
          <w:szCs w:val="24"/>
        </w:rPr>
        <w:t xml:space="preserve"> </w:t>
      </w:r>
      <w:r w:rsidR="006C240F" w:rsidRPr="002F138E">
        <w:rPr>
          <w:sz w:val="24"/>
          <w:szCs w:val="24"/>
        </w:rPr>
        <w:t xml:space="preserve">an external investigator. </w:t>
      </w:r>
      <w:r w:rsidR="000B1FD8" w:rsidRPr="002F138E">
        <w:rPr>
          <w:sz w:val="24"/>
          <w:szCs w:val="24"/>
        </w:rPr>
        <w:t xml:space="preserve">Some of these Departments </w:t>
      </w:r>
      <w:r w:rsidR="000668B2" w:rsidRPr="002F138E">
        <w:rPr>
          <w:sz w:val="24"/>
          <w:szCs w:val="24"/>
        </w:rPr>
        <w:t>may</w:t>
      </w:r>
      <w:r w:rsidR="000B1FD8" w:rsidRPr="002F138E">
        <w:rPr>
          <w:sz w:val="24"/>
          <w:szCs w:val="24"/>
        </w:rPr>
        <w:t xml:space="preserve"> not have the training and expertise required to handle and investigate allegations of misconduct, or their involvement is an inherent conflict of interest.  For example</w:t>
      </w:r>
      <w:r w:rsidR="00AB6ABA" w:rsidRPr="002F138E">
        <w:rPr>
          <w:sz w:val="24"/>
          <w:szCs w:val="24"/>
        </w:rPr>
        <w:t xml:space="preserve">, if IAU </w:t>
      </w:r>
      <w:proofErr w:type="gramStart"/>
      <w:r w:rsidR="00AB6ABA" w:rsidRPr="002F138E">
        <w:rPr>
          <w:sz w:val="24"/>
          <w:szCs w:val="24"/>
        </w:rPr>
        <w:t>has to</w:t>
      </w:r>
      <w:proofErr w:type="gramEnd"/>
      <w:r w:rsidR="00AB6ABA" w:rsidRPr="002F138E">
        <w:rPr>
          <w:sz w:val="24"/>
          <w:szCs w:val="24"/>
        </w:rPr>
        <w:t xml:space="preserve"> conduct an audit in a unit/office where IAU conduc</w:t>
      </w:r>
      <w:r w:rsidR="006C240F" w:rsidRPr="002F138E">
        <w:rPr>
          <w:sz w:val="24"/>
          <w:szCs w:val="24"/>
        </w:rPr>
        <w:t>ted a prev</w:t>
      </w:r>
      <w:r w:rsidR="00D404E6" w:rsidRPr="002F138E">
        <w:rPr>
          <w:sz w:val="24"/>
          <w:szCs w:val="24"/>
        </w:rPr>
        <w:t>ious investigation</w:t>
      </w:r>
      <w:r w:rsidR="006C240F" w:rsidRPr="002F138E">
        <w:rPr>
          <w:sz w:val="24"/>
          <w:szCs w:val="24"/>
        </w:rPr>
        <w:t>,</w:t>
      </w:r>
      <w:r w:rsidR="00AB6ABA" w:rsidRPr="002F138E">
        <w:rPr>
          <w:sz w:val="24"/>
          <w:szCs w:val="24"/>
        </w:rPr>
        <w:t xml:space="preserve"> the</w:t>
      </w:r>
      <w:r w:rsidR="0027704F" w:rsidRPr="002F138E">
        <w:rPr>
          <w:sz w:val="24"/>
          <w:szCs w:val="24"/>
        </w:rPr>
        <w:t xml:space="preserve"> auditors may h</w:t>
      </w:r>
      <w:r w:rsidR="006B2186" w:rsidRPr="002F138E">
        <w:rPr>
          <w:sz w:val="24"/>
          <w:szCs w:val="24"/>
        </w:rPr>
        <w:t>ave preconceived notions that could undermine the</w:t>
      </w:r>
      <w:r w:rsidR="00AB6ABA" w:rsidRPr="002F138E">
        <w:rPr>
          <w:sz w:val="24"/>
          <w:szCs w:val="24"/>
        </w:rPr>
        <w:t xml:space="preserve"> independent find</w:t>
      </w:r>
      <w:r w:rsidR="006B2186" w:rsidRPr="002F138E">
        <w:rPr>
          <w:sz w:val="24"/>
          <w:szCs w:val="24"/>
        </w:rPr>
        <w:t>ings of the audit</w:t>
      </w:r>
      <w:r w:rsidR="00AB6ABA" w:rsidRPr="002F138E">
        <w:rPr>
          <w:sz w:val="24"/>
          <w:szCs w:val="24"/>
        </w:rPr>
        <w:t>.</w:t>
      </w:r>
      <w:r w:rsidR="000B1FD8" w:rsidRPr="002F138E">
        <w:rPr>
          <w:sz w:val="24"/>
          <w:szCs w:val="24"/>
        </w:rPr>
        <w:t xml:space="preserve"> </w:t>
      </w:r>
      <w:r w:rsidR="00181527" w:rsidRPr="002F138E">
        <w:rPr>
          <w:sz w:val="24"/>
          <w:szCs w:val="24"/>
        </w:rPr>
        <w:t xml:space="preserve">The </w:t>
      </w:r>
      <w:r w:rsidR="00C656CC" w:rsidRPr="002F138E">
        <w:rPr>
          <w:sz w:val="24"/>
          <w:szCs w:val="24"/>
        </w:rPr>
        <w:t>United States believes</w:t>
      </w:r>
      <w:r w:rsidR="00913102">
        <w:t xml:space="preserve"> these are</w:t>
      </w:r>
      <w:r w:rsidR="00181527">
        <w:t xml:space="preserve"> significant weakness</w:t>
      </w:r>
      <w:r w:rsidR="00913102">
        <w:t>es</w:t>
      </w:r>
      <w:r w:rsidR="00181527">
        <w:t xml:space="preserve"> in the ove</w:t>
      </w:r>
      <w:r w:rsidR="008870F3">
        <w:t>rsight framework, which exposes</w:t>
      </w:r>
      <w:r w:rsidR="00181527">
        <w:t xml:space="preserve"> the </w:t>
      </w:r>
      <w:r w:rsidR="00973FBC">
        <w:t>organization to legal liability and possible</w:t>
      </w:r>
      <w:r w:rsidR="008870F3">
        <w:t xml:space="preserve"> waste, fr</w:t>
      </w:r>
      <w:r>
        <w:t xml:space="preserve">aud and abuse. </w:t>
      </w:r>
    </w:p>
    <w:p w14:paraId="63DFEE2B" w14:textId="77777777" w:rsidR="0082269F" w:rsidRDefault="0082269F" w:rsidP="0082269F">
      <w:pPr>
        <w:spacing w:after="0" w:line="240" w:lineRule="auto"/>
        <w:rPr>
          <w:b/>
        </w:rPr>
      </w:pPr>
    </w:p>
    <w:p w14:paraId="20C0CAE7" w14:textId="77777777" w:rsidR="0082269F" w:rsidRPr="0082269F" w:rsidRDefault="0082269F" w:rsidP="0082269F">
      <w:pPr>
        <w:spacing w:after="0" w:line="240" w:lineRule="auto"/>
        <w:rPr>
          <w:b/>
          <w:sz w:val="28"/>
          <w:szCs w:val="28"/>
        </w:rPr>
      </w:pPr>
      <w:r w:rsidRPr="0082269F">
        <w:rPr>
          <w:b/>
          <w:sz w:val="28"/>
          <w:szCs w:val="28"/>
        </w:rPr>
        <w:t>Proposal</w:t>
      </w:r>
    </w:p>
    <w:p w14:paraId="1F34CD3F" w14:textId="77777777" w:rsidR="0082269F" w:rsidRDefault="0082269F" w:rsidP="0082269F">
      <w:pPr>
        <w:spacing w:after="0" w:line="240" w:lineRule="auto"/>
        <w:rPr>
          <w:b/>
        </w:rPr>
      </w:pPr>
    </w:p>
    <w:p w14:paraId="7E7B3EAA" w14:textId="1A627FF8" w:rsidR="00AA511C" w:rsidRPr="002F138E" w:rsidRDefault="00AB6ABA" w:rsidP="00467C09">
      <w:pPr>
        <w:spacing w:after="0" w:line="240" w:lineRule="auto"/>
        <w:rPr>
          <w:sz w:val="24"/>
          <w:szCs w:val="24"/>
        </w:rPr>
      </w:pPr>
      <w:r w:rsidRPr="002F138E">
        <w:rPr>
          <w:sz w:val="24"/>
          <w:szCs w:val="24"/>
        </w:rPr>
        <w:t>Therefore</w:t>
      </w:r>
      <w:r w:rsidR="0076608D" w:rsidRPr="002F138E">
        <w:rPr>
          <w:sz w:val="24"/>
          <w:szCs w:val="24"/>
        </w:rPr>
        <w:t>,</w:t>
      </w:r>
      <w:r w:rsidRPr="002F138E">
        <w:rPr>
          <w:sz w:val="24"/>
          <w:szCs w:val="24"/>
        </w:rPr>
        <w:t xml:space="preserve"> p</w:t>
      </w:r>
      <w:r w:rsidR="00467C09" w:rsidRPr="002F138E">
        <w:rPr>
          <w:sz w:val="24"/>
          <w:szCs w:val="24"/>
        </w:rPr>
        <w:t>ursuant to Council Decision 613</w:t>
      </w:r>
      <w:r w:rsidR="00295AE8" w:rsidRPr="002F138E">
        <w:rPr>
          <w:sz w:val="24"/>
          <w:szCs w:val="24"/>
        </w:rPr>
        <w:t>,</w:t>
      </w:r>
      <w:r w:rsidR="00467C09" w:rsidRPr="002F138E">
        <w:rPr>
          <w:sz w:val="24"/>
          <w:szCs w:val="24"/>
        </w:rPr>
        <w:t xml:space="preserve"> and</w:t>
      </w:r>
      <w:r w:rsidR="00295AE8" w:rsidRPr="002F138E">
        <w:rPr>
          <w:sz w:val="24"/>
          <w:szCs w:val="24"/>
        </w:rPr>
        <w:t xml:space="preserve"> </w:t>
      </w:r>
      <w:proofErr w:type="gramStart"/>
      <w:r w:rsidR="00295AE8" w:rsidRPr="002F138E">
        <w:rPr>
          <w:sz w:val="24"/>
          <w:szCs w:val="24"/>
        </w:rPr>
        <w:t>taking into account</w:t>
      </w:r>
      <w:proofErr w:type="gramEnd"/>
      <w:r w:rsidR="00295AE8" w:rsidRPr="002F138E">
        <w:rPr>
          <w:sz w:val="24"/>
          <w:szCs w:val="24"/>
        </w:rPr>
        <w:t xml:space="preserve"> Resolution 48 (Rev. Dubai, 2018)</w:t>
      </w:r>
      <w:r w:rsidR="00467C09" w:rsidRPr="002F138E">
        <w:rPr>
          <w:sz w:val="24"/>
          <w:szCs w:val="24"/>
        </w:rPr>
        <w:t>, the United States proposes</w:t>
      </w:r>
      <w:r w:rsidR="0082269F" w:rsidRPr="002F138E">
        <w:rPr>
          <w:sz w:val="24"/>
          <w:szCs w:val="24"/>
        </w:rPr>
        <w:t xml:space="preserve"> </w:t>
      </w:r>
      <w:r w:rsidRPr="002F138E">
        <w:rPr>
          <w:sz w:val="24"/>
          <w:szCs w:val="24"/>
        </w:rPr>
        <w:t>tha</w:t>
      </w:r>
      <w:r w:rsidR="00AC4AB2" w:rsidRPr="002F138E">
        <w:rPr>
          <w:sz w:val="24"/>
          <w:szCs w:val="24"/>
        </w:rPr>
        <w:t xml:space="preserve">t the CWG-FHR </w:t>
      </w:r>
      <w:r w:rsidR="000668B2" w:rsidRPr="002F138E">
        <w:rPr>
          <w:sz w:val="24"/>
          <w:szCs w:val="24"/>
        </w:rPr>
        <w:t xml:space="preserve">discuss and </w:t>
      </w:r>
      <w:r w:rsidR="00AC4AB2" w:rsidRPr="002F138E">
        <w:rPr>
          <w:sz w:val="24"/>
          <w:szCs w:val="24"/>
        </w:rPr>
        <w:t>consider</w:t>
      </w:r>
      <w:r w:rsidR="000668B2" w:rsidRPr="002F138E">
        <w:rPr>
          <w:sz w:val="24"/>
          <w:szCs w:val="24"/>
        </w:rPr>
        <w:t xml:space="preserve"> the following options to recommend to Council regarding </w:t>
      </w:r>
      <w:r w:rsidRPr="002F138E">
        <w:rPr>
          <w:sz w:val="24"/>
          <w:szCs w:val="24"/>
        </w:rPr>
        <w:t>the establishment of an investigation function and process:</w:t>
      </w:r>
    </w:p>
    <w:p w14:paraId="0A48CFC5" w14:textId="26B417BD" w:rsidR="0076608D" w:rsidRPr="002F138E" w:rsidRDefault="0076608D" w:rsidP="00467C09">
      <w:pPr>
        <w:spacing w:after="0" w:line="240" w:lineRule="auto"/>
        <w:rPr>
          <w:sz w:val="24"/>
          <w:szCs w:val="24"/>
        </w:rPr>
      </w:pPr>
    </w:p>
    <w:p w14:paraId="1ED8F94B" w14:textId="77777777" w:rsidR="00283527" w:rsidRPr="002F138E" w:rsidRDefault="00283527" w:rsidP="002F138E">
      <w:pPr>
        <w:numPr>
          <w:ilvl w:val="0"/>
          <w:numId w:val="27"/>
        </w:numPr>
        <w:ind w:left="714" w:hanging="357"/>
        <w:rPr>
          <w:sz w:val="24"/>
          <w:szCs w:val="24"/>
        </w:rPr>
      </w:pPr>
      <w:r w:rsidRPr="002F138E">
        <w:rPr>
          <w:sz w:val="24"/>
          <w:szCs w:val="24"/>
        </w:rPr>
        <w:t>Establishment of ITU investigation function</w:t>
      </w:r>
      <w:r w:rsidRPr="002F138E">
        <w:rPr>
          <w:rFonts w:ascii="Calibri" w:hAnsi="Calibri"/>
          <w:position w:val="6"/>
          <w:sz w:val="20"/>
          <w:szCs w:val="20"/>
        </w:rPr>
        <w:footnoteReference w:id="4"/>
      </w:r>
    </w:p>
    <w:p w14:paraId="04E07BFB" w14:textId="13E46A2E" w:rsidR="00283527" w:rsidRPr="002F138E" w:rsidRDefault="00283527" w:rsidP="002F138E">
      <w:pPr>
        <w:numPr>
          <w:ilvl w:val="0"/>
          <w:numId w:val="28"/>
        </w:numPr>
        <w:spacing w:before="120"/>
        <w:ind w:left="1491" w:hanging="357"/>
        <w:rPr>
          <w:sz w:val="24"/>
          <w:szCs w:val="24"/>
        </w:rPr>
      </w:pPr>
      <w:r w:rsidRPr="002F138E">
        <w:rPr>
          <w:sz w:val="24"/>
          <w:szCs w:val="24"/>
        </w:rPr>
        <w:t>Option 1 – Within existing resources the ITU should hire a P-5 or P-4 investigator to conduct investigations and associated res</w:t>
      </w:r>
      <w:r w:rsidR="00913102" w:rsidRPr="002F138E">
        <w:rPr>
          <w:sz w:val="24"/>
          <w:szCs w:val="24"/>
        </w:rPr>
        <w:t>ponsibilities as described in the investigation process proposed below (“2. Reform of the Investigation Process”)</w:t>
      </w:r>
      <w:r w:rsidRPr="002F138E">
        <w:rPr>
          <w:sz w:val="24"/>
          <w:szCs w:val="24"/>
        </w:rPr>
        <w:t xml:space="preserve">, to develop investigation guidelines, and contribute to other oversight policies as appropriate.  This </w:t>
      </w:r>
      <w:r w:rsidR="000668B2" w:rsidRPr="002F138E">
        <w:rPr>
          <w:sz w:val="24"/>
          <w:szCs w:val="24"/>
        </w:rPr>
        <w:t>i</w:t>
      </w:r>
      <w:r w:rsidRPr="002F138E">
        <w:rPr>
          <w:sz w:val="24"/>
          <w:szCs w:val="24"/>
        </w:rPr>
        <w:t xml:space="preserve">nvestigator will also be responsible for providing an annual report to member states on investigations undertaken </w:t>
      </w:r>
      <w:r w:rsidR="00A80F51" w:rsidRPr="002F138E">
        <w:rPr>
          <w:sz w:val="24"/>
          <w:szCs w:val="24"/>
        </w:rPr>
        <w:t>during the year, and</w:t>
      </w:r>
      <w:r w:rsidRPr="002F138E">
        <w:rPr>
          <w:sz w:val="24"/>
          <w:szCs w:val="24"/>
        </w:rPr>
        <w:t xml:space="preserve"> will monitor and follow up on investigation reports to see if action was taken on the findings, and if so, whether the action was proportion to the "offense."  The P-5 </w:t>
      </w:r>
      <w:r w:rsidRPr="002F138E">
        <w:rPr>
          <w:sz w:val="24"/>
          <w:szCs w:val="24"/>
        </w:rPr>
        <w:lastRenderedPageBreak/>
        <w:t>or P-4 would</w:t>
      </w:r>
      <w:r w:rsidR="00A80F51" w:rsidRPr="002F138E">
        <w:rPr>
          <w:sz w:val="24"/>
          <w:szCs w:val="24"/>
        </w:rPr>
        <w:t xml:space="preserve"> be housed in the same office as the Ethics </w:t>
      </w:r>
      <w:proofErr w:type="gramStart"/>
      <w:r w:rsidR="00A80F51" w:rsidRPr="002F138E">
        <w:rPr>
          <w:sz w:val="24"/>
          <w:szCs w:val="24"/>
        </w:rPr>
        <w:t>Officer, but</w:t>
      </w:r>
      <w:proofErr w:type="gramEnd"/>
      <w:r w:rsidRPr="002F138E">
        <w:rPr>
          <w:sz w:val="24"/>
          <w:szCs w:val="24"/>
        </w:rPr>
        <w:t xml:space="preserve"> report</w:t>
      </w:r>
      <w:r w:rsidR="00A80F51" w:rsidRPr="002F138E">
        <w:rPr>
          <w:sz w:val="24"/>
          <w:szCs w:val="24"/>
        </w:rPr>
        <w:t xml:space="preserve"> directly</w:t>
      </w:r>
      <w:r w:rsidRPr="002F138E">
        <w:rPr>
          <w:sz w:val="24"/>
          <w:szCs w:val="24"/>
        </w:rPr>
        <w:t xml:space="preserve"> to the Secretary </w:t>
      </w:r>
      <w:r w:rsidR="00A80F51" w:rsidRPr="002F138E">
        <w:rPr>
          <w:sz w:val="24"/>
          <w:szCs w:val="24"/>
        </w:rPr>
        <w:t>General.  The Investigator would</w:t>
      </w:r>
      <w:r w:rsidR="00FF1ACF" w:rsidRPr="002F138E">
        <w:rPr>
          <w:sz w:val="24"/>
          <w:szCs w:val="24"/>
        </w:rPr>
        <w:t xml:space="preserve"> remain operationally</w:t>
      </w:r>
      <w:r w:rsidRPr="002F138E">
        <w:rPr>
          <w:sz w:val="24"/>
          <w:szCs w:val="24"/>
        </w:rPr>
        <w:t xml:space="preserve"> independent</w:t>
      </w:r>
      <w:r w:rsidR="00A80F51" w:rsidRPr="002F138E">
        <w:rPr>
          <w:sz w:val="24"/>
          <w:szCs w:val="24"/>
        </w:rPr>
        <w:t>,</w:t>
      </w:r>
      <w:r w:rsidRPr="002F138E">
        <w:rPr>
          <w:sz w:val="24"/>
          <w:szCs w:val="24"/>
        </w:rPr>
        <w:t xml:space="preserve"> with similar saf</w:t>
      </w:r>
      <w:r w:rsidR="00A80F51" w:rsidRPr="002F138E">
        <w:rPr>
          <w:sz w:val="24"/>
          <w:szCs w:val="24"/>
        </w:rPr>
        <w:t xml:space="preserve">eguards to the Internal Auditor and Ethics Officer. </w:t>
      </w:r>
    </w:p>
    <w:p w14:paraId="3300F578" w14:textId="3CCA164A" w:rsidR="00283527" w:rsidRPr="002F138E" w:rsidRDefault="00283527" w:rsidP="00283527">
      <w:pPr>
        <w:numPr>
          <w:ilvl w:val="0"/>
          <w:numId w:val="28"/>
        </w:numPr>
        <w:contextualSpacing/>
        <w:rPr>
          <w:sz w:val="24"/>
          <w:szCs w:val="24"/>
        </w:rPr>
      </w:pPr>
      <w:r w:rsidRPr="002F138E">
        <w:rPr>
          <w:sz w:val="24"/>
          <w:szCs w:val="24"/>
        </w:rPr>
        <w:t xml:space="preserve">Option 2 – </w:t>
      </w:r>
      <w:r w:rsidR="00E07B16" w:rsidRPr="002F138E">
        <w:rPr>
          <w:sz w:val="24"/>
          <w:szCs w:val="24"/>
        </w:rPr>
        <w:t>Within existing resources, h</w:t>
      </w:r>
      <w:r w:rsidRPr="002F138E">
        <w:rPr>
          <w:sz w:val="24"/>
          <w:szCs w:val="24"/>
        </w:rPr>
        <w:t>ire a D-1 to oversee the entire oversight unit, to include audit and investigations. This option assumes Option 1, above, which provides for the creation of an investigator position</w:t>
      </w:r>
      <w:r w:rsidR="00E07B16" w:rsidRPr="002F138E">
        <w:rPr>
          <w:sz w:val="24"/>
          <w:szCs w:val="24"/>
        </w:rPr>
        <w:t>, either as a P-3 or P-4</w:t>
      </w:r>
      <w:r w:rsidRPr="002F138E">
        <w:rPr>
          <w:sz w:val="24"/>
          <w:szCs w:val="24"/>
        </w:rPr>
        <w:t>.  The D-1 would report directly to the Secretary-General, have a term limit, and his/her appointment or dismissal would be approved by ITU Council.</w:t>
      </w:r>
    </w:p>
    <w:p w14:paraId="2C9F666C" w14:textId="3E3EE151" w:rsidR="0076608D" w:rsidRPr="002F138E" w:rsidRDefault="0076608D" w:rsidP="002F138E">
      <w:pPr>
        <w:pStyle w:val="ListParagraph"/>
        <w:numPr>
          <w:ilvl w:val="0"/>
          <w:numId w:val="27"/>
        </w:numPr>
        <w:spacing w:after="120" w:line="240" w:lineRule="auto"/>
        <w:ind w:left="714" w:hanging="357"/>
        <w:contextualSpacing w:val="0"/>
        <w:rPr>
          <w:sz w:val="24"/>
          <w:szCs w:val="24"/>
        </w:rPr>
      </w:pPr>
      <w:r w:rsidRPr="002F138E">
        <w:rPr>
          <w:sz w:val="24"/>
          <w:szCs w:val="24"/>
        </w:rPr>
        <w:t>Reform</w:t>
      </w:r>
      <w:r w:rsidR="00AC4AB2" w:rsidRPr="002F138E">
        <w:rPr>
          <w:sz w:val="24"/>
          <w:szCs w:val="24"/>
        </w:rPr>
        <w:t xml:space="preserve"> of</w:t>
      </w:r>
      <w:r w:rsidRPr="002F138E">
        <w:rPr>
          <w:sz w:val="24"/>
          <w:szCs w:val="24"/>
        </w:rPr>
        <w:t xml:space="preserve"> the investigation process</w:t>
      </w:r>
      <w:r w:rsidR="00A80F51" w:rsidRPr="002F138E">
        <w:rPr>
          <w:sz w:val="24"/>
          <w:szCs w:val="24"/>
        </w:rPr>
        <w:t xml:space="preserve"> (assuming the implementation of Option 1 or Option 2 above)</w:t>
      </w:r>
      <w:r w:rsidR="00AC4AB2" w:rsidRPr="002F138E">
        <w:rPr>
          <w:rStyle w:val="FootnoteReference"/>
          <w:sz w:val="20"/>
          <w:szCs w:val="20"/>
        </w:rPr>
        <w:footnoteReference w:id="5"/>
      </w:r>
      <w:r w:rsidRPr="002F138E">
        <w:rPr>
          <w:sz w:val="20"/>
          <w:szCs w:val="20"/>
        </w:rPr>
        <w:t xml:space="preserve"> </w:t>
      </w:r>
      <w:r w:rsidRPr="002F138E">
        <w:rPr>
          <w:sz w:val="24"/>
          <w:szCs w:val="24"/>
        </w:rPr>
        <w:t xml:space="preserve"> </w:t>
      </w:r>
    </w:p>
    <w:p w14:paraId="1FD5D5FD" w14:textId="113FF1E5" w:rsidR="0076608D" w:rsidRPr="002F138E" w:rsidRDefault="0076608D" w:rsidP="002F138E">
      <w:pPr>
        <w:pStyle w:val="ListParagraph"/>
        <w:numPr>
          <w:ilvl w:val="1"/>
          <w:numId w:val="26"/>
        </w:numPr>
        <w:spacing w:before="80" w:after="0" w:line="240" w:lineRule="auto"/>
        <w:ind w:left="1434" w:hanging="357"/>
        <w:contextualSpacing w:val="0"/>
        <w:rPr>
          <w:sz w:val="24"/>
          <w:szCs w:val="24"/>
        </w:rPr>
      </w:pPr>
      <w:r w:rsidRPr="002F138E">
        <w:rPr>
          <w:i/>
          <w:sz w:val="24"/>
          <w:szCs w:val="24"/>
        </w:rPr>
        <w:t>Entry:</w:t>
      </w:r>
      <w:r w:rsidRPr="002F138E">
        <w:rPr>
          <w:sz w:val="24"/>
          <w:szCs w:val="24"/>
        </w:rPr>
        <w:t xml:space="preserve"> </w:t>
      </w:r>
      <w:r w:rsidR="001B5251" w:rsidRPr="002F138E">
        <w:rPr>
          <w:sz w:val="24"/>
          <w:szCs w:val="24"/>
        </w:rPr>
        <w:t>Three internal ITU channels</w:t>
      </w:r>
      <w:r w:rsidR="007E247C" w:rsidRPr="002F138E">
        <w:rPr>
          <w:sz w:val="24"/>
          <w:szCs w:val="24"/>
        </w:rPr>
        <w:t xml:space="preserve"> available</w:t>
      </w:r>
      <w:r w:rsidR="001B5251" w:rsidRPr="002F138E">
        <w:rPr>
          <w:sz w:val="24"/>
          <w:szCs w:val="24"/>
        </w:rPr>
        <w:t xml:space="preserve"> for reporting wrongdoing</w:t>
      </w:r>
      <w:r w:rsidR="007E247C" w:rsidRPr="002F138E">
        <w:rPr>
          <w:sz w:val="24"/>
          <w:szCs w:val="24"/>
        </w:rPr>
        <w:t>,</w:t>
      </w:r>
      <w:r w:rsidR="001B5251" w:rsidRPr="002F138E">
        <w:rPr>
          <w:sz w:val="24"/>
          <w:szCs w:val="24"/>
        </w:rPr>
        <w:t xml:space="preserve"> namely a hierarchical</w:t>
      </w:r>
      <w:r w:rsidR="008870F3" w:rsidRPr="002F138E">
        <w:rPr>
          <w:sz w:val="24"/>
          <w:szCs w:val="24"/>
        </w:rPr>
        <w:t xml:space="preserve"> supervisor, the Ethics Office</w:t>
      </w:r>
      <w:r w:rsidR="001B5251" w:rsidRPr="002F138E">
        <w:rPr>
          <w:sz w:val="24"/>
          <w:szCs w:val="24"/>
        </w:rPr>
        <w:t>, or ITU investigator</w:t>
      </w:r>
      <w:r w:rsidR="008870F3" w:rsidRPr="002F138E">
        <w:rPr>
          <w:sz w:val="24"/>
          <w:szCs w:val="24"/>
        </w:rPr>
        <w:t xml:space="preserve">. </w:t>
      </w:r>
    </w:p>
    <w:p w14:paraId="4B0454F2" w14:textId="47C90AD6" w:rsidR="0076608D" w:rsidRPr="002F138E" w:rsidRDefault="008870F3" w:rsidP="002F138E">
      <w:pPr>
        <w:pStyle w:val="ListParagraph"/>
        <w:numPr>
          <w:ilvl w:val="1"/>
          <w:numId w:val="26"/>
        </w:numPr>
        <w:spacing w:before="80" w:after="0" w:line="240" w:lineRule="auto"/>
        <w:ind w:left="1434" w:hanging="357"/>
        <w:contextualSpacing w:val="0"/>
        <w:rPr>
          <w:sz w:val="24"/>
          <w:szCs w:val="24"/>
        </w:rPr>
      </w:pPr>
      <w:r w:rsidRPr="002F138E">
        <w:rPr>
          <w:i/>
          <w:sz w:val="24"/>
          <w:szCs w:val="24"/>
        </w:rPr>
        <w:t>In-take</w:t>
      </w:r>
      <w:r w:rsidR="001B5251" w:rsidRPr="002F138E">
        <w:rPr>
          <w:i/>
          <w:sz w:val="24"/>
          <w:szCs w:val="24"/>
        </w:rPr>
        <w:t>:</w:t>
      </w:r>
      <w:r w:rsidR="007E247C" w:rsidRPr="002F138E">
        <w:rPr>
          <w:sz w:val="24"/>
          <w:szCs w:val="24"/>
        </w:rPr>
        <w:t xml:space="preserve"> The ITU investigator</w:t>
      </w:r>
      <w:r w:rsidR="001B5251" w:rsidRPr="002F138E">
        <w:rPr>
          <w:sz w:val="24"/>
          <w:szCs w:val="24"/>
        </w:rPr>
        <w:t xml:space="preserve">, except for complaints of retaliation, would be responsible for </w:t>
      </w:r>
      <w:r w:rsidR="007E247C" w:rsidRPr="002F138E">
        <w:rPr>
          <w:sz w:val="24"/>
          <w:szCs w:val="24"/>
        </w:rPr>
        <w:t xml:space="preserve">receiving </w:t>
      </w:r>
      <w:r w:rsidR="001B5251" w:rsidRPr="002F138E">
        <w:rPr>
          <w:sz w:val="24"/>
          <w:szCs w:val="24"/>
        </w:rPr>
        <w:t>the allegation of wrongdoing</w:t>
      </w:r>
      <w:r w:rsidR="007E247C" w:rsidRPr="002F138E">
        <w:rPr>
          <w:sz w:val="24"/>
          <w:szCs w:val="24"/>
        </w:rPr>
        <w:t xml:space="preserve">. </w:t>
      </w:r>
      <w:r w:rsidRPr="002F138E">
        <w:rPr>
          <w:sz w:val="24"/>
          <w:szCs w:val="24"/>
        </w:rPr>
        <w:t>This phase may include, depending on the circumstances of the case,</w:t>
      </w:r>
      <w:r w:rsidR="0076608D" w:rsidRPr="002F138E">
        <w:rPr>
          <w:sz w:val="24"/>
          <w:szCs w:val="24"/>
        </w:rPr>
        <w:t xml:space="preserve"> </w:t>
      </w:r>
      <w:r w:rsidR="001B5251" w:rsidRPr="002F138E">
        <w:rPr>
          <w:sz w:val="24"/>
          <w:szCs w:val="24"/>
        </w:rPr>
        <w:t>ensuring that the</w:t>
      </w:r>
      <w:r w:rsidRPr="002F138E">
        <w:rPr>
          <w:sz w:val="24"/>
          <w:szCs w:val="24"/>
        </w:rPr>
        <w:t xml:space="preserve"> received</w:t>
      </w:r>
      <w:r w:rsidR="001B5251" w:rsidRPr="002F138E">
        <w:rPr>
          <w:sz w:val="24"/>
          <w:szCs w:val="24"/>
        </w:rPr>
        <w:t xml:space="preserve"> allegation/report is complete</w:t>
      </w:r>
      <w:r w:rsidR="007E247C" w:rsidRPr="002F138E">
        <w:rPr>
          <w:sz w:val="24"/>
          <w:szCs w:val="24"/>
        </w:rPr>
        <w:t>,</w:t>
      </w:r>
      <w:r w:rsidR="001B5251" w:rsidRPr="002F138E">
        <w:rPr>
          <w:sz w:val="24"/>
          <w:szCs w:val="24"/>
        </w:rPr>
        <w:t xml:space="preserve"> and </w:t>
      </w:r>
      <w:r w:rsidRPr="002F138E">
        <w:rPr>
          <w:sz w:val="24"/>
          <w:szCs w:val="24"/>
        </w:rPr>
        <w:t>assessing the need of urgent protect</w:t>
      </w:r>
      <w:r w:rsidR="001B5251" w:rsidRPr="002F138E">
        <w:rPr>
          <w:sz w:val="24"/>
          <w:szCs w:val="24"/>
        </w:rPr>
        <w:t>ion measures by wo</w:t>
      </w:r>
      <w:r w:rsidR="007E247C" w:rsidRPr="002F138E">
        <w:rPr>
          <w:sz w:val="24"/>
          <w:szCs w:val="24"/>
        </w:rPr>
        <w:t xml:space="preserve">rking with the Ethics Officer. </w:t>
      </w:r>
      <w:proofErr w:type="gramStart"/>
      <w:r w:rsidR="001B5251" w:rsidRPr="002F138E">
        <w:rPr>
          <w:sz w:val="24"/>
          <w:szCs w:val="24"/>
        </w:rPr>
        <w:t>In regards to</w:t>
      </w:r>
      <w:proofErr w:type="gramEnd"/>
      <w:r w:rsidR="001B5251" w:rsidRPr="002F138E">
        <w:rPr>
          <w:sz w:val="24"/>
          <w:szCs w:val="24"/>
        </w:rPr>
        <w:t xml:space="preserve"> complaints of retaliation, the Ethics Officer will be responsible for intake.  </w:t>
      </w:r>
    </w:p>
    <w:p w14:paraId="6AE2CE89" w14:textId="293530B5" w:rsidR="0076608D" w:rsidRPr="002F138E" w:rsidRDefault="008870F3" w:rsidP="002F138E">
      <w:pPr>
        <w:pStyle w:val="ListParagraph"/>
        <w:numPr>
          <w:ilvl w:val="1"/>
          <w:numId w:val="26"/>
        </w:numPr>
        <w:spacing w:before="80" w:after="0" w:line="240" w:lineRule="auto"/>
        <w:ind w:left="1434" w:hanging="357"/>
        <w:contextualSpacing w:val="0"/>
        <w:rPr>
          <w:sz w:val="24"/>
          <w:szCs w:val="24"/>
        </w:rPr>
      </w:pPr>
      <w:r w:rsidRPr="002F138E">
        <w:rPr>
          <w:i/>
          <w:sz w:val="24"/>
          <w:szCs w:val="24"/>
        </w:rPr>
        <w:t>Prelim</w:t>
      </w:r>
      <w:r w:rsidR="001B5251" w:rsidRPr="002F138E">
        <w:rPr>
          <w:i/>
          <w:sz w:val="24"/>
          <w:szCs w:val="24"/>
        </w:rPr>
        <w:t>inary Assessment:</w:t>
      </w:r>
      <w:r w:rsidR="001B5251" w:rsidRPr="002F138E">
        <w:rPr>
          <w:sz w:val="24"/>
          <w:szCs w:val="24"/>
        </w:rPr>
        <w:t xml:space="preserve"> The ITU investigator will conduct a preliminary assessment of the allegation of wrongdoing to determine whether the complaint warrants investigation or should be referred to another ITU entity for</w:t>
      </w:r>
      <w:r w:rsidR="00D9666F" w:rsidRPr="002F138E">
        <w:rPr>
          <w:sz w:val="24"/>
          <w:szCs w:val="24"/>
        </w:rPr>
        <w:t xml:space="preserve"> appropriate action. For complaints of retaliation</w:t>
      </w:r>
      <w:r w:rsidR="007E247C" w:rsidRPr="002F138E">
        <w:rPr>
          <w:sz w:val="24"/>
          <w:szCs w:val="24"/>
        </w:rPr>
        <w:t>,</w:t>
      </w:r>
      <w:r w:rsidR="00D9666F" w:rsidRPr="002F138E">
        <w:rPr>
          <w:sz w:val="24"/>
          <w:szCs w:val="24"/>
        </w:rPr>
        <w:t xml:space="preserve"> the Ethics Officer shall conduct a preliminary assessment and determine whether there is a </w:t>
      </w:r>
      <w:r w:rsidR="00D9666F" w:rsidRPr="002F138E">
        <w:rPr>
          <w:i/>
          <w:sz w:val="24"/>
          <w:szCs w:val="24"/>
        </w:rPr>
        <w:t>prima facie</w:t>
      </w:r>
      <w:r w:rsidR="00D9666F" w:rsidRPr="002F138E">
        <w:rPr>
          <w:sz w:val="24"/>
          <w:szCs w:val="24"/>
        </w:rPr>
        <w:t xml:space="preserve"> case of retaliation that warrants an investigation.</w:t>
      </w:r>
      <w:r w:rsidR="007E247C" w:rsidRPr="002F138E">
        <w:rPr>
          <w:sz w:val="24"/>
          <w:szCs w:val="24"/>
        </w:rPr>
        <w:t xml:space="preserve">  If the Ethics Officer finds there is a </w:t>
      </w:r>
      <w:r w:rsidR="007E247C" w:rsidRPr="002F138E">
        <w:rPr>
          <w:i/>
          <w:sz w:val="24"/>
          <w:szCs w:val="24"/>
        </w:rPr>
        <w:t>prima facie</w:t>
      </w:r>
      <w:r w:rsidR="007E247C" w:rsidRPr="002F138E">
        <w:rPr>
          <w:sz w:val="24"/>
          <w:szCs w:val="24"/>
        </w:rPr>
        <w:t xml:space="preserve"> case of retaliation, he/she will immediately refer the matter to the ITU investigator for investigation.</w:t>
      </w:r>
    </w:p>
    <w:p w14:paraId="260C6EC9" w14:textId="78BD27F9" w:rsidR="0076608D" w:rsidRPr="002F138E" w:rsidRDefault="0076608D" w:rsidP="002F138E">
      <w:pPr>
        <w:pStyle w:val="ListParagraph"/>
        <w:numPr>
          <w:ilvl w:val="1"/>
          <w:numId w:val="26"/>
        </w:numPr>
        <w:spacing w:before="80"/>
        <w:ind w:left="1434" w:hanging="357"/>
        <w:contextualSpacing w:val="0"/>
        <w:rPr>
          <w:sz w:val="24"/>
          <w:szCs w:val="24"/>
        </w:rPr>
      </w:pPr>
      <w:r w:rsidRPr="002F138E">
        <w:rPr>
          <w:i/>
          <w:sz w:val="24"/>
          <w:szCs w:val="24"/>
        </w:rPr>
        <w:t>Inve</w:t>
      </w:r>
      <w:r w:rsidR="00D9666F" w:rsidRPr="002F138E">
        <w:rPr>
          <w:i/>
          <w:sz w:val="24"/>
          <w:szCs w:val="24"/>
        </w:rPr>
        <w:t>stigation:</w:t>
      </w:r>
      <w:r w:rsidR="00D9666F" w:rsidRPr="002F138E">
        <w:rPr>
          <w:sz w:val="24"/>
          <w:szCs w:val="24"/>
        </w:rPr>
        <w:t xml:space="preserve"> If an investigation is warranted, the ITU Investigator shall have the authority to initiate an investigation immediately. He/she will conduct the investigation or hire an external investigative entity, if the investigation requires specialized knowledge or expertise (i.e. SEA or IT).</w:t>
      </w:r>
    </w:p>
    <w:p w14:paraId="7566EB17" w14:textId="2A680A06" w:rsidR="0072564E" w:rsidRPr="002F138E" w:rsidRDefault="0076608D" w:rsidP="002F138E">
      <w:pPr>
        <w:pStyle w:val="ListParagraph"/>
        <w:numPr>
          <w:ilvl w:val="1"/>
          <w:numId w:val="26"/>
        </w:numPr>
        <w:spacing w:before="80"/>
        <w:ind w:left="1434" w:hanging="357"/>
        <w:contextualSpacing w:val="0"/>
        <w:rPr>
          <w:sz w:val="24"/>
          <w:szCs w:val="24"/>
        </w:rPr>
      </w:pPr>
      <w:r w:rsidRPr="002F138E">
        <w:rPr>
          <w:i/>
          <w:sz w:val="24"/>
          <w:szCs w:val="24"/>
        </w:rPr>
        <w:t>Final Decision:</w:t>
      </w:r>
      <w:r w:rsidRPr="002F138E">
        <w:rPr>
          <w:sz w:val="24"/>
          <w:szCs w:val="24"/>
        </w:rPr>
        <w:t xml:space="preserve"> </w:t>
      </w:r>
      <w:r w:rsidR="00D9666F" w:rsidRPr="002F138E">
        <w:rPr>
          <w:sz w:val="24"/>
          <w:szCs w:val="24"/>
        </w:rPr>
        <w:t>Following the investigation, the investigation report, including findings and recommendations, shall be submitted to the S</w:t>
      </w:r>
      <w:r w:rsidRPr="002F138E">
        <w:rPr>
          <w:sz w:val="24"/>
          <w:szCs w:val="24"/>
        </w:rPr>
        <w:t>ecretary-General</w:t>
      </w:r>
      <w:r w:rsidR="00D9666F" w:rsidRPr="002F138E">
        <w:rPr>
          <w:sz w:val="24"/>
          <w:szCs w:val="24"/>
        </w:rPr>
        <w:t xml:space="preserve"> and HRMD</w:t>
      </w:r>
      <w:r w:rsidR="008F4880" w:rsidRPr="002F138E">
        <w:rPr>
          <w:sz w:val="24"/>
          <w:szCs w:val="24"/>
        </w:rPr>
        <w:t xml:space="preserve"> for any action</w:t>
      </w:r>
      <w:r w:rsidRPr="002F138E">
        <w:rPr>
          <w:sz w:val="24"/>
          <w:szCs w:val="24"/>
        </w:rPr>
        <w:t>, in accordance with established procedures in each scenario.</w:t>
      </w:r>
      <w:r w:rsidR="007E247C" w:rsidRPr="002F138E">
        <w:rPr>
          <w:sz w:val="24"/>
          <w:szCs w:val="24"/>
        </w:rPr>
        <w:t xml:space="preserve"> If the investigation is in response to a complaint of </w:t>
      </w:r>
      <w:r w:rsidR="0003238A" w:rsidRPr="002F138E">
        <w:rPr>
          <w:sz w:val="24"/>
          <w:szCs w:val="24"/>
        </w:rPr>
        <w:t>retaliation,</w:t>
      </w:r>
      <w:r w:rsidR="007E247C" w:rsidRPr="002F138E">
        <w:rPr>
          <w:sz w:val="24"/>
          <w:szCs w:val="24"/>
        </w:rPr>
        <w:t xml:space="preserve"> the final investigation report and findings shall be sent to the Ethics Officer to determin</w:t>
      </w:r>
      <w:r w:rsidR="000930F2" w:rsidRPr="002F138E">
        <w:rPr>
          <w:sz w:val="24"/>
          <w:szCs w:val="24"/>
        </w:rPr>
        <w:t>e whether the burden of proof for</w:t>
      </w:r>
      <w:r w:rsidR="007E247C" w:rsidRPr="002F138E">
        <w:rPr>
          <w:sz w:val="24"/>
          <w:szCs w:val="24"/>
        </w:rPr>
        <w:t xml:space="preserve"> retaliation has been met.  The Ethics Officer will submit his/her findings and recommendations to the Secretary-General.</w:t>
      </w:r>
    </w:p>
    <w:p w14:paraId="67EB18E0" w14:textId="538C2410" w:rsidR="00AB2815" w:rsidRPr="002F138E" w:rsidRDefault="0072564E" w:rsidP="002F138E">
      <w:pPr>
        <w:pStyle w:val="ListParagraph"/>
        <w:numPr>
          <w:ilvl w:val="1"/>
          <w:numId w:val="26"/>
        </w:numPr>
        <w:spacing w:before="80"/>
        <w:ind w:left="1434" w:hanging="357"/>
        <w:contextualSpacing w:val="0"/>
        <w:rPr>
          <w:sz w:val="24"/>
          <w:szCs w:val="24"/>
        </w:rPr>
      </w:pPr>
      <w:r w:rsidRPr="002F138E">
        <w:rPr>
          <w:i/>
          <w:sz w:val="24"/>
          <w:szCs w:val="24"/>
        </w:rPr>
        <w:lastRenderedPageBreak/>
        <w:t xml:space="preserve">Reporting: </w:t>
      </w:r>
      <w:proofErr w:type="gramStart"/>
      <w:r w:rsidR="00785A8F" w:rsidRPr="002F138E">
        <w:rPr>
          <w:sz w:val="24"/>
          <w:szCs w:val="24"/>
        </w:rPr>
        <w:t>Taking into account</w:t>
      </w:r>
      <w:proofErr w:type="gramEnd"/>
      <w:r w:rsidR="00785A8F" w:rsidRPr="002F138E">
        <w:rPr>
          <w:sz w:val="24"/>
          <w:szCs w:val="24"/>
        </w:rPr>
        <w:t xml:space="preserve"> confidentiality, t</w:t>
      </w:r>
      <w:r w:rsidR="00140F54" w:rsidRPr="002F138E">
        <w:rPr>
          <w:sz w:val="24"/>
          <w:szCs w:val="24"/>
        </w:rPr>
        <w:t>he ITU Investigator shall submit annually a report to ITU Council</w:t>
      </w:r>
      <w:r w:rsidR="00785A8F" w:rsidRPr="002F138E">
        <w:rPr>
          <w:sz w:val="24"/>
          <w:szCs w:val="24"/>
        </w:rPr>
        <w:t xml:space="preserve"> on the misconduct/wrong-doing investigations undertaken during the year --specifically what has been alleged as well as the findings and outcomes --including administrative actions taken.</w:t>
      </w:r>
      <w:r w:rsidR="007E247C" w:rsidRPr="002F138E">
        <w:rPr>
          <w:sz w:val="24"/>
          <w:szCs w:val="24"/>
        </w:rPr>
        <w:t xml:space="preserve"> </w:t>
      </w:r>
    </w:p>
    <w:p w14:paraId="30048EA7" w14:textId="4ACD53B1" w:rsidR="00190F23" w:rsidRPr="002F138E" w:rsidRDefault="00190F23" w:rsidP="002F138E">
      <w:pPr>
        <w:pStyle w:val="ListParagraph"/>
        <w:numPr>
          <w:ilvl w:val="0"/>
          <w:numId w:val="27"/>
        </w:numPr>
        <w:ind w:left="714" w:hanging="357"/>
        <w:contextualSpacing w:val="0"/>
        <w:rPr>
          <w:sz w:val="24"/>
          <w:szCs w:val="24"/>
        </w:rPr>
      </w:pPr>
      <w:r w:rsidRPr="002F138E">
        <w:rPr>
          <w:sz w:val="24"/>
          <w:szCs w:val="24"/>
        </w:rPr>
        <w:t>Procedure for addressing allegations of misconduct against senior officials in the organization (including high-level Union elected officials, Chief Internal Auditor, Ethics Officer, or ITU Investigator)</w:t>
      </w:r>
      <w:r w:rsidR="00F30409" w:rsidRPr="002F138E">
        <w:rPr>
          <w:rStyle w:val="FootnoteReference"/>
          <w:sz w:val="20"/>
          <w:szCs w:val="20"/>
        </w:rPr>
        <w:footnoteReference w:id="6"/>
      </w:r>
    </w:p>
    <w:p w14:paraId="0A804029" w14:textId="305E6198" w:rsidR="00190F23" w:rsidRPr="002F138E" w:rsidRDefault="00190F23" w:rsidP="00F6785D">
      <w:pPr>
        <w:pStyle w:val="ListParagraph"/>
        <w:numPr>
          <w:ilvl w:val="1"/>
          <w:numId w:val="27"/>
        </w:numPr>
        <w:rPr>
          <w:sz w:val="24"/>
          <w:szCs w:val="24"/>
        </w:rPr>
      </w:pPr>
      <w:r w:rsidRPr="002F138E">
        <w:rPr>
          <w:sz w:val="24"/>
          <w:szCs w:val="24"/>
        </w:rPr>
        <w:t xml:space="preserve">Option 1: </w:t>
      </w:r>
      <w:r w:rsidR="00F6785D" w:rsidRPr="002F138E">
        <w:rPr>
          <w:sz w:val="24"/>
          <w:szCs w:val="24"/>
        </w:rPr>
        <w:t>Since ITU’s oversight functions, including any ITU investigator, report to the Secretary-General these functions should not handle any sort of investigations involving senior officials as it wou</w:t>
      </w:r>
      <w:r w:rsidR="0027704F" w:rsidRPr="002F138E">
        <w:rPr>
          <w:sz w:val="24"/>
          <w:szCs w:val="24"/>
        </w:rPr>
        <w:t>ld pose a conflict of interest.</w:t>
      </w:r>
      <w:r w:rsidR="00F6785D" w:rsidRPr="002F138E">
        <w:rPr>
          <w:sz w:val="24"/>
          <w:szCs w:val="24"/>
        </w:rPr>
        <w:t xml:space="preserve"> Similarly, these oversight functions should not handle any allegations of wrongdoing made against them for the same reason.  Therefore, this</w:t>
      </w:r>
      <w:r w:rsidR="008F4880" w:rsidRPr="002F138E">
        <w:rPr>
          <w:sz w:val="24"/>
          <w:szCs w:val="24"/>
        </w:rPr>
        <w:t xml:space="preserve"> working</w:t>
      </w:r>
      <w:r w:rsidR="00F6785D" w:rsidRPr="002F138E">
        <w:rPr>
          <w:sz w:val="24"/>
          <w:szCs w:val="24"/>
        </w:rPr>
        <w:t xml:space="preserve"> </w:t>
      </w:r>
      <w:r w:rsidR="008F4880" w:rsidRPr="002F138E">
        <w:rPr>
          <w:sz w:val="24"/>
          <w:szCs w:val="24"/>
        </w:rPr>
        <w:t>group may wish to discuss and consider recommending</w:t>
      </w:r>
      <w:r w:rsidR="00F6785D" w:rsidRPr="002F138E">
        <w:rPr>
          <w:sz w:val="24"/>
          <w:szCs w:val="24"/>
        </w:rPr>
        <w:t xml:space="preserve"> the following </w:t>
      </w:r>
      <w:r w:rsidRPr="002F138E">
        <w:rPr>
          <w:sz w:val="24"/>
          <w:szCs w:val="24"/>
        </w:rPr>
        <w:t>procedure to Council for addressing allegations of wrongdoing against Union senior officials</w:t>
      </w:r>
      <w:r w:rsidR="00F6785D" w:rsidRPr="002F138E">
        <w:rPr>
          <w:sz w:val="24"/>
          <w:szCs w:val="24"/>
        </w:rPr>
        <w:t xml:space="preserve"> and any of the oversight function</w:t>
      </w:r>
      <w:r w:rsidR="008F4880" w:rsidRPr="002F138E">
        <w:rPr>
          <w:sz w:val="24"/>
          <w:szCs w:val="24"/>
        </w:rPr>
        <w:t>s</w:t>
      </w:r>
      <w:r w:rsidR="00F6785D" w:rsidRPr="002F138E">
        <w:rPr>
          <w:sz w:val="24"/>
          <w:szCs w:val="24"/>
        </w:rPr>
        <w:t xml:space="preserve">. This procedure is based on similar </w:t>
      </w:r>
      <w:r w:rsidR="00F30409" w:rsidRPr="002F138E">
        <w:rPr>
          <w:sz w:val="24"/>
          <w:szCs w:val="24"/>
        </w:rPr>
        <w:t>processes at WFP and WIPO (i.e. allegations be submitted to Chair of the Council who would seek guidance and advice from the audit committee)</w:t>
      </w:r>
      <w:r w:rsidR="0034051A" w:rsidRPr="002F138E">
        <w:rPr>
          <w:rStyle w:val="FootnoteReference"/>
          <w:sz w:val="20"/>
          <w:szCs w:val="20"/>
        </w:rPr>
        <w:footnoteReference w:id="7"/>
      </w:r>
      <w:r w:rsidR="00F6785D" w:rsidRPr="002F138E">
        <w:rPr>
          <w:sz w:val="24"/>
          <w:szCs w:val="24"/>
        </w:rPr>
        <w:t>:</w:t>
      </w:r>
    </w:p>
    <w:p w14:paraId="07A19552" w14:textId="5EAD0254" w:rsidR="003323E2" w:rsidRPr="002F138E" w:rsidRDefault="00A51EF3" w:rsidP="00F6785D">
      <w:pPr>
        <w:pStyle w:val="ListParagraph"/>
        <w:numPr>
          <w:ilvl w:val="2"/>
          <w:numId w:val="27"/>
        </w:numPr>
        <w:rPr>
          <w:sz w:val="24"/>
          <w:szCs w:val="24"/>
        </w:rPr>
      </w:pPr>
      <w:r w:rsidRPr="002F138E">
        <w:rPr>
          <w:sz w:val="24"/>
          <w:szCs w:val="24"/>
        </w:rPr>
        <w:t>Allegations of wrongdoing that involve</w:t>
      </w:r>
      <w:r w:rsidR="003323E2" w:rsidRPr="002F138E">
        <w:rPr>
          <w:sz w:val="24"/>
          <w:szCs w:val="24"/>
        </w:rPr>
        <w:t xml:space="preserve"> any</w:t>
      </w:r>
      <w:r w:rsidRPr="002F138E">
        <w:rPr>
          <w:sz w:val="24"/>
          <w:szCs w:val="24"/>
        </w:rPr>
        <w:t xml:space="preserve"> ITU senior elected officials</w:t>
      </w:r>
      <w:r w:rsidR="00277F3C" w:rsidRPr="002F138E">
        <w:rPr>
          <w:sz w:val="24"/>
          <w:szCs w:val="24"/>
        </w:rPr>
        <w:t xml:space="preserve"> or oversight functions</w:t>
      </w:r>
      <w:r w:rsidR="003323E2" w:rsidRPr="002F138E">
        <w:rPr>
          <w:sz w:val="24"/>
          <w:szCs w:val="24"/>
        </w:rPr>
        <w:t xml:space="preserve">, including the Secretary-General, </w:t>
      </w:r>
      <w:r w:rsidRPr="002F138E">
        <w:rPr>
          <w:sz w:val="24"/>
          <w:szCs w:val="24"/>
        </w:rPr>
        <w:t>shall be reported to</w:t>
      </w:r>
      <w:r w:rsidR="003323E2" w:rsidRPr="002F138E">
        <w:rPr>
          <w:sz w:val="24"/>
          <w:szCs w:val="24"/>
        </w:rPr>
        <w:t xml:space="preserve"> the Chair of the ITU Council</w:t>
      </w:r>
      <w:r w:rsidR="00277F3C" w:rsidRPr="002F138E">
        <w:rPr>
          <w:sz w:val="24"/>
          <w:szCs w:val="24"/>
        </w:rPr>
        <w:t xml:space="preserve"> or</w:t>
      </w:r>
      <w:r w:rsidR="00DA42DD" w:rsidRPr="002F138E">
        <w:rPr>
          <w:sz w:val="24"/>
          <w:szCs w:val="24"/>
        </w:rPr>
        <w:t xml:space="preserve"> the</w:t>
      </w:r>
      <w:r w:rsidR="00277F3C" w:rsidRPr="002F138E">
        <w:rPr>
          <w:sz w:val="24"/>
          <w:szCs w:val="24"/>
        </w:rPr>
        <w:t xml:space="preserve"> ITU investigator.  The investigator and/or </w:t>
      </w:r>
      <w:r w:rsidR="003323E2" w:rsidRPr="002F138E">
        <w:rPr>
          <w:sz w:val="24"/>
          <w:szCs w:val="24"/>
        </w:rPr>
        <w:t>Chair of the ITU Council shall inform the Secretary-General if they receive any allegations of wrongdoing that involve a</w:t>
      </w:r>
      <w:r w:rsidR="008F4880" w:rsidRPr="002F138E">
        <w:rPr>
          <w:sz w:val="24"/>
          <w:szCs w:val="24"/>
        </w:rPr>
        <w:t>n</w:t>
      </w:r>
      <w:r w:rsidR="003323E2" w:rsidRPr="002F138E">
        <w:rPr>
          <w:sz w:val="24"/>
          <w:szCs w:val="24"/>
        </w:rPr>
        <w:t xml:space="preserve"> ITU senior elected official, if the allegation does not involve the Secretary General.</w:t>
      </w:r>
    </w:p>
    <w:p w14:paraId="231C338B" w14:textId="40559328" w:rsidR="003323E2" w:rsidRPr="002F138E" w:rsidRDefault="003323E2" w:rsidP="00F6785D">
      <w:pPr>
        <w:pStyle w:val="ListParagraph"/>
        <w:numPr>
          <w:ilvl w:val="2"/>
          <w:numId w:val="27"/>
        </w:numPr>
        <w:rPr>
          <w:sz w:val="24"/>
          <w:szCs w:val="24"/>
        </w:rPr>
      </w:pPr>
      <w:r w:rsidRPr="002F138E">
        <w:rPr>
          <w:sz w:val="24"/>
          <w:szCs w:val="24"/>
        </w:rPr>
        <w:t>Upon receiving the allegation of wrongdoing, the ITU Council Chair</w:t>
      </w:r>
      <w:r w:rsidR="00277F3C" w:rsidRPr="002F138E">
        <w:rPr>
          <w:sz w:val="24"/>
          <w:szCs w:val="24"/>
        </w:rPr>
        <w:t xml:space="preserve"> and/or the ITU Investigator</w:t>
      </w:r>
      <w:r w:rsidRPr="002F138E">
        <w:rPr>
          <w:sz w:val="24"/>
          <w:szCs w:val="24"/>
        </w:rPr>
        <w:t xml:space="preserve"> shall</w:t>
      </w:r>
      <w:r w:rsidR="00277F3C" w:rsidRPr="002F138E">
        <w:rPr>
          <w:sz w:val="24"/>
          <w:szCs w:val="24"/>
        </w:rPr>
        <w:t xml:space="preserve"> immediately</w:t>
      </w:r>
      <w:r w:rsidRPr="002F138E">
        <w:rPr>
          <w:sz w:val="24"/>
          <w:szCs w:val="24"/>
        </w:rPr>
        <w:t xml:space="preserve"> seek guidance from</w:t>
      </w:r>
      <w:r w:rsidR="00DA42DD" w:rsidRPr="002F138E">
        <w:rPr>
          <w:sz w:val="24"/>
          <w:szCs w:val="24"/>
        </w:rPr>
        <w:t xml:space="preserve"> the Independent Management Advisory Committee</w:t>
      </w:r>
      <w:r w:rsidRPr="002F138E">
        <w:rPr>
          <w:sz w:val="24"/>
          <w:szCs w:val="24"/>
        </w:rPr>
        <w:t xml:space="preserve">. Within </w:t>
      </w:r>
      <w:r w:rsidR="00DA42DD" w:rsidRPr="002F138E">
        <w:rPr>
          <w:sz w:val="24"/>
          <w:szCs w:val="24"/>
        </w:rPr>
        <w:t>6</w:t>
      </w:r>
      <w:r w:rsidRPr="002F138E">
        <w:rPr>
          <w:sz w:val="24"/>
          <w:szCs w:val="24"/>
        </w:rPr>
        <w:t>0 days, IMAC shall</w:t>
      </w:r>
      <w:r w:rsidR="00DA42DD" w:rsidRPr="002F138E">
        <w:rPr>
          <w:sz w:val="24"/>
          <w:szCs w:val="24"/>
        </w:rPr>
        <w:t xml:space="preserve"> conduct, or arrange for a preliminary evaluation of the allegations</w:t>
      </w:r>
      <w:r w:rsidR="00277F3C" w:rsidRPr="002F138E">
        <w:rPr>
          <w:sz w:val="24"/>
          <w:szCs w:val="24"/>
        </w:rPr>
        <w:t xml:space="preserve">.  Based on the results of the preliminary evaluation, </w:t>
      </w:r>
      <w:r w:rsidR="00DA42DD" w:rsidRPr="002F138E">
        <w:rPr>
          <w:sz w:val="24"/>
          <w:szCs w:val="24"/>
        </w:rPr>
        <w:t>IMAC will recommend to the investigator and/or ITU Council Chair</w:t>
      </w:r>
      <w:r w:rsidR="00277F3C" w:rsidRPr="002F138E">
        <w:rPr>
          <w:sz w:val="24"/>
          <w:szCs w:val="24"/>
        </w:rPr>
        <w:t xml:space="preserve"> </w:t>
      </w:r>
      <w:r w:rsidRPr="002F138E">
        <w:rPr>
          <w:sz w:val="24"/>
          <w:szCs w:val="24"/>
        </w:rPr>
        <w:t>whe</w:t>
      </w:r>
      <w:r w:rsidR="0027704F" w:rsidRPr="002F138E">
        <w:rPr>
          <w:sz w:val="24"/>
          <w:szCs w:val="24"/>
        </w:rPr>
        <w:t>ther</w:t>
      </w:r>
      <w:r w:rsidR="00DA42DD" w:rsidRPr="002F138E">
        <w:rPr>
          <w:sz w:val="24"/>
          <w:szCs w:val="24"/>
        </w:rPr>
        <w:t xml:space="preserve"> to close the case, or to</w:t>
      </w:r>
      <w:r w:rsidR="0027704F" w:rsidRPr="002F138E">
        <w:rPr>
          <w:sz w:val="24"/>
          <w:szCs w:val="24"/>
        </w:rPr>
        <w:t xml:space="preserve"> </w:t>
      </w:r>
      <w:r w:rsidR="00DA42DD" w:rsidRPr="002F138E">
        <w:rPr>
          <w:sz w:val="24"/>
          <w:szCs w:val="24"/>
        </w:rPr>
        <w:t xml:space="preserve">refer the matter for investigation to an independent external investigative entity.  IMAC shall </w:t>
      </w:r>
      <w:r w:rsidRPr="002F138E">
        <w:rPr>
          <w:sz w:val="24"/>
          <w:szCs w:val="24"/>
        </w:rPr>
        <w:t>provide guidance on the terms of referenc</w:t>
      </w:r>
      <w:r w:rsidR="0027704F" w:rsidRPr="002F138E">
        <w:rPr>
          <w:sz w:val="24"/>
          <w:szCs w:val="24"/>
        </w:rPr>
        <w:t>e for such an investigation, as well as</w:t>
      </w:r>
      <w:r w:rsidRPr="002F138E">
        <w:rPr>
          <w:sz w:val="24"/>
          <w:szCs w:val="24"/>
        </w:rPr>
        <w:t xml:space="preserve"> on the selection of an external independent investigator.</w:t>
      </w:r>
      <w:r w:rsidR="009A3E15" w:rsidRPr="002F138E">
        <w:rPr>
          <w:sz w:val="24"/>
          <w:szCs w:val="24"/>
        </w:rPr>
        <w:t xml:space="preserve"> </w:t>
      </w:r>
      <w:r w:rsidR="00BD426A" w:rsidRPr="002F138E">
        <w:rPr>
          <w:sz w:val="24"/>
          <w:szCs w:val="24"/>
        </w:rPr>
        <w:t>IMAC shall also advise the Council Chair as to whether interim protections for the complainant are needed.  If the allegations do not involve the Ethics Officer, the Chair shall work with the Ethics Officer to ensure those protections are in place.</w:t>
      </w:r>
    </w:p>
    <w:p w14:paraId="651E5ACD" w14:textId="77777777" w:rsidR="009A3E15" w:rsidRPr="002F138E" w:rsidRDefault="003323E2" w:rsidP="00F6785D">
      <w:pPr>
        <w:pStyle w:val="ListParagraph"/>
        <w:numPr>
          <w:ilvl w:val="2"/>
          <w:numId w:val="27"/>
        </w:numPr>
        <w:rPr>
          <w:sz w:val="24"/>
          <w:szCs w:val="24"/>
        </w:rPr>
      </w:pPr>
      <w:r w:rsidRPr="002F138E">
        <w:rPr>
          <w:sz w:val="24"/>
          <w:szCs w:val="24"/>
        </w:rPr>
        <w:lastRenderedPageBreak/>
        <w:t>Following the guidance and advice from IMAC, the Council Chair shall refer the allegation</w:t>
      </w:r>
      <w:r w:rsidR="00BD426A" w:rsidRPr="002F138E">
        <w:rPr>
          <w:sz w:val="24"/>
          <w:szCs w:val="24"/>
        </w:rPr>
        <w:t>s</w:t>
      </w:r>
      <w:r w:rsidRPr="002F138E">
        <w:rPr>
          <w:sz w:val="24"/>
          <w:szCs w:val="24"/>
        </w:rPr>
        <w:t xml:space="preserve"> of wron</w:t>
      </w:r>
      <w:r w:rsidR="00BD426A" w:rsidRPr="002F138E">
        <w:rPr>
          <w:sz w:val="24"/>
          <w:szCs w:val="24"/>
        </w:rPr>
        <w:t xml:space="preserve">gdoing to an external investigator, if necessary, within 30 days of receiving said guidance from IMAC. The Secretary-General will be notified of such a referral by the Chair, while maintaining the confidentiality of the case, and all parties involved. The external investigator will </w:t>
      </w:r>
      <w:proofErr w:type="spellStart"/>
      <w:r w:rsidR="00BD426A" w:rsidRPr="002F138E">
        <w:rPr>
          <w:sz w:val="24"/>
          <w:szCs w:val="24"/>
        </w:rPr>
        <w:t>endeavor</w:t>
      </w:r>
      <w:proofErr w:type="spellEnd"/>
      <w:r w:rsidR="00BD426A" w:rsidRPr="002F138E">
        <w:rPr>
          <w:sz w:val="24"/>
          <w:szCs w:val="24"/>
        </w:rPr>
        <w:t xml:space="preserve"> to complete the investigation in 120 days.</w:t>
      </w:r>
    </w:p>
    <w:p w14:paraId="3991331F" w14:textId="746ED215" w:rsidR="009A3E15" w:rsidRPr="002F138E" w:rsidRDefault="009A3E15" w:rsidP="00F6785D">
      <w:pPr>
        <w:pStyle w:val="ListParagraph"/>
        <w:numPr>
          <w:ilvl w:val="2"/>
          <w:numId w:val="27"/>
        </w:numPr>
        <w:rPr>
          <w:sz w:val="24"/>
          <w:szCs w:val="24"/>
        </w:rPr>
      </w:pPr>
      <w:r w:rsidRPr="002F138E">
        <w:rPr>
          <w:sz w:val="24"/>
          <w:szCs w:val="24"/>
        </w:rPr>
        <w:t>Once the investigation is complete, the final investigation report shall only be submitted</w:t>
      </w:r>
      <w:r w:rsidR="0027704F" w:rsidRPr="002F138E">
        <w:rPr>
          <w:sz w:val="24"/>
          <w:szCs w:val="24"/>
        </w:rPr>
        <w:t xml:space="preserve"> to the Council Chair and IMAC.</w:t>
      </w:r>
      <w:r w:rsidRPr="002F138E">
        <w:rPr>
          <w:sz w:val="24"/>
          <w:szCs w:val="24"/>
        </w:rPr>
        <w:t xml:space="preserve"> If the investigation does not involve the Secretary General, but instead other ITU senior elected officials, or any of the oversight functions, then the report shall also be submitted to the Secretary-General. </w:t>
      </w:r>
    </w:p>
    <w:p w14:paraId="43DFBF02" w14:textId="7D406392" w:rsidR="00F6785D" w:rsidRPr="002F138E" w:rsidRDefault="009A3E15" w:rsidP="00F6785D">
      <w:pPr>
        <w:pStyle w:val="ListParagraph"/>
        <w:numPr>
          <w:ilvl w:val="2"/>
          <w:numId w:val="27"/>
        </w:numPr>
        <w:rPr>
          <w:sz w:val="24"/>
          <w:szCs w:val="24"/>
        </w:rPr>
      </w:pPr>
      <w:r w:rsidRPr="002F138E">
        <w:rPr>
          <w:sz w:val="24"/>
          <w:szCs w:val="24"/>
        </w:rPr>
        <w:t>If the investigation finds that misconduct occurred, then the Chair of Council shall make accessible</w:t>
      </w:r>
      <w:r w:rsidR="00A966AC" w:rsidRPr="002F138E">
        <w:rPr>
          <w:sz w:val="24"/>
          <w:szCs w:val="24"/>
        </w:rPr>
        <w:t xml:space="preserve"> a redacted version</w:t>
      </w:r>
      <w:r w:rsidRPr="002F138E">
        <w:rPr>
          <w:sz w:val="24"/>
          <w:szCs w:val="24"/>
        </w:rPr>
        <w:t xml:space="preserve"> of the investigation report to ITU Council members upon request. The Chair</w:t>
      </w:r>
      <w:r w:rsidR="0034051A" w:rsidRPr="002F138E">
        <w:rPr>
          <w:sz w:val="24"/>
          <w:szCs w:val="24"/>
        </w:rPr>
        <w:t xml:space="preserve"> and IMAC</w:t>
      </w:r>
      <w:r w:rsidRPr="002F138E">
        <w:rPr>
          <w:sz w:val="24"/>
          <w:szCs w:val="24"/>
        </w:rPr>
        <w:t xml:space="preserve"> shall maintain the confidentiality of the complainant and any witnesses involved in the investigation.</w:t>
      </w:r>
      <w:r w:rsidR="00A966AC" w:rsidRPr="002F138E">
        <w:rPr>
          <w:sz w:val="24"/>
          <w:szCs w:val="24"/>
        </w:rPr>
        <w:t xml:space="preserve">  T</w:t>
      </w:r>
      <w:r w:rsidRPr="002F138E">
        <w:rPr>
          <w:sz w:val="24"/>
          <w:szCs w:val="24"/>
        </w:rPr>
        <w:t>he Chair</w:t>
      </w:r>
      <w:r w:rsidR="00A966AC" w:rsidRPr="002F138E">
        <w:rPr>
          <w:sz w:val="24"/>
          <w:szCs w:val="24"/>
        </w:rPr>
        <w:t xml:space="preserve"> shall call for a special Council session, so the ITU Council can</w:t>
      </w:r>
      <w:r w:rsidRPr="002F138E">
        <w:rPr>
          <w:sz w:val="24"/>
          <w:szCs w:val="24"/>
        </w:rPr>
        <w:t xml:space="preserve"> decide what action should be taken</w:t>
      </w:r>
      <w:r w:rsidR="00A966AC" w:rsidRPr="002F138E">
        <w:rPr>
          <w:sz w:val="24"/>
          <w:szCs w:val="24"/>
        </w:rPr>
        <w:t xml:space="preserve"> on the findings</w:t>
      </w:r>
      <w:r w:rsidRPr="002F138E">
        <w:rPr>
          <w:sz w:val="24"/>
          <w:szCs w:val="24"/>
        </w:rPr>
        <w:t xml:space="preserve">, if any.   </w:t>
      </w:r>
      <w:r w:rsidR="003323E2" w:rsidRPr="002F138E">
        <w:rPr>
          <w:sz w:val="24"/>
          <w:szCs w:val="24"/>
        </w:rPr>
        <w:t xml:space="preserve">  </w:t>
      </w:r>
    </w:p>
    <w:p w14:paraId="6D91FF77" w14:textId="3E47F8AB" w:rsidR="002805DB" w:rsidRPr="002F138E" w:rsidRDefault="00F30409" w:rsidP="002805DB">
      <w:pPr>
        <w:pStyle w:val="ListParagraph"/>
        <w:numPr>
          <w:ilvl w:val="1"/>
          <w:numId w:val="27"/>
        </w:numPr>
        <w:rPr>
          <w:sz w:val="24"/>
          <w:szCs w:val="24"/>
        </w:rPr>
      </w:pPr>
      <w:r w:rsidRPr="002F138E">
        <w:rPr>
          <w:sz w:val="24"/>
          <w:szCs w:val="24"/>
        </w:rPr>
        <w:t xml:space="preserve">Option 2: </w:t>
      </w:r>
      <w:r w:rsidR="0034051A" w:rsidRPr="002F138E">
        <w:rPr>
          <w:sz w:val="24"/>
          <w:szCs w:val="24"/>
        </w:rPr>
        <w:t>In general, r</w:t>
      </w:r>
      <w:r w:rsidRPr="002F138E">
        <w:rPr>
          <w:sz w:val="24"/>
          <w:szCs w:val="24"/>
        </w:rPr>
        <w:t>e</w:t>
      </w:r>
      <w:r w:rsidR="0027704F" w:rsidRPr="002F138E">
        <w:rPr>
          <w:sz w:val="24"/>
          <w:szCs w:val="24"/>
        </w:rPr>
        <w:t>commend that ITU Council consider and develop</w:t>
      </w:r>
      <w:r w:rsidRPr="002F138E">
        <w:rPr>
          <w:sz w:val="24"/>
          <w:szCs w:val="24"/>
        </w:rPr>
        <w:t xml:space="preserve"> a specific procedure to handle these types of allegations at the next Council meeting.</w:t>
      </w:r>
    </w:p>
    <w:p w14:paraId="448AFD4B" w14:textId="5623D867" w:rsidR="002805DB" w:rsidRPr="002F138E" w:rsidRDefault="002805DB" w:rsidP="002805DB">
      <w:pPr>
        <w:rPr>
          <w:sz w:val="24"/>
          <w:szCs w:val="24"/>
        </w:rPr>
      </w:pPr>
      <w:r w:rsidRPr="002F138E">
        <w:rPr>
          <w:sz w:val="24"/>
          <w:szCs w:val="24"/>
        </w:rPr>
        <w:t xml:space="preserve">Annex 1: Table of Investigation functions and processes at other UN Organizations </w:t>
      </w:r>
      <w:r w:rsidR="00D27345" w:rsidRPr="002F138E">
        <w:rPr>
          <w:sz w:val="24"/>
          <w:szCs w:val="24"/>
        </w:rPr>
        <w:t>(not a comprehensive list)</w:t>
      </w:r>
    </w:p>
    <w:tbl>
      <w:tblPr>
        <w:tblStyle w:val="TableGrid"/>
        <w:tblW w:w="0" w:type="auto"/>
        <w:tblLook w:val="04A0" w:firstRow="1" w:lastRow="0" w:firstColumn="1" w:lastColumn="0" w:noHBand="0" w:noVBand="1"/>
      </w:tblPr>
      <w:tblGrid>
        <w:gridCol w:w="1780"/>
        <w:gridCol w:w="1742"/>
        <w:gridCol w:w="2683"/>
        <w:gridCol w:w="1712"/>
        <w:gridCol w:w="1712"/>
      </w:tblGrid>
      <w:tr w:rsidR="000F41A7" w:rsidRPr="002F138E" w14:paraId="238CF5EF" w14:textId="77777777" w:rsidTr="006D325A">
        <w:tc>
          <w:tcPr>
            <w:tcW w:w="1870" w:type="dxa"/>
          </w:tcPr>
          <w:p w14:paraId="0C057029" w14:textId="453E297F" w:rsidR="002805DB" w:rsidRPr="002F138E" w:rsidRDefault="002805DB" w:rsidP="006D325A">
            <w:pPr>
              <w:rPr>
                <w:rFonts w:cstheme="minorHAnsi"/>
              </w:rPr>
            </w:pPr>
          </w:p>
        </w:tc>
        <w:tc>
          <w:tcPr>
            <w:tcW w:w="1870" w:type="dxa"/>
          </w:tcPr>
          <w:p w14:paraId="47AC8DFD" w14:textId="24F2B885" w:rsidR="002805DB" w:rsidRPr="002F138E" w:rsidRDefault="0027704F" w:rsidP="006D325A">
            <w:pPr>
              <w:rPr>
                <w:rFonts w:cstheme="minorHAnsi"/>
                <w:b/>
                <w:bCs/>
              </w:rPr>
            </w:pPr>
            <w:r w:rsidRPr="002F138E">
              <w:rPr>
                <w:rFonts w:cstheme="minorHAnsi"/>
                <w:b/>
                <w:bCs/>
              </w:rPr>
              <w:t>Investigators Can</w:t>
            </w:r>
            <w:r w:rsidR="002805DB" w:rsidRPr="002F138E">
              <w:rPr>
                <w:rFonts w:cstheme="minorHAnsi"/>
                <w:b/>
                <w:bCs/>
              </w:rPr>
              <w:t xml:space="preserve"> Authorize Investigations</w:t>
            </w:r>
          </w:p>
        </w:tc>
        <w:tc>
          <w:tcPr>
            <w:tcW w:w="1870" w:type="dxa"/>
          </w:tcPr>
          <w:p w14:paraId="41D00C7C" w14:textId="463DEB73" w:rsidR="002805DB" w:rsidRPr="002F138E" w:rsidRDefault="002805DB" w:rsidP="002805DB">
            <w:pPr>
              <w:rPr>
                <w:rFonts w:cstheme="minorHAnsi"/>
                <w:b/>
                <w:bCs/>
              </w:rPr>
            </w:pPr>
            <w:r w:rsidRPr="002F138E">
              <w:rPr>
                <w:rFonts w:cstheme="minorHAnsi"/>
                <w:b/>
                <w:bCs/>
              </w:rPr>
              <w:t xml:space="preserve">Full-time </w:t>
            </w:r>
            <w:r w:rsidR="000F41A7" w:rsidRPr="002F138E">
              <w:rPr>
                <w:rFonts w:cstheme="minorHAnsi"/>
                <w:b/>
                <w:bCs/>
              </w:rPr>
              <w:t xml:space="preserve">independent </w:t>
            </w:r>
            <w:r w:rsidRPr="002F138E">
              <w:rPr>
                <w:rFonts w:cstheme="minorHAnsi"/>
                <w:b/>
                <w:bCs/>
              </w:rPr>
              <w:t>Investigators/Investigation Function</w:t>
            </w:r>
          </w:p>
        </w:tc>
        <w:tc>
          <w:tcPr>
            <w:tcW w:w="1870" w:type="dxa"/>
          </w:tcPr>
          <w:p w14:paraId="657BC843" w14:textId="77777777" w:rsidR="002805DB" w:rsidRPr="002F138E" w:rsidRDefault="002805DB" w:rsidP="006D325A">
            <w:pPr>
              <w:rPr>
                <w:rFonts w:cstheme="minorHAnsi"/>
                <w:b/>
                <w:bCs/>
              </w:rPr>
            </w:pPr>
            <w:r w:rsidRPr="002F138E">
              <w:rPr>
                <w:rFonts w:cstheme="minorHAnsi"/>
                <w:b/>
                <w:bCs/>
              </w:rPr>
              <w:t>Investigation Function Responsible for Intake and Preliminary Review</w:t>
            </w:r>
          </w:p>
        </w:tc>
        <w:tc>
          <w:tcPr>
            <w:tcW w:w="1870" w:type="dxa"/>
          </w:tcPr>
          <w:p w14:paraId="58BE9CA9" w14:textId="1318F877" w:rsidR="002805DB" w:rsidRPr="002F138E" w:rsidRDefault="002805DB" w:rsidP="006D325A">
            <w:pPr>
              <w:rPr>
                <w:rFonts w:cstheme="minorHAnsi"/>
                <w:b/>
                <w:bCs/>
              </w:rPr>
            </w:pPr>
            <w:r w:rsidRPr="002F138E">
              <w:rPr>
                <w:rFonts w:cstheme="minorHAnsi"/>
                <w:b/>
                <w:bCs/>
              </w:rPr>
              <w:t>Investigation Function Provides Report to Governing Body</w:t>
            </w:r>
          </w:p>
        </w:tc>
      </w:tr>
      <w:tr w:rsidR="000F41A7" w:rsidRPr="002F138E" w14:paraId="5392E427" w14:textId="77777777" w:rsidTr="006D325A">
        <w:tc>
          <w:tcPr>
            <w:tcW w:w="1870" w:type="dxa"/>
          </w:tcPr>
          <w:p w14:paraId="71C392EF" w14:textId="77777777" w:rsidR="002805DB" w:rsidRPr="002F138E" w:rsidRDefault="002805DB" w:rsidP="006D325A">
            <w:pPr>
              <w:rPr>
                <w:rFonts w:cstheme="minorHAnsi"/>
                <w:b/>
                <w:bCs/>
              </w:rPr>
            </w:pPr>
            <w:r w:rsidRPr="002F138E">
              <w:rPr>
                <w:rFonts w:cstheme="minorHAnsi"/>
                <w:b/>
                <w:bCs/>
              </w:rPr>
              <w:t>United Nations (UN)</w:t>
            </w:r>
          </w:p>
        </w:tc>
        <w:tc>
          <w:tcPr>
            <w:tcW w:w="1870" w:type="dxa"/>
          </w:tcPr>
          <w:p w14:paraId="76E8D51B" w14:textId="1C7E4750" w:rsidR="002805DB" w:rsidRPr="002F138E" w:rsidRDefault="002C0603" w:rsidP="006D325A">
            <w:pPr>
              <w:rPr>
                <w:rFonts w:cstheme="minorHAnsi"/>
              </w:rPr>
            </w:pPr>
            <w:r w:rsidRPr="002F138E">
              <w:rPr>
                <w:rFonts w:cstheme="minorHAnsi"/>
              </w:rPr>
              <w:t>Yes</w:t>
            </w:r>
          </w:p>
        </w:tc>
        <w:tc>
          <w:tcPr>
            <w:tcW w:w="1870" w:type="dxa"/>
          </w:tcPr>
          <w:p w14:paraId="5D44576E" w14:textId="59377696" w:rsidR="002805DB" w:rsidRPr="002F138E" w:rsidRDefault="002C0603" w:rsidP="006D325A">
            <w:pPr>
              <w:rPr>
                <w:rFonts w:cstheme="minorHAnsi"/>
              </w:rPr>
            </w:pPr>
            <w:r w:rsidRPr="002F138E">
              <w:rPr>
                <w:rFonts w:cstheme="minorHAnsi"/>
              </w:rPr>
              <w:t>Yes</w:t>
            </w:r>
          </w:p>
        </w:tc>
        <w:tc>
          <w:tcPr>
            <w:tcW w:w="1870" w:type="dxa"/>
          </w:tcPr>
          <w:p w14:paraId="21DB0316" w14:textId="460BFFDE" w:rsidR="002805DB" w:rsidRPr="002F138E" w:rsidRDefault="002C0603" w:rsidP="006D325A">
            <w:pPr>
              <w:rPr>
                <w:rFonts w:cstheme="minorHAnsi"/>
              </w:rPr>
            </w:pPr>
            <w:r w:rsidRPr="002F138E">
              <w:rPr>
                <w:rFonts w:cstheme="minorHAnsi"/>
              </w:rPr>
              <w:t>Yes</w:t>
            </w:r>
            <w:r w:rsidR="003C0DCB" w:rsidRPr="002F138E">
              <w:rPr>
                <w:rFonts w:cstheme="minorHAnsi"/>
              </w:rPr>
              <w:t>, and other trained responsible officials</w:t>
            </w:r>
          </w:p>
        </w:tc>
        <w:tc>
          <w:tcPr>
            <w:tcW w:w="1870" w:type="dxa"/>
          </w:tcPr>
          <w:p w14:paraId="6A121A96" w14:textId="3197D7CA" w:rsidR="002805DB" w:rsidRPr="002F138E" w:rsidRDefault="002C0603" w:rsidP="006D325A">
            <w:pPr>
              <w:rPr>
                <w:rFonts w:cstheme="minorHAnsi"/>
              </w:rPr>
            </w:pPr>
            <w:r w:rsidRPr="002F138E">
              <w:rPr>
                <w:rFonts w:cstheme="minorHAnsi"/>
              </w:rPr>
              <w:t>Yes</w:t>
            </w:r>
          </w:p>
        </w:tc>
      </w:tr>
      <w:tr w:rsidR="000F41A7" w:rsidRPr="002F138E" w14:paraId="36B93405" w14:textId="77777777" w:rsidTr="006D325A">
        <w:tc>
          <w:tcPr>
            <w:tcW w:w="1870" w:type="dxa"/>
          </w:tcPr>
          <w:p w14:paraId="45478914" w14:textId="77777777" w:rsidR="002805DB" w:rsidRPr="002F138E" w:rsidRDefault="002805DB" w:rsidP="006D325A">
            <w:pPr>
              <w:rPr>
                <w:rFonts w:cstheme="minorHAnsi"/>
                <w:b/>
                <w:bCs/>
              </w:rPr>
            </w:pPr>
            <w:r w:rsidRPr="002F138E">
              <w:rPr>
                <w:rFonts w:cstheme="minorHAnsi"/>
                <w:b/>
                <w:bCs/>
              </w:rPr>
              <w:t>Food and Agricultural Organization of the United Nations (FAO)</w:t>
            </w:r>
          </w:p>
        </w:tc>
        <w:tc>
          <w:tcPr>
            <w:tcW w:w="1870" w:type="dxa"/>
          </w:tcPr>
          <w:p w14:paraId="6462A718" w14:textId="2BB840D2" w:rsidR="002805DB" w:rsidRPr="002F138E" w:rsidRDefault="0027704F" w:rsidP="006D325A">
            <w:pPr>
              <w:rPr>
                <w:rFonts w:cstheme="minorHAnsi"/>
              </w:rPr>
            </w:pPr>
            <w:r w:rsidRPr="002F138E">
              <w:rPr>
                <w:rFonts w:cstheme="minorHAnsi"/>
              </w:rPr>
              <w:t>Yes</w:t>
            </w:r>
          </w:p>
        </w:tc>
        <w:tc>
          <w:tcPr>
            <w:tcW w:w="1870" w:type="dxa"/>
          </w:tcPr>
          <w:p w14:paraId="37B133F6" w14:textId="3D2651B9" w:rsidR="002805DB" w:rsidRPr="002F138E" w:rsidRDefault="0027704F" w:rsidP="006D325A">
            <w:pPr>
              <w:rPr>
                <w:rFonts w:cstheme="minorHAnsi"/>
              </w:rPr>
            </w:pPr>
            <w:r w:rsidRPr="002F138E">
              <w:rPr>
                <w:rFonts w:cstheme="minorHAnsi"/>
              </w:rPr>
              <w:t>Yes</w:t>
            </w:r>
          </w:p>
        </w:tc>
        <w:tc>
          <w:tcPr>
            <w:tcW w:w="1870" w:type="dxa"/>
          </w:tcPr>
          <w:p w14:paraId="242341F4" w14:textId="5CAD4850" w:rsidR="002805DB" w:rsidRPr="002F138E" w:rsidRDefault="0027704F" w:rsidP="006D325A">
            <w:pPr>
              <w:rPr>
                <w:rFonts w:cstheme="minorHAnsi"/>
              </w:rPr>
            </w:pPr>
            <w:r w:rsidRPr="002F138E">
              <w:rPr>
                <w:rFonts w:cstheme="minorHAnsi"/>
              </w:rPr>
              <w:t>Yes</w:t>
            </w:r>
          </w:p>
        </w:tc>
        <w:tc>
          <w:tcPr>
            <w:tcW w:w="1870" w:type="dxa"/>
          </w:tcPr>
          <w:p w14:paraId="77A60275" w14:textId="167B52D2" w:rsidR="002805DB" w:rsidRPr="002F138E" w:rsidRDefault="0027704F" w:rsidP="006D325A">
            <w:pPr>
              <w:rPr>
                <w:rFonts w:cstheme="minorHAnsi"/>
              </w:rPr>
            </w:pPr>
            <w:r w:rsidRPr="002F138E">
              <w:rPr>
                <w:rFonts w:cstheme="minorHAnsi"/>
              </w:rPr>
              <w:t>Yes</w:t>
            </w:r>
          </w:p>
        </w:tc>
      </w:tr>
      <w:tr w:rsidR="000F41A7" w:rsidRPr="002F138E" w14:paraId="6F88E1ED" w14:textId="77777777" w:rsidTr="006D325A">
        <w:tc>
          <w:tcPr>
            <w:tcW w:w="1870" w:type="dxa"/>
          </w:tcPr>
          <w:p w14:paraId="7A0D84D8" w14:textId="77777777" w:rsidR="002805DB" w:rsidRPr="002F138E" w:rsidRDefault="002805DB" w:rsidP="006D325A">
            <w:pPr>
              <w:rPr>
                <w:rFonts w:cstheme="minorHAnsi"/>
                <w:b/>
                <w:bCs/>
              </w:rPr>
            </w:pPr>
            <w:r w:rsidRPr="002F138E">
              <w:rPr>
                <w:rFonts w:cstheme="minorHAnsi"/>
                <w:b/>
                <w:bCs/>
              </w:rPr>
              <w:t>World Intellectual Property Organization (WIPO)</w:t>
            </w:r>
          </w:p>
        </w:tc>
        <w:tc>
          <w:tcPr>
            <w:tcW w:w="1870" w:type="dxa"/>
          </w:tcPr>
          <w:p w14:paraId="73AE5B49" w14:textId="1E6B5F12" w:rsidR="002805DB" w:rsidRPr="002F138E" w:rsidRDefault="0027704F" w:rsidP="006D325A">
            <w:pPr>
              <w:rPr>
                <w:rFonts w:cstheme="minorHAnsi"/>
              </w:rPr>
            </w:pPr>
            <w:r w:rsidRPr="002F138E">
              <w:rPr>
                <w:rFonts w:cstheme="minorHAnsi"/>
              </w:rPr>
              <w:t>Yes</w:t>
            </w:r>
          </w:p>
        </w:tc>
        <w:tc>
          <w:tcPr>
            <w:tcW w:w="1870" w:type="dxa"/>
          </w:tcPr>
          <w:p w14:paraId="02F0F370" w14:textId="62707C8F" w:rsidR="002805DB" w:rsidRPr="002F138E" w:rsidRDefault="0027704F" w:rsidP="006D325A">
            <w:pPr>
              <w:rPr>
                <w:rFonts w:cstheme="minorHAnsi"/>
              </w:rPr>
            </w:pPr>
            <w:r w:rsidRPr="002F138E">
              <w:rPr>
                <w:rFonts w:cstheme="minorHAnsi"/>
              </w:rPr>
              <w:t>Yes</w:t>
            </w:r>
          </w:p>
        </w:tc>
        <w:tc>
          <w:tcPr>
            <w:tcW w:w="1870" w:type="dxa"/>
          </w:tcPr>
          <w:p w14:paraId="70B7C329" w14:textId="2DA623C0" w:rsidR="002805DB" w:rsidRPr="002F138E" w:rsidRDefault="0027704F" w:rsidP="006D325A">
            <w:pPr>
              <w:rPr>
                <w:rFonts w:cstheme="minorHAnsi"/>
              </w:rPr>
            </w:pPr>
            <w:r w:rsidRPr="002F138E">
              <w:rPr>
                <w:rFonts w:cstheme="minorHAnsi"/>
              </w:rPr>
              <w:t>Yes</w:t>
            </w:r>
          </w:p>
        </w:tc>
        <w:tc>
          <w:tcPr>
            <w:tcW w:w="1870" w:type="dxa"/>
          </w:tcPr>
          <w:p w14:paraId="54C6F3EE" w14:textId="1FD3B6E7" w:rsidR="002805DB" w:rsidRPr="002F138E" w:rsidRDefault="0027704F" w:rsidP="006D325A">
            <w:pPr>
              <w:rPr>
                <w:rFonts w:cstheme="minorHAnsi"/>
              </w:rPr>
            </w:pPr>
            <w:r w:rsidRPr="002F138E">
              <w:rPr>
                <w:rFonts w:cstheme="minorHAnsi"/>
              </w:rPr>
              <w:t>Yes</w:t>
            </w:r>
          </w:p>
        </w:tc>
      </w:tr>
      <w:tr w:rsidR="000F41A7" w:rsidRPr="002F138E" w14:paraId="662B315A" w14:textId="77777777" w:rsidTr="006D325A">
        <w:tc>
          <w:tcPr>
            <w:tcW w:w="1870" w:type="dxa"/>
          </w:tcPr>
          <w:p w14:paraId="71503396" w14:textId="77777777" w:rsidR="002805DB" w:rsidRPr="002F138E" w:rsidRDefault="002805DB" w:rsidP="006D325A">
            <w:pPr>
              <w:rPr>
                <w:rFonts w:cstheme="minorHAnsi"/>
                <w:b/>
                <w:bCs/>
              </w:rPr>
            </w:pPr>
            <w:r w:rsidRPr="002F138E">
              <w:rPr>
                <w:rFonts w:cstheme="minorHAnsi"/>
                <w:b/>
                <w:bCs/>
              </w:rPr>
              <w:lastRenderedPageBreak/>
              <w:t>World Health Organization (WHO)</w:t>
            </w:r>
          </w:p>
        </w:tc>
        <w:tc>
          <w:tcPr>
            <w:tcW w:w="1870" w:type="dxa"/>
          </w:tcPr>
          <w:p w14:paraId="2CD7F050" w14:textId="3B7E4C68" w:rsidR="002805DB" w:rsidRPr="002F138E" w:rsidRDefault="0027704F" w:rsidP="006D325A">
            <w:pPr>
              <w:rPr>
                <w:rFonts w:cstheme="minorHAnsi"/>
              </w:rPr>
            </w:pPr>
            <w:r w:rsidRPr="002F138E">
              <w:rPr>
                <w:rFonts w:cstheme="minorHAnsi"/>
              </w:rPr>
              <w:t>Yes</w:t>
            </w:r>
          </w:p>
        </w:tc>
        <w:tc>
          <w:tcPr>
            <w:tcW w:w="1870" w:type="dxa"/>
          </w:tcPr>
          <w:p w14:paraId="732AF969" w14:textId="18BF6B11" w:rsidR="002805DB" w:rsidRPr="002F138E" w:rsidRDefault="0027704F" w:rsidP="006D325A">
            <w:pPr>
              <w:rPr>
                <w:rFonts w:cstheme="minorHAnsi"/>
              </w:rPr>
            </w:pPr>
            <w:r w:rsidRPr="002F138E">
              <w:rPr>
                <w:rFonts w:cstheme="minorHAnsi"/>
              </w:rPr>
              <w:t>Yes</w:t>
            </w:r>
          </w:p>
        </w:tc>
        <w:tc>
          <w:tcPr>
            <w:tcW w:w="1870" w:type="dxa"/>
          </w:tcPr>
          <w:p w14:paraId="52AF34DE" w14:textId="44F794A6" w:rsidR="002805DB" w:rsidRPr="002F138E" w:rsidRDefault="0027704F" w:rsidP="006D325A">
            <w:pPr>
              <w:rPr>
                <w:rFonts w:cstheme="minorHAnsi"/>
              </w:rPr>
            </w:pPr>
            <w:r w:rsidRPr="002F138E">
              <w:rPr>
                <w:rFonts w:cstheme="minorHAnsi"/>
              </w:rPr>
              <w:t>Yes</w:t>
            </w:r>
          </w:p>
        </w:tc>
        <w:tc>
          <w:tcPr>
            <w:tcW w:w="1870" w:type="dxa"/>
          </w:tcPr>
          <w:p w14:paraId="268C0F14" w14:textId="5E5298DA" w:rsidR="002805DB" w:rsidRPr="002F138E" w:rsidRDefault="0027704F" w:rsidP="006D325A">
            <w:pPr>
              <w:rPr>
                <w:rFonts w:cstheme="minorHAnsi"/>
              </w:rPr>
            </w:pPr>
            <w:r w:rsidRPr="002F138E">
              <w:rPr>
                <w:rFonts w:cstheme="minorHAnsi"/>
              </w:rPr>
              <w:t>Yes</w:t>
            </w:r>
          </w:p>
        </w:tc>
      </w:tr>
      <w:tr w:rsidR="000F41A7" w:rsidRPr="002F138E" w14:paraId="3DFA6FBE" w14:textId="77777777" w:rsidTr="006D325A">
        <w:tc>
          <w:tcPr>
            <w:tcW w:w="1870" w:type="dxa"/>
          </w:tcPr>
          <w:p w14:paraId="221147A7" w14:textId="77777777" w:rsidR="002805DB" w:rsidRPr="002F138E" w:rsidRDefault="002805DB" w:rsidP="006D325A">
            <w:pPr>
              <w:rPr>
                <w:rFonts w:cstheme="minorHAnsi"/>
                <w:b/>
                <w:bCs/>
              </w:rPr>
            </w:pPr>
            <w:r w:rsidRPr="002F138E">
              <w:rPr>
                <w:rFonts w:cstheme="minorHAnsi"/>
                <w:b/>
                <w:bCs/>
              </w:rPr>
              <w:t>World Food Program (WFP)</w:t>
            </w:r>
          </w:p>
        </w:tc>
        <w:tc>
          <w:tcPr>
            <w:tcW w:w="1870" w:type="dxa"/>
          </w:tcPr>
          <w:p w14:paraId="0BF6921C" w14:textId="5501C1D2" w:rsidR="002805DB" w:rsidRPr="002F138E" w:rsidRDefault="0027704F" w:rsidP="006D325A">
            <w:pPr>
              <w:rPr>
                <w:rFonts w:cstheme="minorHAnsi"/>
              </w:rPr>
            </w:pPr>
            <w:r w:rsidRPr="002F138E">
              <w:rPr>
                <w:rFonts w:cstheme="minorHAnsi"/>
              </w:rPr>
              <w:t>Yes</w:t>
            </w:r>
          </w:p>
        </w:tc>
        <w:tc>
          <w:tcPr>
            <w:tcW w:w="1870" w:type="dxa"/>
          </w:tcPr>
          <w:p w14:paraId="0D4FF7BE" w14:textId="471A44F1" w:rsidR="002805DB" w:rsidRPr="002F138E" w:rsidRDefault="0027704F" w:rsidP="006D325A">
            <w:pPr>
              <w:rPr>
                <w:rFonts w:cstheme="minorHAnsi"/>
              </w:rPr>
            </w:pPr>
            <w:r w:rsidRPr="002F138E">
              <w:rPr>
                <w:rFonts w:cstheme="minorHAnsi"/>
              </w:rPr>
              <w:t>Yes</w:t>
            </w:r>
          </w:p>
        </w:tc>
        <w:tc>
          <w:tcPr>
            <w:tcW w:w="1870" w:type="dxa"/>
          </w:tcPr>
          <w:p w14:paraId="4FDFF702" w14:textId="254F2F5C" w:rsidR="002805DB" w:rsidRPr="002F138E" w:rsidRDefault="0027704F" w:rsidP="006D325A">
            <w:pPr>
              <w:rPr>
                <w:rFonts w:cstheme="minorHAnsi"/>
              </w:rPr>
            </w:pPr>
            <w:r w:rsidRPr="002F138E">
              <w:rPr>
                <w:rFonts w:cstheme="minorHAnsi"/>
              </w:rPr>
              <w:t>Yes</w:t>
            </w:r>
          </w:p>
        </w:tc>
        <w:tc>
          <w:tcPr>
            <w:tcW w:w="1870" w:type="dxa"/>
          </w:tcPr>
          <w:p w14:paraId="5E13F066" w14:textId="4B315257" w:rsidR="002805DB" w:rsidRPr="002F138E" w:rsidRDefault="0027704F" w:rsidP="006D325A">
            <w:pPr>
              <w:rPr>
                <w:rFonts w:cstheme="minorHAnsi"/>
              </w:rPr>
            </w:pPr>
            <w:r w:rsidRPr="002F138E">
              <w:rPr>
                <w:rFonts w:cstheme="minorHAnsi"/>
              </w:rPr>
              <w:t>Yes</w:t>
            </w:r>
          </w:p>
        </w:tc>
      </w:tr>
      <w:tr w:rsidR="000F41A7" w:rsidRPr="002F138E" w14:paraId="321395F7" w14:textId="77777777" w:rsidTr="006D325A">
        <w:tc>
          <w:tcPr>
            <w:tcW w:w="1870" w:type="dxa"/>
          </w:tcPr>
          <w:p w14:paraId="4B9D9B13" w14:textId="77777777" w:rsidR="002805DB" w:rsidRPr="002F138E" w:rsidRDefault="002805DB" w:rsidP="006D325A">
            <w:pPr>
              <w:rPr>
                <w:rFonts w:cstheme="minorHAnsi"/>
                <w:b/>
                <w:bCs/>
              </w:rPr>
            </w:pPr>
            <w:r w:rsidRPr="002F138E">
              <w:rPr>
                <w:rFonts w:cstheme="minorHAnsi"/>
                <w:b/>
                <w:bCs/>
              </w:rPr>
              <w:t>United Nations Development Programme (UNDP)</w:t>
            </w:r>
          </w:p>
        </w:tc>
        <w:tc>
          <w:tcPr>
            <w:tcW w:w="1870" w:type="dxa"/>
          </w:tcPr>
          <w:p w14:paraId="7852F394" w14:textId="0178E362" w:rsidR="002805DB" w:rsidRPr="002F138E" w:rsidRDefault="0027704F" w:rsidP="006D325A">
            <w:pPr>
              <w:rPr>
                <w:rFonts w:cstheme="minorHAnsi"/>
              </w:rPr>
            </w:pPr>
            <w:r w:rsidRPr="002F138E">
              <w:rPr>
                <w:rFonts w:cstheme="minorHAnsi"/>
              </w:rPr>
              <w:t>Yes</w:t>
            </w:r>
          </w:p>
        </w:tc>
        <w:tc>
          <w:tcPr>
            <w:tcW w:w="1870" w:type="dxa"/>
          </w:tcPr>
          <w:p w14:paraId="21576024" w14:textId="6E094DA9" w:rsidR="002805DB" w:rsidRPr="002F138E" w:rsidRDefault="0027704F" w:rsidP="006D325A">
            <w:pPr>
              <w:rPr>
                <w:rFonts w:cstheme="minorHAnsi"/>
              </w:rPr>
            </w:pPr>
            <w:r w:rsidRPr="002F138E">
              <w:rPr>
                <w:rFonts w:cstheme="minorHAnsi"/>
              </w:rPr>
              <w:t>Yes</w:t>
            </w:r>
          </w:p>
        </w:tc>
        <w:tc>
          <w:tcPr>
            <w:tcW w:w="1870" w:type="dxa"/>
          </w:tcPr>
          <w:p w14:paraId="301003CB" w14:textId="586E0590" w:rsidR="002805DB" w:rsidRPr="002F138E" w:rsidRDefault="0027704F" w:rsidP="006D325A">
            <w:pPr>
              <w:rPr>
                <w:rFonts w:cstheme="minorHAnsi"/>
              </w:rPr>
            </w:pPr>
            <w:r w:rsidRPr="002F138E">
              <w:rPr>
                <w:rFonts w:cstheme="minorHAnsi"/>
              </w:rPr>
              <w:t>Yes</w:t>
            </w:r>
          </w:p>
        </w:tc>
        <w:tc>
          <w:tcPr>
            <w:tcW w:w="1870" w:type="dxa"/>
          </w:tcPr>
          <w:p w14:paraId="716E5DDB" w14:textId="4C3CBF89" w:rsidR="002805DB" w:rsidRPr="002F138E" w:rsidRDefault="0027704F" w:rsidP="006D325A">
            <w:pPr>
              <w:rPr>
                <w:rFonts w:cstheme="minorHAnsi"/>
              </w:rPr>
            </w:pPr>
            <w:r w:rsidRPr="002F138E">
              <w:rPr>
                <w:rFonts w:cstheme="minorHAnsi"/>
              </w:rPr>
              <w:t>Yes</w:t>
            </w:r>
          </w:p>
        </w:tc>
      </w:tr>
      <w:tr w:rsidR="000F41A7" w:rsidRPr="002F138E" w14:paraId="4E9CF690" w14:textId="77777777" w:rsidTr="006D325A">
        <w:tc>
          <w:tcPr>
            <w:tcW w:w="1870" w:type="dxa"/>
          </w:tcPr>
          <w:p w14:paraId="1B43DA14" w14:textId="389AE7F0" w:rsidR="0027704F" w:rsidRPr="002F138E" w:rsidRDefault="00D27345" w:rsidP="006D325A">
            <w:pPr>
              <w:rPr>
                <w:rFonts w:cstheme="minorHAnsi"/>
                <w:b/>
                <w:bCs/>
              </w:rPr>
            </w:pPr>
            <w:r w:rsidRPr="002F138E">
              <w:rPr>
                <w:rFonts w:cstheme="minorHAnsi"/>
                <w:b/>
                <w:bCs/>
              </w:rPr>
              <w:t>World Meteorological</w:t>
            </w:r>
            <w:r w:rsidR="000F41A7" w:rsidRPr="002F138E">
              <w:rPr>
                <w:rFonts w:cstheme="minorHAnsi"/>
                <w:b/>
                <w:bCs/>
              </w:rPr>
              <w:t xml:space="preserve"> Organization</w:t>
            </w:r>
            <w:r w:rsidRPr="002F138E">
              <w:rPr>
                <w:rFonts w:cstheme="minorHAnsi"/>
                <w:b/>
                <w:bCs/>
              </w:rPr>
              <w:t xml:space="preserve"> (W</w:t>
            </w:r>
            <w:r w:rsidR="0027704F" w:rsidRPr="002F138E">
              <w:rPr>
                <w:rFonts w:cstheme="minorHAnsi"/>
                <w:b/>
                <w:bCs/>
              </w:rPr>
              <w:t>MO)</w:t>
            </w:r>
          </w:p>
        </w:tc>
        <w:tc>
          <w:tcPr>
            <w:tcW w:w="1870" w:type="dxa"/>
          </w:tcPr>
          <w:p w14:paraId="1511ED70" w14:textId="51E0B64D" w:rsidR="0027704F" w:rsidRPr="002F138E" w:rsidRDefault="00D27345" w:rsidP="006D325A">
            <w:pPr>
              <w:rPr>
                <w:rFonts w:cstheme="minorHAnsi"/>
              </w:rPr>
            </w:pPr>
            <w:r w:rsidRPr="002F138E">
              <w:rPr>
                <w:rFonts w:cstheme="minorHAnsi"/>
              </w:rPr>
              <w:t>Yes</w:t>
            </w:r>
          </w:p>
        </w:tc>
        <w:tc>
          <w:tcPr>
            <w:tcW w:w="1870" w:type="dxa"/>
          </w:tcPr>
          <w:p w14:paraId="6BCE8FB1" w14:textId="45963866" w:rsidR="0027704F" w:rsidRPr="002F138E" w:rsidRDefault="00D27345" w:rsidP="006D325A">
            <w:pPr>
              <w:rPr>
                <w:rFonts w:cstheme="minorHAnsi"/>
              </w:rPr>
            </w:pPr>
            <w:r w:rsidRPr="002F138E">
              <w:rPr>
                <w:rFonts w:cstheme="minorHAnsi"/>
              </w:rPr>
              <w:t>No</w:t>
            </w:r>
          </w:p>
        </w:tc>
        <w:tc>
          <w:tcPr>
            <w:tcW w:w="1870" w:type="dxa"/>
          </w:tcPr>
          <w:p w14:paraId="6E6B675E" w14:textId="3EA96918" w:rsidR="0027704F" w:rsidRPr="002F138E" w:rsidRDefault="000F41A7" w:rsidP="006D325A">
            <w:pPr>
              <w:rPr>
                <w:rFonts w:cstheme="minorHAnsi"/>
              </w:rPr>
            </w:pPr>
            <w:r w:rsidRPr="002F138E">
              <w:rPr>
                <w:rFonts w:cstheme="minorHAnsi"/>
              </w:rPr>
              <w:t>No, audit function</w:t>
            </w:r>
          </w:p>
        </w:tc>
        <w:tc>
          <w:tcPr>
            <w:tcW w:w="1870" w:type="dxa"/>
          </w:tcPr>
          <w:p w14:paraId="29697AE9" w14:textId="2101AF57" w:rsidR="0027704F" w:rsidRPr="002F138E" w:rsidRDefault="000F41A7" w:rsidP="006D325A">
            <w:pPr>
              <w:rPr>
                <w:rFonts w:cstheme="minorHAnsi"/>
              </w:rPr>
            </w:pPr>
            <w:r w:rsidRPr="002F138E">
              <w:rPr>
                <w:rFonts w:cstheme="minorHAnsi"/>
              </w:rPr>
              <w:t>Yes</w:t>
            </w:r>
          </w:p>
        </w:tc>
      </w:tr>
      <w:tr w:rsidR="000F41A7" w:rsidRPr="002F138E" w14:paraId="031D26DF" w14:textId="77777777" w:rsidTr="006D325A">
        <w:tc>
          <w:tcPr>
            <w:tcW w:w="1870" w:type="dxa"/>
          </w:tcPr>
          <w:p w14:paraId="21992EEE" w14:textId="214F7443" w:rsidR="00D27345" w:rsidRPr="002F138E" w:rsidRDefault="00D27345" w:rsidP="006D325A">
            <w:pPr>
              <w:rPr>
                <w:rFonts w:cstheme="minorHAnsi"/>
                <w:b/>
                <w:bCs/>
              </w:rPr>
            </w:pPr>
            <w:r w:rsidRPr="002F138E">
              <w:rPr>
                <w:rFonts w:cstheme="minorHAnsi"/>
                <w:b/>
                <w:bCs/>
              </w:rPr>
              <w:t>International Civil Aviation Organization</w:t>
            </w:r>
          </w:p>
        </w:tc>
        <w:tc>
          <w:tcPr>
            <w:tcW w:w="1870" w:type="dxa"/>
          </w:tcPr>
          <w:p w14:paraId="0CAA2B8B" w14:textId="23AC0761" w:rsidR="00D27345" w:rsidRPr="002F138E" w:rsidRDefault="000F41A7" w:rsidP="006D325A">
            <w:pPr>
              <w:rPr>
                <w:rFonts w:cstheme="minorHAnsi"/>
              </w:rPr>
            </w:pPr>
            <w:r w:rsidRPr="002F138E">
              <w:rPr>
                <w:rFonts w:cstheme="minorHAnsi"/>
              </w:rPr>
              <w:t>Yes, investigation committee</w:t>
            </w:r>
          </w:p>
        </w:tc>
        <w:tc>
          <w:tcPr>
            <w:tcW w:w="1870" w:type="dxa"/>
          </w:tcPr>
          <w:p w14:paraId="7755271E" w14:textId="532EBBBB" w:rsidR="00D27345" w:rsidRPr="002F138E" w:rsidRDefault="000F41A7" w:rsidP="006D325A">
            <w:pPr>
              <w:rPr>
                <w:rFonts w:cstheme="minorHAnsi"/>
              </w:rPr>
            </w:pPr>
            <w:r w:rsidRPr="002F138E">
              <w:rPr>
                <w:rFonts w:cstheme="minorHAnsi"/>
              </w:rPr>
              <w:t>No</w:t>
            </w:r>
          </w:p>
        </w:tc>
        <w:tc>
          <w:tcPr>
            <w:tcW w:w="1870" w:type="dxa"/>
          </w:tcPr>
          <w:p w14:paraId="18CAAFDF" w14:textId="76DA1CCE" w:rsidR="00D27345" w:rsidRPr="002F138E" w:rsidRDefault="000F41A7" w:rsidP="006D325A">
            <w:pPr>
              <w:rPr>
                <w:rFonts w:cstheme="minorHAnsi"/>
              </w:rPr>
            </w:pPr>
            <w:r w:rsidRPr="002F138E">
              <w:rPr>
                <w:rFonts w:cstheme="minorHAnsi"/>
              </w:rPr>
              <w:t>No, Ethics Officer</w:t>
            </w:r>
          </w:p>
        </w:tc>
        <w:tc>
          <w:tcPr>
            <w:tcW w:w="1870" w:type="dxa"/>
          </w:tcPr>
          <w:p w14:paraId="32C9CF29" w14:textId="6EC96F3C" w:rsidR="00D27345" w:rsidRPr="002F138E" w:rsidRDefault="000F41A7" w:rsidP="006D325A">
            <w:pPr>
              <w:rPr>
                <w:rFonts w:cstheme="minorHAnsi"/>
              </w:rPr>
            </w:pPr>
            <w:r w:rsidRPr="002F138E">
              <w:rPr>
                <w:rFonts w:cstheme="minorHAnsi"/>
              </w:rPr>
              <w:t>Yes</w:t>
            </w:r>
          </w:p>
        </w:tc>
      </w:tr>
      <w:tr w:rsidR="000F41A7" w:rsidRPr="002F138E" w14:paraId="1C8CF3AA" w14:textId="77777777" w:rsidTr="006D325A">
        <w:tc>
          <w:tcPr>
            <w:tcW w:w="1870" w:type="dxa"/>
          </w:tcPr>
          <w:p w14:paraId="035305DA" w14:textId="3461EFD7" w:rsidR="0027704F" w:rsidRPr="002F138E" w:rsidRDefault="0027704F" w:rsidP="006D325A">
            <w:pPr>
              <w:rPr>
                <w:rFonts w:cstheme="minorHAnsi"/>
                <w:b/>
                <w:bCs/>
              </w:rPr>
            </w:pPr>
            <w:r w:rsidRPr="002F138E">
              <w:rPr>
                <w:rFonts w:cstheme="minorHAnsi"/>
                <w:b/>
                <w:bCs/>
              </w:rPr>
              <w:t>International Atomic Energy Agency</w:t>
            </w:r>
          </w:p>
        </w:tc>
        <w:tc>
          <w:tcPr>
            <w:tcW w:w="1870" w:type="dxa"/>
          </w:tcPr>
          <w:p w14:paraId="23141B98" w14:textId="284908C9" w:rsidR="0027704F" w:rsidRPr="002F138E" w:rsidRDefault="00D27345" w:rsidP="006D325A">
            <w:pPr>
              <w:rPr>
                <w:rFonts w:cstheme="minorHAnsi"/>
              </w:rPr>
            </w:pPr>
            <w:r w:rsidRPr="002F138E">
              <w:rPr>
                <w:rFonts w:cstheme="minorHAnsi"/>
              </w:rPr>
              <w:t>Yes</w:t>
            </w:r>
          </w:p>
        </w:tc>
        <w:tc>
          <w:tcPr>
            <w:tcW w:w="1870" w:type="dxa"/>
          </w:tcPr>
          <w:p w14:paraId="55734DD1" w14:textId="2EECF9BE" w:rsidR="0027704F" w:rsidRPr="002F138E" w:rsidRDefault="00D27345" w:rsidP="006D325A">
            <w:pPr>
              <w:rPr>
                <w:rFonts w:cstheme="minorHAnsi"/>
              </w:rPr>
            </w:pPr>
            <w:r w:rsidRPr="002F138E">
              <w:rPr>
                <w:rFonts w:cstheme="minorHAnsi"/>
              </w:rPr>
              <w:t>Yes</w:t>
            </w:r>
          </w:p>
        </w:tc>
        <w:tc>
          <w:tcPr>
            <w:tcW w:w="1870" w:type="dxa"/>
          </w:tcPr>
          <w:p w14:paraId="437D333A" w14:textId="0E7D8C2D" w:rsidR="0027704F" w:rsidRPr="002F138E" w:rsidRDefault="000F41A7" w:rsidP="006D325A">
            <w:pPr>
              <w:rPr>
                <w:rFonts w:cstheme="minorHAnsi"/>
              </w:rPr>
            </w:pPr>
            <w:r w:rsidRPr="002F138E">
              <w:rPr>
                <w:rFonts w:cstheme="minorHAnsi"/>
              </w:rPr>
              <w:t>Yes</w:t>
            </w:r>
          </w:p>
        </w:tc>
        <w:tc>
          <w:tcPr>
            <w:tcW w:w="1870" w:type="dxa"/>
          </w:tcPr>
          <w:p w14:paraId="35230BEB" w14:textId="5339A6C7" w:rsidR="0027704F" w:rsidRPr="002F138E" w:rsidRDefault="000F41A7" w:rsidP="006D325A">
            <w:pPr>
              <w:rPr>
                <w:rFonts w:cstheme="minorHAnsi"/>
              </w:rPr>
            </w:pPr>
            <w:r w:rsidRPr="002F138E">
              <w:rPr>
                <w:rFonts w:cstheme="minorHAnsi"/>
              </w:rPr>
              <w:t>No</w:t>
            </w:r>
          </w:p>
        </w:tc>
      </w:tr>
    </w:tbl>
    <w:p w14:paraId="0D58D4F1" w14:textId="546550AA" w:rsidR="00CA75A2" w:rsidRDefault="00CA75A2" w:rsidP="003C0DCB"/>
    <w:p w14:paraId="4DD462FF" w14:textId="67E6B749" w:rsidR="002F138E" w:rsidRDefault="002F138E" w:rsidP="003C0DCB"/>
    <w:p w14:paraId="191265E1" w14:textId="1327007A" w:rsidR="002F138E" w:rsidRPr="002F138E" w:rsidRDefault="002F138E" w:rsidP="002F138E">
      <w:pPr>
        <w:jc w:val="center"/>
        <w:rPr>
          <w:u w:val="single"/>
        </w:rPr>
      </w:pPr>
      <w:r>
        <w:rPr>
          <w:u w:val="single"/>
        </w:rPr>
        <w:t>                                       </w:t>
      </w:r>
    </w:p>
    <w:sectPr w:rsidR="002F138E" w:rsidRPr="002F138E" w:rsidSect="004D1851">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8CA7D" w14:textId="77777777" w:rsidR="00A94EDC" w:rsidRDefault="00A94EDC">
      <w:r>
        <w:separator/>
      </w:r>
    </w:p>
  </w:endnote>
  <w:endnote w:type="continuationSeparator" w:id="0">
    <w:p w14:paraId="30B0E6B6" w14:textId="77777777" w:rsidR="00A94EDC" w:rsidRDefault="00A9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D372F" w14:textId="69646D29" w:rsidR="00591917" w:rsidRDefault="00591917">
    <w:pPr>
      <w:pStyle w:val="Footer"/>
    </w:pPr>
    <w:r>
      <mc:AlternateContent>
        <mc:Choice Requires="wps">
          <w:drawing>
            <wp:anchor distT="0" distB="0" distL="114300" distR="114300" simplePos="0" relativeHeight="251656704" behindDoc="0" locked="0" layoutInCell="0" allowOverlap="1" wp14:anchorId="4CBCAED0" wp14:editId="783FEEBB">
              <wp:simplePos x="0" y="0"/>
              <wp:positionH relativeFrom="page">
                <wp:posOffset>0</wp:posOffset>
              </wp:positionH>
              <wp:positionV relativeFrom="page">
                <wp:posOffset>10232390</wp:posOffset>
              </wp:positionV>
              <wp:extent cx="7560945" cy="266700"/>
              <wp:effectExtent l="0" t="0" r="0" b="0"/>
              <wp:wrapNone/>
              <wp:docPr id="2" name="MSIPCMd4894d969fd3e0379fc7958a" descr="{&quot;HashCode&quot;:-107656116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761962" w14:textId="39E26920" w:rsidR="00591917" w:rsidRPr="00591917" w:rsidRDefault="00591917" w:rsidP="00591917">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CBCAED0" id="_x0000_t202" coordsize="21600,21600" o:spt="202" path="m,l,21600r21600,l21600,xe">
              <v:stroke joinstyle="miter"/>
              <v:path gradientshapeok="t" o:connecttype="rect"/>
            </v:shapetype>
            <v:shape id="MSIPCMd4894d969fd3e0379fc7958a" o:spid="_x0000_s1026" type="#_x0000_t202" alt="{&quot;HashCode&quot;:-1076561164,&quot;Height&quot;:841.0,&quot;Width&quot;:595.0,&quot;Placement&quot;:&quot;Footer&quot;,&quot;Index&quot;:&quot;Primary&quot;,&quot;Section&quot;:1,&quot;Top&quot;:0.0,&quot;Left&quot;:0.0}" style="position:absolute;margin-left:0;margin-top:805.7pt;width:595.35pt;height:21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" o:allowincell="f" filled="f" stroked="f" strokeweight=".5pt">
              <v:textbox inset="20pt,0,,0">
                <w:txbxContent>
                  <w:p w14:paraId="22761962" w14:textId="39E26920" w:rsidR="00591917" w:rsidRPr="00591917" w:rsidRDefault="00591917" w:rsidP="00591917">
                    <w:pPr>
                      <w:spacing w:after="0"/>
                      <w:rPr>
                        <w:rFonts w:ascii="Calibri" w:hAnsi="Calibri" w:cs="Calibri"/>
                        <w:color w:val="000000"/>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C3082" w14:textId="749CC96D" w:rsidR="002238C4" w:rsidRDefault="00591917" w:rsidP="002238C4">
    <w:pPr>
      <w:spacing w:after="120"/>
      <w:jc w:val="center"/>
      <w:rPr>
        <w:lang w:val="es-ES"/>
      </w:rPr>
    </w:pPr>
    <w:r>
      <w:rPr>
        <w:noProof/>
      </w:rPr>
      <mc:AlternateContent>
        <mc:Choice Requires="wps">
          <w:drawing>
            <wp:anchor distT="0" distB="0" distL="114300" distR="114300" simplePos="0" relativeHeight="251657728" behindDoc="0" locked="0" layoutInCell="0" allowOverlap="1" wp14:anchorId="3DE85DDF" wp14:editId="35C83A42">
              <wp:simplePos x="0" y="0"/>
              <wp:positionH relativeFrom="page">
                <wp:posOffset>0</wp:posOffset>
              </wp:positionH>
              <wp:positionV relativeFrom="page">
                <wp:posOffset>10232390</wp:posOffset>
              </wp:positionV>
              <wp:extent cx="7560945" cy="266700"/>
              <wp:effectExtent l="0" t="0" r="0" b="0"/>
              <wp:wrapNone/>
              <wp:docPr id="3" name="MSIPCMf0ca44ba9ef9adb33047a4c8" descr="{&quot;HashCode&quot;:-107656116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DD47F5" w14:textId="3DE7C5E5" w:rsidR="00591917" w:rsidRPr="00591917" w:rsidRDefault="00591917" w:rsidP="00591917">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DE85DDF" id="_x0000_t202" coordsize="21600,21600" o:spt="202" path="m,l,21600r21600,l21600,xe">
              <v:stroke joinstyle="miter"/>
              <v:path gradientshapeok="t" o:connecttype="rect"/>
            </v:shapetype>
            <v:shape id="MSIPCMf0ca44ba9ef9adb33047a4c8" o:spid="_x0000_s1027" type="#_x0000_t202" alt="{&quot;HashCode&quot;:-1076561164,&quot;Height&quot;:841.0,&quot;Width&quot;:595.0,&quot;Placement&quot;:&quot;Footer&quot;,&quot;Index&quot;:&quot;FirstPage&quot;,&quot;Section&quot;:1,&quot;Top&quot;:0.0,&quot;Left&quot;:0.0}" style="position:absolute;left:0;text-align:left;margin-left:0;margin-top:805.7pt;width:595.35pt;height:21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" o:allowincell="f" filled="f" stroked="f" strokeweight=".5pt">
              <v:textbox inset="20pt,0,,0">
                <w:txbxContent>
                  <w:p w14:paraId="2CDD47F5" w14:textId="3DE7C5E5" w:rsidR="00591917" w:rsidRPr="00591917" w:rsidRDefault="00591917" w:rsidP="00591917">
                    <w:pPr>
                      <w:spacing w:after="0"/>
                      <w:rPr>
                        <w:rFonts w:ascii="Calibri" w:hAnsi="Calibri" w:cs="Calibri"/>
                        <w:color w:val="000000"/>
                        <w:sz w:val="20"/>
                      </w:rPr>
                    </w:pPr>
                  </w:p>
                </w:txbxContent>
              </v:textbox>
              <w10:wrap anchorx="page" anchory="page"/>
            </v:shape>
          </w:pict>
        </mc:Fallback>
      </mc:AlternateContent>
    </w:r>
    <w:r w:rsidR="002238C4">
      <w:rPr>
        <w:lang w:val="es-ES"/>
      </w:rPr>
      <w:t xml:space="preserve">• </w:t>
    </w:r>
    <w:hyperlink r:id="rId1" w:history="1">
      <w:r w:rsidR="002238C4" w:rsidRPr="007449B0">
        <w:rPr>
          <w:rStyle w:val="Hyperlink"/>
          <w:rFonts w:cs="Calibri"/>
          <w:lang w:val="es-ES"/>
        </w:rPr>
        <w:t>http://www.itu.int/council</w:t>
      </w:r>
    </w:hyperlink>
    <w:r w:rsidR="002238C4">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A1059" w14:textId="77777777" w:rsidR="00A94EDC" w:rsidRDefault="00A94EDC">
      <w:r>
        <w:t>____________________</w:t>
      </w:r>
    </w:p>
  </w:footnote>
  <w:footnote w:type="continuationSeparator" w:id="0">
    <w:p w14:paraId="201ADC8E" w14:textId="77777777" w:rsidR="00A94EDC" w:rsidRDefault="00A94EDC">
      <w:r>
        <w:continuationSeparator/>
      </w:r>
    </w:p>
  </w:footnote>
  <w:footnote w:id="1">
    <w:p w14:paraId="412D1CE1" w14:textId="77777777" w:rsidR="00EF1066" w:rsidRPr="00363B5C" w:rsidRDefault="00EF1066" w:rsidP="00EF1066">
      <w:pPr>
        <w:pStyle w:val="FootnoteText"/>
        <w:rPr>
          <w:sz w:val="20"/>
          <w:szCs w:val="20"/>
        </w:rPr>
      </w:pPr>
      <w:r w:rsidRPr="00363B5C">
        <w:rPr>
          <w:rStyle w:val="FootnoteReference"/>
          <w:sz w:val="20"/>
          <w:szCs w:val="20"/>
        </w:rPr>
        <w:footnoteRef/>
      </w:r>
      <w:r w:rsidRPr="00363B5C">
        <w:rPr>
          <w:sz w:val="20"/>
          <w:szCs w:val="20"/>
        </w:rPr>
        <w:t xml:space="preserve"> </w:t>
      </w:r>
      <w:hyperlink r:id="rId1" w:history="1">
        <w:r w:rsidRPr="00363B5C">
          <w:rPr>
            <w:rStyle w:val="Hyperlink"/>
            <w:sz w:val="20"/>
            <w:szCs w:val="20"/>
          </w:rPr>
          <w:t>Special Report by the External Auditor – addressing fraud at ITU</w:t>
        </w:r>
      </w:hyperlink>
    </w:p>
  </w:footnote>
  <w:footnote w:id="2">
    <w:p w14:paraId="7AB9AC6A" w14:textId="77777777" w:rsidR="00EF1066" w:rsidRDefault="00EF1066" w:rsidP="00EF1066">
      <w:pPr>
        <w:pStyle w:val="FootnoteText"/>
      </w:pPr>
      <w:r w:rsidRPr="00363B5C">
        <w:rPr>
          <w:rStyle w:val="FootnoteReference"/>
          <w:sz w:val="20"/>
          <w:szCs w:val="20"/>
        </w:rPr>
        <w:footnoteRef/>
      </w:r>
      <w:r w:rsidRPr="00363B5C">
        <w:rPr>
          <w:sz w:val="20"/>
          <w:szCs w:val="20"/>
        </w:rPr>
        <w:t xml:space="preserve"> In </w:t>
      </w:r>
      <w:r>
        <w:rPr>
          <w:sz w:val="20"/>
          <w:szCs w:val="20"/>
        </w:rPr>
        <w:t xml:space="preserve">the </w:t>
      </w:r>
      <w:r w:rsidRPr="00363B5C">
        <w:rPr>
          <w:sz w:val="20"/>
          <w:szCs w:val="20"/>
        </w:rPr>
        <w:t xml:space="preserve">JIU report, </w:t>
      </w:r>
      <w:hyperlink r:id="rId2" w:history="1">
        <w:r w:rsidRPr="000E752D">
          <w:rPr>
            <w:rStyle w:val="Hyperlink"/>
            <w:i/>
            <w:sz w:val="20"/>
            <w:szCs w:val="20"/>
          </w:rPr>
          <w:t>The Investigations Function in the United Nations System (A/67/140)</w:t>
        </w:r>
      </w:hyperlink>
      <w:r>
        <w:rPr>
          <w:i/>
          <w:sz w:val="20"/>
          <w:szCs w:val="20"/>
        </w:rPr>
        <w:t xml:space="preserve">, </w:t>
      </w:r>
      <w:r>
        <w:rPr>
          <w:sz w:val="20"/>
          <w:szCs w:val="20"/>
        </w:rPr>
        <w:t>the JIU</w:t>
      </w:r>
      <w:r w:rsidRPr="00363B5C">
        <w:rPr>
          <w:sz w:val="20"/>
          <w:szCs w:val="20"/>
        </w:rPr>
        <w:t xml:space="preserve"> recom</w:t>
      </w:r>
      <w:r>
        <w:rPr>
          <w:sz w:val="20"/>
          <w:szCs w:val="20"/>
        </w:rPr>
        <w:t xml:space="preserve">mended that </w:t>
      </w:r>
      <w:r w:rsidRPr="000E752D">
        <w:rPr>
          <w:sz w:val="20"/>
          <w:szCs w:val="20"/>
        </w:rPr>
        <w:t>internal oversight ent</w:t>
      </w:r>
      <w:r>
        <w:rPr>
          <w:sz w:val="20"/>
          <w:szCs w:val="20"/>
        </w:rPr>
        <w:t>ities or investigation units have authorization</w:t>
      </w:r>
      <w:r w:rsidRPr="000E752D">
        <w:rPr>
          <w:sz w:val="20"/>
          <w:szCs w:val="20"/>
        </w:rPr>
        <w:t xml:space="preserve"> to initiate investigations without the executive head's prior approval</w:t>
      </w:r>
      <w:r>
        <w:rPr>
          <w:sz w:val="20"/>
          <w:szCs w:val="20"/>
        </w:rPr>
        <w:t xml:space="preserve"> as it undermines</w:t>
      </w:r>
      <w:r w:rsidRPr="00363B5C">
        <w:rPr>
          <w:sz w:val="20"/>
          <w:szCs w:val="20"/>
        </w:rPr>
        <w:t xml:space="preserve"> the independence of the investigation process.</w:t>
      </w:r>
    </w:p>
  </w:footnote>
  <w:footnote w:id="3">
    <w:p w14:paraId="4018660E" w14:textId="77777777" w:rsidR="00EF1066" w:rsidRPr="004259FC" w:rsidRDefault="00EF1066" w:rsidP="00EF1066">
      <w:pPr>
        <w:pStyle w:val="FootnoteText"/>
        <w:rPr>
          <w:sz w:val="20"/>
          <w:szCs w:val="20"/>
        </w:rPr>
      </w:pPr>
      <w:r w:rsidRPr="004259FC">
        <w:rPr>
          <w:rStyle w:val="FootnoteReference"/>
          <w:sz w:val="20"/>
          <w:szCs w:val="20"/>
        </w:rPr>
        <w:footnoteRef/>
      </w:r>
      <w:r w:rsidRPr="004259FC">
        <w:rPr>
          <w:sz w:val="20"/>
          <w:szCs w:val="20"/>
        </w:rPr>
        <w:t xml:space="preserve"> </w:t>
      </w:r>
      <w:hyperlink r:id="rId3" w:history="1">
        <w:r w:rsidRPr="004259FC">
          <w:rPr>
            <w:rStyle w:val="Hyperlink"/>
            <w:sz w:val="20"/>
            <w:szCs w:val="20"/>
          </w:rPr>
          <w:t>Special Report by the External Auditor – addressing fraud at ITU</w:t>
        </w:r>
      </w:hyperlink>
    </w:p>
  </w:footnote>
  <w:footnote w:id="4">
    <w:p w14:paraId="46D5D9A8" w14:textId="222A41DE" w:rsidR="00283527" w:rsidRPr="006B2186" w:rsidRDefault="00283527" w:rsidP="00283527">
      <w:pPr>
        <w:pStyle w:val="FootnoteText"/>
      </w:pPr>
      <w:r>
        <w:rPr>
          <w:rStyle w:val="FootnoteReference"/>
        </w:rPr>
        <w:footnoteRef/>
      </w:r>
      <w:r>
        <w:t xml:space="preserve"> </w:t>
      </w:r>
      <w:r>
        <w:rPr>
          <w:sz w:val="20"/>
          <w:szCs w:val="20"/>
        </w:rPr>
        <w:t>This proposal is supported by recommendation 1 and 7</w:t>
      </w:r>
      <w:r w:rsidRPr="00E805FF">
        <w:rPr>
          <w:sz w:val="20"/>
          <w:szCs w:val="20"/>
        </w:rPr>
        <w:t xml:space="preserve"> in the JIU report, </w:t>
      </w:r>
      <w:hyperlink r:id="rId4" w:history="1">
        <w:r w:rsidRPr="00E805FF">
          <w:rPr>
            <w:rStyle w:val="Hyperlink"/>
            <w:i/>
            <w:sz w:val="20"/>
            <w:szCs w:val="20"/>
          </w:rPr>
          <w:t>The Investigations Function in the United Nations System (A/67/140)</w:t>
        </w:r>
      </w:hyperlink>
      <w:r w:rsidR="006B2186">
        <w:rPr>
          <w:rStyle w:val="Hyperlink"/>
          <w:i/>
          <w:sz w:val="20"/>
          <w:szCs w:val="20"/>
        </w:rPr>
        <w:t xml:space="preserve"> </w:t>
      </w:r>
      <w:r w:rsidR="006B2186">
        <w:rPr>
          <w:rStyle w:val="Hyperlink"/>
          <w:sz w:val="20"/>
          <w:szCs w:val="20"/>
          <w:u w:val="none"/>
        </w:rPr>
        <w:t xml:space="preserve">. </w:t>
      </w:r>
      <w:r w:rsidR="0077359E">
        <w:rPr>
          <w:rStyle w:val="Hyperlink"/>
          <w:color w:val="auto"/>
          <w:sz w:val="20"/>
          <w:szCs w:val="20"/>
          <w:u w:val="none"/>
        </w:rPr>
        <w:t xml:space="preserve">The </w:t>
      </w:r>
      <w:r w:rsidR="0077359E" w:rsidRPr="0077359E">
        <w:rPr>
          <w:sz w:val="20"/>
          <w:szCs w:val="20"/>
        </w:rPr>
        <w:t>UN, World Health Organization (WHO), Food and Agriculture Organization (FAO)</w:t>
      </w:r>
      <w:r w:rsidR="00913102">
        <w:rPr>
          <w:sz w:val="20"/>
          <w:szCs w:val="20"/>
        </w:rPr>
        <w:t xml:space="preserve">, </w:t>
      </w:r>
      <w:r w:rsidR="0077359E" w:rsidRPr="0077359E">
        <w:rPr>
          <w:sz w:val="20"/>
          <w:szCs w:val="20"/>
        </w:rPr>
        <w:t>World Intellectual Property Organization (WIPO</w:t>
      </w:r>
      <w:r w:rsidR="0077359E">
        <w:rPr>
          <w:sz w:val="20"/>
          <w:szCs w:val="20"/>
        </w:rPr>
        <w:t xml:space="preserve">), and International </w:t>
      </w:r>
      <w:proofErr w:type="spellStart"/>
      <w:r w:rsidR="0077359E">
        <w:rPr>
          <w:sz w:val="20"/>
          <w:szCs w:val="20"/>
        </w:rPr>
        <w:t>Labor</w:t>
      </w:r>
      <w:proofErr w:type="spellEnd"/>
      <w:r w:rsidR="0077359E">
        <w:rPr>
          <w:sz w:val="20"/>
          <w:szCs w:val="20"/>
        </w:rPr>
        <w:t xml:space="preserve"> Organization (ILO) all have at least one full-time investigator and/or independent investigation function separate from the audit function and Ethics Office (see annex 1).</w:t>
      </w:r>
    </w:p>
  </w:footnote>
  <w:footnote w:id="5">
    <w:p w14:paraId="27B86143" w14:textId="6D92C81C" w:rsidR="00AC4AB2" w:rsidRPr="006B2186" w:rsidRDefault="00AC4AB2">
      <w:pPr>
        <w:pStyle w:val="FootnoteText"/>
      </w:pPr>
      <w:r>
        <w:rPr>
          <w:rStyle w:val="FootnoteReference"/>
        </w:rPr>
        <w:footnoteRef/>
      </w:r>
      <w:r>
        <w:t xml:space="preserve"> </w:t>
      </w:r>
      <w:r w:rsidRPr="00AC4AB2">
        <w:rPr>
          <w:sz w:val="20"/>
          <w:szCs w:val="20"/>
        </w:rPr>
        <w:t xml:space="preserve">This investigation process reflects </w:t>
      </w:r>
      <w:r w:rsidR="006B2186">
        <w:rPr>
          <w:sz w:val="20"/>
          <w:szCs w:val="20"/>
        </w:rPr>
        <w:t>similar processes at the UN, World Health Organization (WHO)</w:t>
      </w:r>
      <w:r w:rsidRPr="00AC4AB2">
        <w:rPr>
          <w:sz w:val="20"/>
          <w:szCs w:val="20"/>
        </w:rPr>
        <w:t>, F</w:t>
      </w:r>
      <w:r w:rsidR="006B2186">
        <w:rPr>
          <w:sz w:val="20"/>
          <w:szCs w:val="20"/>
        </w:rPr>
        <w:t xml:space="preserve">ood and </w:t>
      </w:r>
      <w:r w:rsidRPr="00AC4AB2">
        <w:rPr>
          <w:sz w:val="20"/>
          <w:szCs w:val="20"/>
        </w:rPr>
        <w:t>A</w:t>
      </w:r>
      <w:r w:rsidR="006B2186">
        <w:rPr>
          <w:sz w:val="20"/>
          <w:szCs w:val="20"/>
        </w:rPr>
        <w:t xml:space="preserve">griculture </w:t>
      </w:r>
      <w:r w:rsidRPr="00AC4AB2">
        <w:rPr>
          <w:sz w:val="20"/>
          <w:szCs w:val="20"/>
        </w:rPr>
        <w:t>O</w:t>
      </w:r>
      <w:r w:rsidR="006B2186">
        <w:rPr>
          <w:sz w:val="20"/>
          <w:szCs w:val="20"/>
        </w:rPr>
        <w:t>rganization (FAO), and World Intellectual Property Organization (WIPO)</w:t>
      </w:r>
      <w:r w:rsidRPr="00AC4AB2">
        <w:rPr>
          <w:sz w:val="20"/>
          <w:szCs w:val="20"/>
        </w:rPr>
        <w:t>.  This proposed process is also supported by</w:t>
      </w:r>
      <w:r>
        <w:rPr>
          <w:sz w:val="20"/>
          <w:szCs w:val="20"/>
        </w:rPr>
        <w:t xml:space="preserve"> recommendation 2, 4, and 6 in the</w:t>
      </w:r>
      <w:r w:rsidRPr="00AC4AB2">
        <w:rPr>
          <w:sz w:val="20"/>
          <w:szCs w:val="20"/>
        </w:rPr>
        <w:t xml:space="preserve"> JIU report, </w:t>
      </w:r>
      <w:hyperlink r:id="rId5" w:history="1">
        <w:r w:rsidRPr="00AC4AB2">
          <w:rPr>
            <w:rStyle w:val="Hyperlink"/>
            <w:i/>
            <w:sz w:val="20"/>
            <w:szCs w:val="20"/>
          </w:rPr>
          <w:t>The Investigations Function in the United Nations System (A/67/140)</w:t>
        </w:r>
      </w:hyperlink>
      <w:r w:rsidR="000930F2">
        <w:rPr>
          <w:rStyle w:val="Hyperlink"/>
          <w:sz w:val="20"/>
          <w:szCs w:val="20"/>
          <w:u w:val="none"/>
        </w:rPr>
        <w:t xml:space="preserve"> </w:t>
      </w:r>
      <w:r w:rsidR="000930F2" w:rsidRPr="000930F2">
        <w:rPr>
          <w:rStyle w:val="Hyperlink"/>
          <w:color w:val="auto"/>
          <w:sz w:val="20"/>
          <w:szCs w:val="20"/>
          <w:u w:val="none"/>
        </w:rPr>
        <w:t>and</w:t>
      </w:r>
      <w:r w:rsidR="000930F2">
        <w:rPr>
          <w:rStyle w:val="Hyperlink"/>
          <w:color w:val="auto"/>
          <w:sz w:val="20"/>
          <w:szCs w:val="20"/>
          <w:u w:val="none"/>
        </w:rPr>
        <w:t xml:space="preserve"> </w:t>
      </w:r>
      <w:hyperlink r:id="rId6" w:history="1">
        <w:r w:rsidR="003C0E3F" w:rsidRPr="003C0E3F">
          <w:rPr>
            <w:rStyle w:val="Hyperlink"/>
            <w:i/>
            <w:sz w:val="20"/>
            <w:szCs w:val="20"/>
          </w:rPr>
          <w:t>Whistle-Blower Policies and Practices in United Nations System Organizations (JIU/2018/4)</w:t>
        </w:r>
        <w:r w:rsidR="000930F2" w:rsidRPr="003C0E3F">
          <w:rPr>
            <w:rStyle w:val="Hyperlink"/>
            <w:i/>
            <w:sz w:val="20"/>
            <w:szCs w:val="20"/>
          </w:rPr>
          <w:t xml:space="preserve"> </w:t>
        </w:r>
        <w:r w:rsidR="006B2186" w:rsidRPr="003C0E3F">
          <w:rPr>
            <w:rStyle w:val="Hyperlink"/>
            <w:i/>
            <w:sz w:val="20"/>
            <w:szCs w:val="20"/>
          </w:rPr>
          <w:t xml:space="preserve"> </w:t>
        </w:r>
      </w:hyperlink>
      <w:r w:rsidR="006B2186">
        <w:rPr>
          <w:rStyle w:val="Hyperlink"/>
          <w:sz w:val="20"/>
          <w:szCs w:val="20"/>
          <w:u w:val="none"/>
        </w:rPr>
        <w:t xml:space="preserve"> </w:t>
      </w:r>
      <w:r w:rsidR="006B2186">
        <w:rPr>
          <w:rStyle w:val="Hyperlink"/>
          <w:color w:val="auto"/>
          <w:sz w:val="20"/>
          <w:szCs w:val="20"/>
          <w:u w:val="none"/>
        </w:rPr>
        <w:t>Please see Annex 1.</w:t>
      </w:r>
      <w:r w:rsidR="006B2186">
        <w:rPr>
          <w:rStyle w:val="Hyperlink"/>
          <w:sz w:val="20"/>
          <w:szCs w:val="20"/>
          <w:u w:val="none"/>
        </w:rPr>
        <w:t xml:space="preserve"> </w:t>
      </w:r>
    </w:p>
  </w:footnote>
  <w:footnote w:id="6">
    <w:p w14:paraId="42109A06" w14:textId="5C1C482B" w:rsidR="00F30409" w:rsidRDefault="00F30409">
      <w:pPr>
        <w:pStyle w:val="FootnoteText"/>
      </w:pPr>
      <w:r>
        <w:rPr>
          <w:rStyle w:val="FootnoteReference"/>
        </w:rPr>
        <w:footnoteRef/>
      </w:r>
      <w:r>
        <w:t xml:space="preserve"> </w:t>
      </w:r>
      <w:r w:rsidRPr="00F30409">
        <w:rPr>
          <w:sz w:val="20"/>
          <w:szCs w:val="20"/>
        </w:rPr>
        <w:t xml:space="preserve">This proposal is supported by the JIU report, </w:t>
      </w:r>
      <w:hyperlink r:id="rId7" w:history="1">
        <w:r w:rsidRPr="00F30409">
          <w:rPr>
            <w:rStyle w:val="Hyperlink"/>
            <w:i/>
            <w:sz w:val="20"/>
            <w:szCs w:val="20"/>
          </w:rPr>
          <w:t>The Investigations Function in the United Nations System (A/67/140)</w:t>
        </w:r>
      </w:hyperlink>
      <w:r>
        <w:rPr>
          <w:sz w:val="20"/>
          <w:szCs w:val="20"/>
        </w:rPr>
        <w:t xml:space="preserve"> and recommendation 1 in the JIU report on</w:t>
      </w:r>
      <w:r w:rsidR="003C0E3F">
        <w:rPr>
          <w:sz w:val="20"/>
          <w:szCs w:val="20"/>
        </w:rPr>
        <w:t xml:space="preserve"> </w:t>
      </w:r>
      <w:hyperlink r:id="rId8" w:history="1">
        <w:r w:rsidR="003C0E3F" w:rsidRPr="003C0E3F">
          <w:rPr>
            <w:rStyle w:val="Hyperlink"/>
            <w:i/>
            <w:sz w:val="20"/>
            <w:szCs w:val="20"/>
          </w:rPr>
          <w:t xml:space="preserve">Whistle-Blower Policies and Practices in United Nations System Organizations (JIU/2018/4)  </w:t>
        </w:r>
      </w:hyperlink>
      <w:r w:rsidR="003C0E3F">
        <w:rPr>
          <w:sz w:val="20"/>
          <w:szCs w:val="20"/>
        </w:rPr>
        <w:t xml:space="preserve">.  </w:t>
      </w:r>
    </w:p>
  </w:footnote>
  <w:footnote w:id="7">
    <w:p w14:paraId="2FD2E195" w14:textId="67217951" w:rsidR="0034051A" w:rsidRDefault="0034051A">
      <w:pPr>
        <w:pStyle w:val="FootnoteText"/>
      </w:pPr>
      <w:r>
        <w:rPr>
          <w:rStyle w:val="FootnoteReference"/>
        </w:rPr>
        <w:footnoteRef/>
      </w:r>
      <w:r>
        <w:t xml:space="preserve"> </w:t>
      </w:r>
      <w:hyperlink r:id="rId9" w:history="1">
        <w:r w:rsidRPr="0034051A">
          <w:rPr>
            <w:rStyle w:val="Hyperlink"/>
          </w:rPr>
          <w:t>World Intellectual Property Organization’s Internal Oversight Charter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0970D" w14:textId="50174E75" w:rsidR="00542BAB" w:rsidRPr="00654BDF" w:rsidRDefault="00542BAB" w:rsidP="000854C6">
    <w:pPr>
      <w:pStyle w:val="Header"/>
      <w:spacing w:after="120"/>
      <w:rPr>
        <w:sz w:val="22"/>
      </w:rPr>
    </w:pPr>
    <w:r w:rsidRPr="00654BDF">
      <w:rPr>
        <w:sz w:val="22"/>
      </w:rPr>
      <w:fldChar w:fldCharType="begin"/>
    </w:r>
    <w:r w:rsidRPr="00654BDF">
      <w:rPr>
        <w:sz w:val="22"/>
      </w:rPr>
      <w:instrText xml:space="preserve"> PAGE   \* MERGEFORMAT </w:instrText>
    </w:r>
    <w:r w:rsidRPr="00654BDF">
      <w:rPr>
        <w:sz w:val="22"/>
      </w:rPr>
      <w:fldChar w:fldCharType="separate"/>
    </w:r>
    <w:r w:rsidR="003C0DCB" w:rsidRPr="00654BDF">
      <w:rPr>
        <w:noProof/>
        <w:sz w:val="22"/>
      </w:rPr>
      <w:t>2</w:t>
    </w:r>
    <w:r w:rsidRPr="00654BDF">
      <w:rPr>
        <w:noProof/>
        <w:sz w:val="22"/>
      </w:rPr>
      <w:fldChar w:fldCharType="end"/>
    </w:r>
    <w:r w:rsidRPr="00654BDF">
      <w:rPr>
        <w:noProof/>
        <w:sz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CDAD3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DC9B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096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D8F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4265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E33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D2DE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86AF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445C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2824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A15F1"/>
    <w:multiLevelType w:val="hybridMultilevel"/>
    <w:tmpl w:val="E51AD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B294AAC"/>
    <w:multiLevelType w:val="hybridMultilevel"/>
    <w:tmpl w:val="56603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823FFE"/>
    <w:multiLevelType w:val="hybridMultilevel"/>
    <w:tmpl w:val="F192F9D2"/>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F52473"/>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B5E1726"/>
    <w:multiLevelType w:val="hybridMultilevel"/>
    <w:tmpl w:val="F1A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094C20"/>
    <w:multiLevelType w:val="hybridMultilevel"/>
    <w:tmpl w:val="2D30F248"/>
    <w:lvl w:ilvl="0" w:tplc="BF34A0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BA6547"/>
    <w:multiLevelType w:val="hybridMultilevel"/>
    <w:tmpl w:val="4DFE797E"/>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457EB7"/>
    <w:multiLevelType w:val="hybridMultilevel"/>
    <w:tmpl w:val="7B46B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3E643A"/>
    <w:multiLevelType w:val="hybridMultilevel"/>
    <w:tmpl w:val="408805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357F85"/>
    <w:multiLevelType w:val="multilevel"/>
    <w:tmpl w:val="8198131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FF000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48ED6C68"/>
    <w:multiLevelType w:val="hybridMultilevel"/>
    <w:tmpl w:val="2B547D7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3B63D4"/>
    <w:multiLevelType w:val="hybridMultilevel"/>
    <w:tmpl w:val="24122B96"/>
    <w:lvl w:ilvl="0" w:tplc="3300CE0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50C9066D"/>
    <w:multiLevelType w:val="hybridMultilevel"/>
    <w:tmpl w:val="D316AE1C"/>
    <w:lvl w:ilvl="0" w:tplc="440C0FAE">
      <w:start w:val="1"/>
      <w:numFmt w:val="decimal"/>
      <w:lvlText w:val="Z%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3" w15:restartNumberingAfterBreak="0">
    <w:nsid w:val="51945B37"/>
    <w:multiLevelType w:val="hybridMultilevel"/>
    <w:tmpl w:val="4F0AAA2E"/>
    <w:lvl w:ilvl="0" w:tplc="7CA2B7D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B31BF8"/>
    <w:multiLevelType w:val="hybridMultilevel"/>
    <w:tmpl w:val="639836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53C7676"/>
    <w:multiLevelType w:val="hybridMultilevel"/>
    <w:tmpl w:val="A1B050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774F28"/>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BAD6EE8"/>
    <w:multiLevelType w:val="hybridMultilevel"/>
    <w:tmpl w:val="07ACC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22"/>
  </w:num>
  <w:num w:numId="3">
    <w:abstractNumId w:val="12"/>
  </w:num>
  <w:num w:numId="4">
    <w:abstractNumId w:val="16"/>
  </w:num>
  <w:num w:numId="5">
    <w:abstractNumId w:val="27"/>
  </w:num>
  <w:num w:numId="6">
    <w:abstractNumId w:val="13"/>
  </w:num>
  <w:num w:numId="7">
    <w:abstractNumId w:val="26"/>
  </w:num>
  <w:num w:numId="8">
    <w:abstractNumId w:val="19"/>
  </w:num>
  <w:num w:numId="9">
    <w:abstractNumId w:val="14"/>
  </w:num>
  <w:num w:numId="10">
    <w:abstractNumId w:val="10"/>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8"/>
  </w:num>
  <w:num w:numId="21">
    <w:abstractNumId w:val="11"/>
  </w:num>
  <w:num w:numId="22">
    <w:abstractNumId w:val="17"/>
  </w:num>
  <w:num w:numId="23">
    <w:abstractNumId w:val="23"/>
  </w:num>
  <w:num w:numId="24">
    <w:abstractNumId w:val="24"/>
  </w:num>
  <w:num w:numId="25">
    <w:abstractNumId w:val="20"/>
  </w:num>
  <w:num w:numId="26">
    <w:abstractNumId w:val="25"/>
  </w:num>
  <w:num w:numId="27">
    <w:abstractNumId w:val="1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yMze3MDExNbcwsjBV0lEKTi0uzszPAykwrAUAKR+uYSwAAAA="/>
  </w:docVars>
  <w:rsids>
    <w:rsidRoot w:val="00E378C5"/>
    <w:rsid w:val="0000609D"/>
    <w:rsid w:val="00030247"/>
    <w:rsid w:val="0003238A"/>
    <w:rsid w:val="00032637"/>
    <w:rsid w:val="0003420F"/>
    <w:rsid w:val="0005540C"/>
    <w:rsid w:val="00063016"/>
    <w:rsid w:val="00065E5F"/>
    <w:rsid w:val="000660A3"/>
    <w:rsid w:val="000668B2"/>
    <w:rsid w:val="00066DF5"/>
    <w:rsid w:val="00067C7C"/>
    <w:rsid w:val="0007694E"/>
    <w:rsid w:val="00076AF6"/>
    <w:rsid w:val="00082318"/>
    <w:rsid w:val="00083635"/>
    <w:rsid w:val="000854C6"/>
    <w:rsid w:val="00085CF2"/>
    <w:rsid w:val="000915E5"/>
    <w:rsid w:val="000930F2"/>
    <w:rsid w:val="00093186"/>
    <w:rsid w:val="000A3AE8"/>
    <w:rsid w:val="000A69A5"/>
    <w:rsid w:val="000B160A"/>
    <w:rsid w:val="000B1705"/>
    <w:rsid w:val="000B1FD8"/>
    <w:rsid w:val="000C0529"/>
    <w:rsid w:val="000C2903"/>
    <w:rsid w:val="000C2F74"/>
    <w:rsid w:val="000C37C9"/>
    <w:rsid w:val="000D7112"/>
    <w:rsid w:val="000D75B2"/>
    <w:rsid w:val="000E59AD"/>
    <w:rsid w:val="000E752D"/>
    <w:rsid w:val="000F1F57"/>
    <w:rsid w:val="000F41A7"/>
    <w:rsid w:val="001121F5"/>
    <w:rsid w:val="00121A83"/>
    <w:rsid w:val="00140CE1"/>
    <w:rsid w:val="00140F54"/>
    <w:rsid w:val="00142382"/>
    <w:rsid w:val="001434C1"/>
    <w:rsid w:val="00143690"/>
    <w:rsid w:val="00144165"/>
    <w:rsid w:val="0016020C"/>
    <w:rsid w:val="00171F42"/>
    <w:rsid w:val="00172EE6"/>
    <w:rsid w:val="0017539C"/>
    <w:rsid w:val="00175AC2"/>
    <w:rsid w:val="0017609F"/>
    <w:rsid w:val="00181527"/>
    <w:rsid w:val="00181554"/>
    <w:rsid w:val="001904A6"/>
    <w:rsid w:val="00190F23"/>
    <w:rsid w:val="00195328"/>
    <w:rsid w:val="001A3270"/>
    <w:rsid w:val="001A5E88"/>
    <w:rsid w:val="001B5251"/>
    <w:rsid w:val="001C628E"/>
    <w:rsid w:val="001E0F7B"/>
    <w:rsid w:val="001E2A51"/>
    <w:rsid w:val="001E3DD3"/>
    <w:rsid w:val="001E4DC5"/>
    <w:rsid w:val="001E716D"/>
    <w:rsid w:val="001F4FF7"/>
    <w:rsid w:val="001F6412"/>
    <w:rsid w:val="0020687F"/>
    <w:rsid w:val="002119FD"/>
    <w:rsid w:val="002130E0"/>
    <w:rsid w:val="00213431"/>
    <w:rsid w:val="00221C8F"/>
    <w:rsid w:val="002238C4"/>
    <w:rsid w:val="002509B2"/>
    <w:rsid w:val="0025471D"/>
    <w:rsid w:val="00256D0F"/>
    <w:rsid w:val="00257BDE"/>
    <w:rsid w:val="002606D7"/>
    <w:rsid w:val="00265875"/>
    <w:rsid w:val="002667C5"/>
    <w:rsid w:val="00271044"/>
    <w:rsid w:val="0027303B"/>
    <w:rsid w:val="0027704F"/>
    <w:rsid w:val="00277F3C"/>
    <w:rsid w:val="002805DB"/>
    <w:rsid w:val="0028109B"/>
    <w:rsid w:val="00283527"/>
    <w:rsid w:val="00293DE5"/>
    <w:rsid w:val="00295397"/>
    <w:rsid w:val="00295AE8"/>
    <w:rsid w:val="002A701B"/>
    <w:rsid w:val="002B1870"/>
    <w:rsid w:val="002B1F58"/>
    <w:rsid w:val="002C0603"/>
    <w:rsid w:val="002C1C7A"/>
    <w:rsid w:val="002C5285"/>
    <w:rsid w:val="002D1E7F"/>
    <w:rsid w:val="002D494F"/>
    <w:rsid w:val="002F138E"/>
    <w:rsid w:val="0030160F"/>
    <w:rsid w:val="0032195E"/>
    <w:rsid w:val="00322A99"/>
    <w:rsid w:val="00322D0D"/>
    <w:rsid w:val="00326D48"/>
    <w:rsid w:val="003323E2"/>
    <w:rsid w:val="0033276E"/>
    <w:rsid w:val="00337854"/>
    <w:rsid w:val="00337CE2"/>
    <w:rsid w:val="0034051A"/>
    <w:rsid w:val="003439CB"/>
    <w:rsid w:val="00363B5C"/>
    <w:rsid w:val="00364D79"/>
    <w:rsid w:val="003662CE"/>
    <w:rsid w:val="0036751D"/>
    <w:rsid w:val="003735DF"/>
    <w:rsid w:val="0037461E"/>
    <w:rsid w:val="003757EC"/>
    <w:rsid w:val="00375F3C"/>
    <w:rsid w:val="0038108D"/>
    <w:rsid w:val="00384DD6"/>
    <w:rsid w:val="0039110F"/>
    <w:rsid w:val="003914A7"/>
    <w:rsid w:val="003942D4"/>
    <w:rsid w:val="003958A8"/>
    <w:rsid w:val="003A71C2"/>
    <w:rsid w:val="003C0228"/>
    <w:rsid w:val="003C0DCB"/>
    <w:rsid w:val="003C0E3F"/>
    <w:rsid w:val="003C2533"/>
    <w:rsid w:val="003D15D8"/>
    <w:rsid w:val="003D6F32"/>
    <w:rsid w:val="003E10DE"/>
    <w:rsid w:val="003F225D"/>
    <w:rsid w:val="003F3E65"/>
    <w:rsid w:val="0040435A"/>
    <w:rsid w:val="00407B9C"/>
    <w:rsid w:val="00415736"/>
    <w:rsid w:val="00416A24"/>
    <w:rsid w:val="00416CA6"/>
    <w:rsid w:val="00431D9E"/>
    <w:rsid w:val="00433805"/>
    <w:rsid w:val="00433CE8"/>
    <w:rsid w:val="0043412A"/>
    <w:rsid w:val="00434145"/>
    <w:rsid w:val="00434A5C"/>
    <w:rsid w:val="00437504"/>
    <w:rsid w:val="004449F3"/>
    <w:rsid w:val="00445A93"/>
    <w:rsid w:val="004473BA"/>
    <w:rsid w:val="00451A5A"/>
    <w:rsid w:val="0045337A"/>
    <w:rsid w:val="004535DE"/>
    <w:rsid w:val="004544D9"/>
    <w:rsid w:val="004617B3"/>
    <w:rsid w:val="0046438A"/>
    <w:rsid w:val="004648CF"/>
    <w:rsid w:val="00466C07"/>
    <w:rsid w:val="00467C09"/>
    <w:rsid w:val="00473B4F"/>
    <w:rsid w:val="00475E96"/>
    <w:rsid w:val="00480571"/>
    <w:rsid w:val="004841B7"/>
    <w:rsid w:val="00484F0A"/>
    <w:rsid w:val="00490E72"/>
    <w:rsid w:val="00491C4E"/>
    <w:rsid w:val="004921C8"/>
    <w:rsid w:val="004931B4"/>
    <w:rsid w:val="0049335F"/>
    <w:rsid w:val="00497066"/>
    <w:rsid w:val="004977C7"/>
    <w:rsid w:val="004A29FF"/>
    <w:rsid w:val="004A45DD"/>
    <w:rsid w:val="004B5D1C"/>
    <w:rsid w:val="004D0B58"/>
    <w:rsid w:val="004D0C40"/>
    <w:rsid w:val="004D1851"/>
    <w:rsid w:val="004D5081"/>
    <w:rsid w:val="004D599D"/>
    <w:rsid w:val="004E2EA5"/>
    <w:rsid w:val="004E3AEB"/>
    <w:rsid w:val="004E4ED0"/>
    <w:rsid w:val="00500C7D"/>
    <w:rsid w:val="00501014"/>
    <w:rsid w:val="0050223C"/>
    <w:rsid w:val="005119E7"/>
    <w:rsid w:val="00522504"/>
    <w:rsid w:val="005243FF"/>
    <w:rsid w:val="00534240"/>
    <w:rsid w:val="00542AE7"/>
    <w:rsid w:val="00542BAB"/>
    <w:rsid w:val="00544CA6"/>
    <w:rsid w:val="005467AE"/>
    <w:rsid w:val="005471D2"/>
    <w:rsid w:val="00554443"/>
    <w:rsid w:val="00564FBC"/>
    <w:rsid w:val="00571372"/>
    <w:rsid w:val="0057569B"/>
    <w:rsid w:val="00581820"/>
    <w:rsid w:val="00582442"/>
    <w:rsid w:val="0058499C"/>
    <w:rsid w:val="00591917"/>
    <w:rsid w:val="00593888"/>
    <w:rsid w:val="005A3B8A"/>
    <w:rsid w:val="005B4351"/>
    <w:rsid w:val="005C37A0"/>
    <w:rsid w:val="005D32DC"/>
    <w:rsid w:val="005D6131"/>
    <w:rsid w:val="005F2D25"/>
    <w:rsid w:val="005F40A4"/>
    <w:rsid w:val="00605347"/>
    <w:rsid w:val="006535F1"/>
    <w:rsid w:val="00654BDF"/>
    <w:rsid w:val="0065557D"/>
    <w:rsid w:val="006605B1"/>
    <w:rsid w:val="00662313"/>
    <w:rsid w:val="00662984"/>
    <w:rsid w:val="00670AD1"/>
    <w:rsid w:val="006716BB"/>
    <w:rsid w:val="006771E7"/>
    <w:rsid w:val="006773EE"/>
    <w:rsid w:val="00690A26"/>
    <w:rsid w:val="006B2186"/>
    <w:rsid w:val="006B26EF"/>
    <w:rsid w:val="006B6DCC"/>
    <w:rsid w:val="006B7318"/>
    <w:rsid w:val="006C240F"/>
    <w:rsid w:val="006C6851"/>
    <w:rsid w:val="006D3B24"/>
    <w:rsid w:val="006D3B29"/>
    <w:rsid w:val="006F33B8"/>
    <w:rsid w:val="007077FC"/>
    <w:rsid w:val="00711EA7"/>
    <w:rsid w:val="0072564E"/>
    <w:rsid w:val="00733630"/>
    <w:rsid w:val="00733B71"/>
    <w:rsid w:val="00741793"/>
    <w:rsid w:val="007449B0"/>
    <w:rsid w:val="0075051B"/>
    <w:rsid w:val="0076025F"/>
    <w:rsid w:val="00763E73"/>
    <w:rsid w:val="007640E3"/>
    <w:rsid w:val="00764917"/>
    <w:rsid w:val="0076608D"/>
    <w:rsid w:val="00767209"/>
    <w:rsid w:val="0077359E"/>
    <w:rsid w:val="00777C2D"/>
    <w:rsid w:val="00782C0B"/>
    <w:rsid w:val="00785A8F"/>
    <w:rsid w:val="00790142"/>
    <w:rsid w:val="007901DA"/>
    <w:rsid w:val="00794D34"/>
    <w:rsid w:val="007A34B1"/>
    <w:rsid w:val="007B08E5"/>
    <w:rsid w:val="007C116C"/>
    <w:rsid w:val="007C2E8B"/>
    <w:rsid w:val="007D134F"/>
    <w:rsid w:val="007D7FD5"/>
    <w:rsid w:val="007E247C"/>
    <w:rsid w:val="007F025C"/>
    <w:rsid w:val="0080458D"/>
    <w:rsid w:val="008107E8"/>
    <w:rsid w:val="00813B11"/>
    <w:rsid w:val="00813E5E"/>
    <w:rsid w:val="0081547A"/>
    <w:rsid w:val="00820BAF"/>
    <w:rsid w:val="00820EF5"/>
    <w:rsid w:val="0082269F"/>
    <w:rsid w:val="008251CA"/>
    <w:rsid w:val="00827009"/>
    <w:rsid w:val="008349FC"/>
    <w:rsid w:val="0083581B"/>
    <w:rsid w:val="008479D9"/>
    <w:rsid w:val="00855BA7"/>
    <w:rsid w:val="00864AFF"/>
    <w:rsid w:val="008662BD"/>
    <w:rsid w:val="008870F3"/>
    <w:rsid w:val="008911FB"/>
    <w:rsid w:val="00893975"/>
    <w:rsid w:val="0089474C"/>
    <w:rsid w:val="008A16A8"/>
    <w:rsid w:val="008B4A6A"/>
    <w:rsid w:val="008B7EAF"/>
    <w:rsid w:val="008C7E27"/>
    <w:rsid w:val="008E3733"/>
    <w:rsid w:val="008E63CD"/>
    <w:rsid w:val="008F1108"/>
    <w:rsid w:val="008F3912"/>
    <w:rsid w:val="008F4880"/>
    <w:rsid w:val="00913102"/>
    <w:rsid w:val="00915A48"/>
    <w:rsid w:val="00917052"/>
    <w:rsid w:val="009173EF"/>
    <w:rsid w:val="00923A1B"/>
    <w:rsid w:val="00926B92"/>
    <w:rsid w:val="00932906"/>
    <w:rsid w:val="00933CC0"/>
    <w:rsid w:val="00935825"/>
    <w:rsid w:val="00944BC2"/>
    <w:rsid w:val="00950ADF"/>
    <w:rsid w:val="00961B0B"/>
    <w:rsid w:val="0097356A"/>
    <w:rsid w:val="00973FBC"/>
    <w:rsid w:val="00985E6A"/>
    <w:rsid w:val="00987D95"/>
    <w:rsid w:val="00996E42"/>
    <w:rsid w:val="009A3E15"/>
    <w:rsid w:val="009A4E24"/>
    <w:rsid w:val="009A56C8"/>
    <w:rsid w:val="009B38C3"/>
    <w:rsid w:val="009B659B"/>
    <w:rsid w:val="009C6A0F"/>
    <w:rsid w:val="009D629C"/>
    <w:rsid w:val="009E17BD"/>
    <w:rsid w:val="00A04CEC"/>
    <w:rsid w:val="00A160C2"/>
    <w:rsid w:val="00A27F92"/>
    <w:rsid w:val="00A30574"/>
    <w:rsid w:val="00A32257"/>
    <w:rsid w:val="00A36066"/>
    <w:rsid w:val="00A36D20"/>
    <w:rsid w:val="00A42457"/>
    <w:rsid w:val="00A42823"/>
    <w:rsid w:val="00A462B5"/>
    <w:rsid w:val="00A51B76"/>
    <w:rsid w:val="00A51EF3"/>
    <w:rsid w:val="00A54FD8"/>
    <w:rsid w:val="00A550D1"/>
    <w:rsid w:val="00A55622"/>
    <w:rsid w:val="00A56000"/>
    <w:rsid w:val="00A620DA"/>
    <w:rsid w:val="00A80F51"/>
    <w:rsid w:val="00A83502"/>
    <w:rsid w:val="00A94349"/>
    <w:rsid w:val="00A94EDC"/>
    <w:rsid w:val="00A966AC"/>
    <w:rsid w:val="00AA4C49"/>
    <w:rsid w:val="00AA511C"/>
    <w:rsid w:val="00AA65F3"/>
    <w:rsid w:val="00AB2815"/>
    <w:rsid w:val="00AB393C"/>
    <w:rsid w:val="00AB6ABA"/>
    <w:rsid w:val="00AC2DAA"/>
    <w:rsid w:val="00AC393D"/>
    <w:rsid w:val="00AC4AB2"/>
    <w:rsid w:val="00AD7B63"/>
    <w:rsid w:val="00AF6E49"/>
    <w:rsid w:val="00B00DE6"/>
    <w:rsid w:val="00B04A67"/>
    <w:rsid w:val="00B0583C"/>
    <w:rsid w:val="00B110A2"/>
    <w:rsid w:val="00B1480D"/>
    <w:rsid w:val="00B2035F"/>
    <w:rsid w:val="00B2180F"/>
    <w:rsid w:val="00B319D9"/>
    <w:rsid w:val="00B36E39"/>
    <w:rsid w:val="00B372C7"/>
    <w:rsid w:val="00B40A81"/>
    <w:rsid w:val="00B447F3"/>
    <w:rsid w:val="00B44910"/>
    <w:rsid w:val="00B47B8F"/>
    <w:rsid w:val="00B61544"/>
    <w:rsid w:val="00B71F52"/>
    <w:rsid w:val="00B72267"/>
    <w:rsid w:val="00B769F8"/>
    <w:rsid w:val="00B76EB6"/>
    <w:rsid w:val="00B824C8"/>
    <w:rsid w:val="00B83681"/>
    <w:rsid w:val="00B85905"/>
    <w:rsid w:val="00B96E41"/>
    <w:rsid w:val="00B97DAB"/>
    <w:rsid w:val="00BA74C0"/>
    <w:rsid w:val="00BB1653"/>
    <w:rsid w:val="00BC0583"/>
    <w:rsid w:val="00BC251A"/>
    <w:rsid w:val="00BD032B"/>
    <w:rsid w:val="00BD426A"/>
    <w:rsid w:val="00BD5F0B"/>
    <w:rsid w:val="00BD6810"/>
    <w:rsid w:val="00BD6C39"/>
    <w:rsid w:val="00BE2640"/>
    <w:rsid w:val="00BE30A1"/>
    <w:rsid w:val="00BF06EC"/>
    <w:rsid w:val="00BF27F0"/>
    <w:rsid w:val="00C01189"/>
    <w:rsid w:val="00C03DBE"/>
    <w:rsid w:val="00C10E06"/>
    <w:rsid w:val="00C11946"/>
    <w:rsid w:val="00C374DE"/>
    <w:rsid w:val="00C37D85"/>
    <w:rsid w:val="00C413A2"/>
    <w:rsid w:val="00C47AD4"/>
    <w:rsid w:val="00C52D81"/>
    <w:rsid w:val="00C55198"/>
    <w:rsid w:val="00C656CC"/>
    <w:rsid w:val="00C664FA"/>
    <w:rsid w:val="00C8040F"/>
    <w:rsid w:val="00C822C7"/>
    <w:rsid w:val="00C975ED"/>
    <w:rsid w:val="00CA6393"/>
    <w:rsid w:val="00CA75A2"/>
    <w:rsid w:val="00CB18FF"/>
    <w:rsid w:val="00CB5F63"/>
    <w:rsid w:val="00CC5EF0"/>
    <w:rsid w:val="00CD0C08"/>
    <w:rsid w:val="00CE03A4"/>
    <w:rsid w:val="00CE03FB"/>
    <w:rsid w:val="00CE433C"/>
    <w:rsid w:val="00CE5FC1"/>
    <w:rsid w:val="00CF0ACB"/>
    <w:rsid w:val="00CF33A4"/>
    <w:rsid w:val="00CF33F3"/>
    <w:rsid w:val="00D00FA2"/>
    <w:rsid w:val="00D0338D"/>
    <w:rsid w:val="00D06183"/>
    <w:rsid w:val="00D22C42"/>
    <w:rsid w:val="00D27345"/>
    <w:rsid w:val="00D32557"/>
    <w:rsid w:val="00D3608E"/>
    <w:rsid w:val="00D404E6"/>
    <w:rsid w:val="00D65041"/>
    <w:rsid w:val="00D65EC8"/>
    <w:rsid w:val="00D84B5D"/>
    <w:rsid w:val="00D856CB"/>
    <w:rsid w:val="00D9148E"/>
    <w:rsid w:val="00D93916"/>
    <w:rsid w:val="00D945E6"/>
    <w:rsid w:val="00D9644E"/>
    <w:rsid w:val="00D9666F"/>
    <w:rsid w:val="00DA42DD"/>
    <w:rsid w:val="00DA51F3"/>
    <w:rsid w:val="00DE2B20"/>
    <w:rsid w:val="00DF0F5D"/>
    <w:rsid w:val="00E00F7D"/>
    <w:rsid w:val="00E05E37"/>
    <w:rsid w:val="00E07B16"/>
    <w:rsid w:val="00E10E80"/>
    <w:rsid w:val="00E124F0"/>
    <w:rsid w:val="00E378C5"/>
    <w:rsid w:val="00E51741"/>
    <w:rsid w:val="00E60F04"/>
    <w:rsid w:val="00E71363"/>
    <w:rsid w:val="00E805FF"/>
    <w:rsid w:val="00E8113B"/>
    <w:rsid w:val="00E814AB"/>
    <w:rsid w:val="00E9013A"/>
    <w:rsid w:val="00EA48F9"/>
    <w:rsid w:val="00EB0D6F"/>
    <w:rsid w:val="00EB2232"/>
    <w:rsid w:val="00EB52A2"/>
    <w:rsid w:val="00EC1A42"/>
    <w:rsid w:val="00EC5337"/>
    <w:rsid w:val="00EC7027"/>
    <w:rsid w:val="00EC7909"/>
    <w:rsid w:val="00EE2A3B"/>
    <w:rsid w:val="00EF1066"/>
    <w:rsid w:val="00F0294C"/>
    <w:rsid w:val="00F105B0"/>
    <w:rsid w:val="00F2150A"/>
    <w:rsid w:val="00F231D8"/>
    <w:rsid w:val="00F30409"/>
    <w:rsid w:val="00F307F4"/>
    <w:rsid w:val="00F44ED7"/>
    <w:rsid w:val="00F46C5F"/>
    <w:rsid w:val="00F54A63"/>
    <w:rsid w:val="00F56D59"/>
    <w:rsid w:val="00F6785D"/>
    <w:rsid w:val="00F70098"/>
    <w:rsid w:val="00F8235B"/>
    <w:rsid w:val="00F856EC"/>
    <w:rsid w:val="00F86970"/>
    <w:rsid w:val="00F87130"/>
    <w:rsid w:val="00F92B38"/>
    <w:rsid w:val="00F94A63"/>
    <w:rsid w:val="00F96CA1"/>
    <w:rsid w:val="00FA0796"/>
    <w:rsid w:val="00FB7596"/>
    <w:rsid w:val="00FB7892"/>
    <w:rsid w:val="00FC08D9"/>
    <w:rsid w:val="00FD0EDB"/>
    <w:rsid w:val="00FD60B3"/>
    <w:rsid w:val="00FE1048"/>
    <w:rsid w:val="00FE4077"/>
    <w:rsid w:val="00FE77D2"/>
    <w:rsid w:val="00FF1A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F79E142"/>
  <w15:docId w15:val="{7E68A750-2D85-4C8E-A17E-AAD520EB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318"/>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qFormat/>
    <w:rsid w:val="00EE2A3B"/>
    <w:pPr>
      <w:keepNext/>
      <w:keepLines/>
      <w:numPr>
        <w:numId w:val="8"/>
      </w:numPr>
      <w:spacing w:before="480"/>
      <w:outlineLvl w:val="0"/>
    </w:pPr>
    <w:rPr>
      <w:b/>
      <w:sz w:val="28"/>
    </w:rPr>
  </w:style>
  <w:style w:type="paragraph" w:styleId="Heading2">
    <w:name w:val="heading 2"/>
    <w:basedOn w:val="Heading1"/>
    <w:next w:val="Normal"/>
    <w:qFormat/>
    <w:rsid w:val="00EE2A3B"/>
    <w:pPr>
      <w:numPr>
        <w:ilvl w:val="1"/>
      </w:numPr>
      <w:spacing w:before="320"/>
      <w:outlineLvl w:val="1"/>
    </w:pPr>
    <w:rPr>
      <w:sz w:val="24"/>
    </w:rPr>
  </w:style>
  <w:style w:type="paragraph" w:styleId="Heading3">
    <w:name w:val="heading 3"/>
    <w:basedOn w:val="Heading1"/>
    <w:next w:val="Normal"/>
    <w:qFormat/>
    <w:rsid w:val="00EE2A3B"/>
    <w:pPr>
      <w:numPr>
        <w:ilvl w:val="2"/>
      </w:numPr>
      <w:spacing w:before="200"/>
      <w:outlineLvl w:val="2"/>
    </w:pPr>
    <w:rPr>
      <w:sz w:val="24"/>
    </w:rPr>
  </w:style>
  <w:style w:type="paragraph" w:styleId="Heading4">
    <w:name w:val="heading 4"/>
    <w:basedOn w:val="Heading3"/>
    <w:next w:val="Normal"/>
    <w:qFormat/>
    <w:rsid w:val="00EE2A3B"/>
    <w:pPr>
      <w:numPr>
        <w:ilvl w:val="3"/>
      </w:numPr>
      <w:outlineLvl w:val="3"/>
    </w:pPr>
  </w:style>
  <w:style w:type="paragraph" w:styleId="Heading5">
    <w:name w:val="heading 5"/>
    <w:basedOn w:val="Heading4"/>
    <w:next w:val="Normal"/>
    <w:qFormat/>
    <w:rsid w:val="00EE2A3B"/>
    <w:pPr>
      <w:numPr>
        <w:ilvl w:val="4"/>
      </w:numPr>
      <w:outlineLvl w:val="4"/>
    </w:pPr>
  </w:style>
  <w:style w:type="paragraph" w:styleId="Heading6">
    <w:name w:val="heading 6"/>
    <w:basedOn w:val="Heading4"/>
    <w:next w:val="Normal"/>
    <w:qFormat/>
    <w:rsid w:val="00EE2A3B"/>
    <w:pPr>
      <w:numPr>
        <w:ilvl w:val="5"/>
      </w:numPr>
      <w:outlineLvl w:val="5"/>
    </w:pPr>
  </w:style>
  <w:style w:type="paragraph" w:styleId="Heading7">
    <w:name w:val="heading 7"/>
    <w:basedOn w:val="Heading4"/>
    <w:next w:val="Normal"/>
    <w:qFormat/>
    <w:rsid w:val="00EE2A3B"/>
    <w:pPr>
      <w:numPr>
        <w:ilvl w:val="6"/>
      </w:numPr>
      <w:outlineLvl w:val="6"/>
    </w:pPr>
  </w:style>
  <w:style w:type="paragraph" w:styleId="Heading8">
    <w:name w:val="heading 8"/>
    <w:basedOn w:val="Heading4"/>
    <w:next w:val="Normal"/>
    <w:qFormat/>
    <w:rsid w:val="00EE2A3B"/>
    <w:pPr>
      <w:numPr>
        <w:ilvl w:val="7"/>
      </w:numPr>
      <w:outlineLvl w:val="7"/>
    </w:pPr>
  </w:style>
  <w:style w:type="paragraph" w:styleId="Heading9">
    <w:name w:val="heading 9"/>
    <w:basedOn w:val="Heading4"/>
    <w:next w:val="Normal"/>
    <w:qFormat/>
    <w:rsid w:val="00EE2A3B"/>
    <w:pPr>
      <w:numPr>
        <w:ilvl w:val="8"/>
      </w:numPr>
      <w:outlineLvl w:val="8"/>
    </w:pPr>
  </w:style>
  <w:style w:type="character" w:default="1" w:styleId="DefaultParagraphFont">
    <w:name w:val="Default Paragraph Font"/>
    <w:uiPriority w:val="1"/>
    <w:semiHidden/>
    <w:unhideWhenUsed/>
    <w:rsid w:val="0008231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82318"/>
  </w:style>
  <w:style w:type="paragraph" w:styleId="TOC8">
    <w:name w:val="toc 8"/>
    <w:basedOn w:val="Normal"/>
    <w:next w:val="Normal"/>
    <w:rsid w:val="00EE2A3B"/>
    <w:pPr>
      <w:tabs>
        <w:tab w:val="left" w:pos="964"/>
        <w:tab w:val="left" w:leader="dot" w:pos="8789"/>
        <w:tab w:val="right" w:pos="9639"/>
      </w:tabs>
      <w:ind w:left="964" w:hanging="964"/>
    </w:pPr>
  </w:style>
  <w:style w:type="paragraph" w:styleId="TOC4">
    <w:name w:val="toc 4"/>
    <w:basedOn w:val="Normal"/>
    <w:next w:val="Normal"/>
    <w:rsid w:val="00EE2A3B"/>
    <w:pPr>
      <w:tabs>
        <w:tab w:val="left" w:pos="964"/>
        <w:tab w:val="left" w:pos="8789"/>
        <w:tab w:val="right" w:pos="9639"/>
      </w:tabs>
      <w:ind w:left="964" w:hanging="964"/>
    </w:pPr>
  </w:style>
  <w:style w:type="paragraph" w:styleId="TOC3">
    <w:name w:val="toc 3"/>
    <w:basedOn w:val="Normal"/>
    <w:next w:val="Normal"/>
    <w:rsid w:val="00EE2A3B"/>
    <w:pPr>
      <w:tabs>
        <w:tab w:val="left" w:pos="964"/>
        <w:tab w:val="left" w:leader="dot" w:pos="8789"/>
        <w:tab w:val="right" w:pos="9639"/>
      </w:tabs>
      <w:ind w:left="964" w:hanging="964"/>
    </w:pPr>
  </w:style>
  <w:style w:type="paragraph" w:styleId="TOC2">
    <w:name w:val="toc 2"/>
    <w:basedOn w:val="Normal"/>
    <w:next w:val="Normal"/>
    <w:rsid w:val="00EE2A3B"/>
    <w:pPr>
      <w:tabs>
        <w:tab w:val="left" w:pos="964"/>
        <w:tab w:val="left" w:leader="dot" w:pos="8789"/>
        <w:tab w:val="right" w:pos="9639"/>
      </w:tabs>
      <w:ind w:left="964" w:hanging="964"/>
    </w:pPr>
  </w:style>
  <w:style w:type="paragraph" w:styleId="TOC1">
    <w:name w:val="toc 1"/>
    <w:basedOn w:val="Normal"/>
    <w:rsid w:val="00EE2A3B"/>
    <w:pPr>
      <w:tabs>
        <w:tab w:val="left" w:pos="964"/>
        <w:tab w:val="left" w:leader="dot" w:pos="8789"/>
        <w:tab w:val="right" w:pos="9639"/>
      </w:tabs>
      <w:spacing w:before="240"/>
      <w:ind w:left="964" w:hanging="964"/>
    </w:pPr>
  </w:style>
  <w:style w:type="paragraph" w:styleId="TOC7">
    <w:name w:val="toc 7"/>
    <w:basedOn w:val="Normal"/>
    <w:next w:val="Normal"/>
    <w:rsid w:val="00EE2A3B"/>
    <w:pPr>
      <w:tabs>
        <w:tab w:val="left" w:pos="964"/>
        <w:tab w:val="left" w:leader="dot" w:pos="8789"/>
        <w:tab w:val="right" w:pos="9639"/>
      </w:tabs>
      <w:ind w:left="964" w:hanging="964"/>
    </w:pPr>
  </w:style>
  <w:style w:type="paragraph" w:styleId="TOC6">
    <w:name w:val="toc 6"/>
    <w:basedOn w:val="Normal"/>
    <w:next w:val="Normal"/>
    <w:rsid w:val="00EE2A3B"/>
    <w:pPr>
      <w:tabs>
        <w:tab w:val="left" w:pos="964"/>
        <w:tab w:val="left" w:leader="dot" w:pos="8789"/>
        <w:tab w:val="right" w:pos="9639"/>
      </w:tabs>
      <w:ind w:left="964" w:hanging="964"/>
    </w:pPr>
  </w:style>
  <w:style w:type="paragraph" w:styleId="TOC5">
    <w:name w:val="toc 5"/>
    <w:basedOn w:val="Normal"/>
    <w:next w:val="Normal"/>
    <w:rsid w:val="00EE2A3B"/>
    <w:pPr>
      <w:tabs>
        <w:tab w:val="left" w:pos="964"/>
        <w:tab w:val="left" w:leader="dot" w:pos="8789"/>
        <w:tab w:val="right" w:pos="9639"/>
      </w:tabs>
      <w:ind w:left="964" w:hanging="964"/>
    </w:pPr>
  </w:style>
  <w:style w:type="paragraph" w:styleId="Index7">
    <w:name w:val="index 7"/>
    <w:basedOn w:val="Normal"/>
    <w:next w:val="Normal"/>
    <w:rsid w:val="00EE2A3B"/>
    <w:pPr>
      <w:ind w:left="1698"/>
    </w:pPr>
  </w:style>
  <w:style w:type="paragraph" w:styleId="Index6">
    <w:name w:val="index 6"/>
    <w:basedOn w:val="Normal"/>
    <w:next w:val="Normal"/>
    <w:rsid w:val="00EE2A3B"/>
    <w:pPr>
      <w:ind w:left="1415"/>
    </w:pPr>
  </w:style>
  <w:style w:type="paragraph" w:styleId="Index5">
    <w:name w:val="index 5"/>
    <w:basedOn w:val="Normal"/>
    <w:next w:val="Normal"/>
    <w:rsid w:val="00EE2A3B"/>
    <w:pPr>
      <w:ind w:left="1132"/>
    </w:pPr>
  </w:style>
  <w:style w:type="paragraph" w:styleId="Index4">
    <w:name w:val="index 4"/>
    <w:basedOn w:val="Normal"/>
    <w:next w:val="Normal"/>
    <w:rsid w:val="00EE2A3B"/>
    <w:pPr>
      <w:ind w:left="849"/>
    </w:pPr>
  </w:style>
  <w:style w:type="paragraph" w:styleId="Index3">
    <w:name w:val="index 3"/>
    <w:basedOn w:val="Normal"/>
    <w:next w:val="Normal"/>
    <w:rsid w:val="00EE2A3B"/>
    <w:pPr>
      <w:ind w:left="566"/>
    </w:pPr>
  </w:style>
  <w:style w:type="paragraph" w:styleId="Index2">
    <w:name w:val="index 2"/>
    <w:basedOn w:val="Normal"/>
    <w:next w:val="Normal"/>
    <w:rsid w:val="00EE2A3B"/>
    <w:pPr>
      <w:ind w:left="283"/>
    </w:pPr>
  </w:style>
  <w:style w:type="paragraph" w:styleId="Index1">
    <w:name w:val="index 1"/>
    <w:basedOn w:val="Normal"/>
    <w:next w:val="Normal"/>
    <w:rsid w:val="00EE2A3B"/>
  </w:style>
  <w:style w:type="character" w:styleId="LineNumber">
    <w:name w:val="line number"/>
    <w:basedOn w:val="DefaultParagraphFont"/>
    <w:rsid w:val="00EE2A3B"/>
  </w:style>
  <w:style w:type="paragraph" w:styleId="IndexHeading">
    <w:name w:val="index heading"/>
    <w:basedOn w:val="Normal"/>
    <w:next w:val="Index1"/>
    <w:rsid w:val="00EE2A3B"/>
  </w:style>
  <w:style w:type="paragraph" w:styleId="Footer">
    <w:name w:val="footer"/>
    <w:basedOn w:val="Normal"/>
    <w:rsid w:val="00EE2A3B"/>
    <w:pPr>
      <w:tabs>
        <w:tab w:val="left" w:pos="5954"/>
        <w:tab w:val="right" w:pos="9639"/>
      </w:tabs>
    </w:pPr>
    <w:rPr>
      <w:caps/>
      <w:noProof/>
      <w:sz w:val="16"/>
    </w:rPr>
  </w:style>
  <w:style w:type="paragraph" w:styleId="Header">
    <w:name w:val="header"/>
    <w:basedOn w:val="Normal"/>
    <w:rsid w:val="00EE2A3B"/>
    <w:pPr>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EE2A3B"/>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EE2A3B"/>
    <w:pPr>
      <w:keepLines/>
      <w:tabs>
        <w:tab w:val="left" w:pos="256"/>
      </w:tabs>
      <w:ind w:left="256" w:hanging="256"/>
    </w:pPr>
  </w:style>
  <w:style w:type="paragraph" w:styleId="NormalIndent">
    <w:name w:val="Normal Indent"/>
    <w:basedOn w:val="Normal"/>
    <w:rsid w:val="00EE2A3B"/>
    <w:pPr>
      <w:ind w:left="567"/>
    </w:pPr>
  </w:style>
  <w:style w:type="paragraph" w:customStyle="1" w:styleId="enumlev1">
    <w:name w:val="enumlev1"/>
    <w:basedOn w:val="Normal"/>
    <w:link w:val="enumlev1Char"/>
    <w:qFormat/>
    <w:rsid w:val="00EE2A3B"/>
    <w:pPr>
      <w:spacing w:before="86"/>
      <w:ind w:left="567" w:hanging="567"/>
    </w:pPr>
  </w:style>
  <w:style w:type="paragraph" w:customStyle="1" w:styleId="enumlev2">
    <w:name w:val="enumlev2"/>
    <w:basedOn w:val="enumlev1"/>
    <w:rsid w:val="00EE2A3B"/>
    <w:pPr>
      <w:ind w:left="1134"/>
    </w:pPr>
  </w:style>
  <w:style w:type="paragraph" w:customStyle="1" w:styleId="enumlev3">
    <w:name w:val="enumlev3"/>
    <w:basedOn w:val="enumlev2"/>
    <w:rsid w:val="00EE2A3B"/>
    <w:pPr>
      <w:ind w:left="1701"/>
    </w:pPr>
  </w:style>
  <w:style w:type="paragraph" w:customStyle="1" w:styleId="Normalaftertitle">
    <w:name w:val="Normal after title"/>
    <w:basedOn w:val="Normal"/>
    <w:next w:val="Normal"/>
    <w:link w:val="NormalaftertitleChar"/>
    <w:rsid w:val="00EE2A3B"/>
    <w:pPr>
      <w:spacing w:before="240"/>
    </w:pPr>
  </w:style>
  <w:style w:type="paragraph" w:customStyle="1" w:styleId="Equation">
    <w:name w:val="Equation"/>
    <w:basedOn w:val="Normal"/>
    <w:rsid w:val="00EE2A3B"/>
    <w:pPr>
      <w:tabs>
        <w:tab w:val="center" w:pos="4820"/>
        <w:tab w:val="right" w:pos="9639"/>
      </w:tabs>
    </w:pPr>
  </w:style>
  <w:style w:type="paragraph" w:customStyle="1" w:styleId="Head">
    <w:name w:val="Head"/>
    <w:basedOn w:val="Normal"/>
    <w:rsid w:val="00EE2A3B"/>
    <w:pPr>
      <w:tabs>
        <w:tab w:val="left" w:pos="6663"/>
      </w:tabs>
    </w:pPr>
  </w:style>
  <w:style w:type="paragraph" w:customStyle="1" w:styleId="toc0">
    <w:name w:val="toc 0"/>
    <w:basedOn w:val="Normal"/>
    <w:next w:val="TOC1"/>
    <w:rsid w:val="00EE2A3B"/>
    <w:pPr>
      <w:tabs>
        <w:tab w:val="right" w:pos="9781"/>
      </w:tabs>
    </w:pPr>
    <w:rPr>
      <w:b/>
    </w:rPr>
  </w:style>
  <w:style w:type="paragraph" w:styleId="List">
    <w:name w:val="List"/>
    <w:basedOn w:val="Normal"/>
    <w:rsid w:val="00EE2A3B"/>
    <w:pPr>
      <w:tabs>
        <w:tab w:val="left" w:pos="2127"/>
      </w:tabs>
      <w:ind w:left="2127" w:hanging="2127"/>
    </w:pPr>
  </w:style>
  <w:style w:type="paragraph" w:customStyle="1" w:styleId="Part">
    <w:name w:val="Part"/>
    <w:basedOn w:val="Normal"/>
    <w:next w:val="Normal"/>
    <w:rsid w:val="00EE2A3B"/>
    <w:pPr>
      <w:spacing w:before="600"/>
      <w:jc w:val="center"/>
    </w:pPr>
    <w:rPr>
      <w:caps/>
      <w:sz w:val="28"/>
    </w:rPr>
  </w:style>
  <w:style w:type="paragraph" w:customStyle="1" w:styleId="docnoted">
    <w:name w:val="docnoted"/>
    <w:basedOn w:val="Normal"/>
    <w:next w:val="Head"/>
    <w:rsid w:val="00EE2A3B"/>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25471D"/>
    <w:pPr>
      <w:spacing w:before="480" w:after="0"/>
      <w:jc w:val="center"/>
    </w:pPr>
    <w:rPr>
      <w:b/>
      <w:sz w:val="28"/>
    </w:rPr>
  </w:style>
  <w:style w:type="paragraph" w:customStyle="1" w:styleId="meeting">
    <w:name w:val="meeting"/>
    <w:basedOn w:val="Head"/>
    <w:next w:val="Head"/>
    <w:rsid w:val="00EE2A3B"/>
    <w:pPr>
      <w:tabs>
        <w:tab w:val="left" w:pos="7371"/>
      </w:tabs>
      <w:spacing w:after="567"/>
    </w:pPr>
  </w:style>
  <w:style w:type="paragraph" w:customStyle="1" w:styleId="Subject">
    <w:name w:val="Subject"/>
    <w:basedOn w:val="Normal"/>
    <w:next w:val="Source"/>
    <w:rsid w:val="00EE2A3B"/>
    <w:pPr>
      <w:ind w:left="1134" w:hanging="1134"/>
    </w:pPr>
  </w:style>
  <w:style w:type="paragraph" w:customStyle="1" w:styleId="Object">
    <w:name w:val="Object"/>
    <w:basedOn w:val="Subject"/>
    <w:next w:val="Subject"/>
    <w:rsid w:val="00EE2A3B"/>
  </w:style>
  <w:style w:type="paragraph" w:customStyle="1" w:styleId="Data">
    <w:name w:val="Data"/>
    <w:basedOn w:val="Subject"/>
    <w:next w:val="Subject"/>
    <w:rsid w:val="00EE2A3B"/>
  </w:style>
  <w:style w:type="paragraph" w:customStyle="1" w:styleId="Reasons">
    <w:name w:val="Reasons"/>
    <w:basedOn w:val="Normal"/>
    <w:rsid w:val="00EE2A3B"/>
  </w:style>
  <w:style w:type="character" w:styleId="Hyperlink">
    <w:name w:val="Hyperlink"/>
    <w:basedOn w:val="DefaultParagraphFont"/>
    <w:rsid w:val="00EE2A3B"/>
    <w:rPr>
      <w:color w:val="0000FF"/>
      <w:u w:val="single"/>
    </w:rPr>
  </w:style>
  <w:style w:type="paragraph" w:customStyle="1" w:styleId="FirstFooter">
    <w:name w:val="FirstFooter"/>
    <w:basedOn w:val="Footer"/>
    <w:rsid w:val="00EE2A3B"/>
    <w:rPr>
      <w:caps w:val="0"/>
    </w:rPr>
  </w:style>
  <w:style w:type="paragraph" w:customStyle="1" w:styleId="Note">
    <w:name w:val="Note"/>
    <w:basedOn w:val="Normal"/>
    <w:rsid w:val="00EE2A3B"/>
    <w:pPr>
      <w:tabs>
        <w:tab w:val="left" w:pos="851"/>
      </w:tabs>
    </w:pPr>
  </w:style>
  <w:style w:type="paragraph" w:styleId="TOC9">
    <w:name w:val="toc 9"/>
    <w:basedOn w:val="TOC4"/>
    <w:rsid w:val="00EE2A3B"/>
  </w:style>
  <w:style w:type="paragraph" w:customStyle="1" w:styleId="Headingb">
    <w:name w:val="Heading_b"/>
    <w:basedOn w:val="Heading3"/>
    <w:next w:val="Normal"/>
    <w:rsid w:val="00EE2A3B"/>
    <w:pPr>
      <w:spacing w:before="160"/>
      <w:outlineLvl w:val="0"/>
    </w:pPr>
  </w:style>
  <w:style w:type="character" w:styleId="FollowedHyperlink">
    <w:name w:val="FollowedHyperlink"/>
    <w:basedOn w:val="DefaultParagraphFont"/>
    <w:rsid w:val="00EE2A3B"/>
    <w:rPr>
      <w:color w:val="800080"/>
      <w:u w:val="single"/>
    </w:rPr>
  </w:style>
  <w:style w:type="paragraph" w:customStyle="1" w:styleId="Title1">
    <w:name w:val="Title 1"/>
    <w:basedOn w:val="Source"/>
    <w:next w:val="Title2"/>
    <w:rsid w:val="00EE2A3B"/>
    <w:pPr>
      <w:spacing w:before="240"/>
    </w:pPr>
    <w:rPr>
      <w:b w:val="0"/>
      <w:caps/>
    </w:rPr>
  </w:style>
  <w:style w:type="paragraph" w:customStyle="1" w:styleId="Title2">
    <w:name w:val="Title 2"/>
    <w:basedOn w:val="Source"/>
    <w:next w:val="Title3"/>
    <w:rsid w:val="00EE2A3B"/>
    <w:pPr>
      <w:spacing w:before="240"/>
    </w:pPr>
    <w:rPr>
      <w:b w:val="0"/>
      <w:caps/>
    </w:rPr>
  </w:style>
  <w:style w:type="paragraph" w:customStyle="1" w:styleId="Title3">
    <w:name w:val="Title 3"/>
    <w:basedOn w:val="Title2"/>
    <w:next w:val="Normalaftertitle"/>
    <w:rsid w:val="00EE2A3B"/>
    <w:rPr>
      <w:caps w:val="0"/>
    </w:rPr>
  </w:style>
  <w:style w:type="paragraph" w:customStyle="1" w:styleId="Title4">
    <w:name w:val="Title 4"/>
    <w:basedOn w:val="Title3"/>
    <w:next w:val="Heading1"/>
    <w:rsid w:val="00EE2A3B"/>
    <w:rPr>
      <w:b/>
    </w:rPr>
  </w:style>
  <w:style w:type="paragraph" w:customStyle="1" w:styleId="dnum">
    <w:name w:val="dnum"/>
    <w:basedOn w:val="Normal"/>
    <w:rsid w:val="00EE2A3B"/>
    <w:pPr>
      <w:framePr w:hSpace="181" w:wrap="around" w:vAnchor="page" w:hAnchor="margin" w:y="852"/>
      <w:shd w:val="solid" w:color="FFFFFF" w:fill="FFFFFF"/>
      <w:tabs>
        <w:tab w:val="left" w:pos="1871"/>
      </w:tabs>
    </w:pPr>
    <w:rPr>
      <w:b/>
      <w:bCs/>
    </w:rPr>
  </w:style>
  <w:style w:type="paragraph" w:customStyle="1" w:styleId="ddate">
    <w:name w:val="ddate"/>
    <w:basedOn w:val="Normal"/>
    <w:rsid w:val="00EE2A3B"/>
    <w:pPr>
      <w:framePr w:hSpace="181" w:wrap="around" w:vAnchor="page" w:hAnchor="margin" w:y="852"/>
      <w:shd w:val="solid" w:color="FFFFFF" w:fill="FFFFFF"/>
      <w:tabs>
        <w:tab w:val="left" w:pos="1871"/>
      </w:tabs>
    </w:pPr>
    <w:rPr>
      <w:b/>
      <w:bCs/>
    </w:rPr>
  </w:style>
  <w:style w:type="paragraph" w:customStyle="1" w:styleId="dorlang">
    <w:name w:val="dorlang"/>
    <w:basedOn w:val="Normal"/>
    <w:rsid w:val="00EE2A3B"/>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link w:val="AnnexNoChar"/>
    <w:rsid w:val="00EE2A3B"/>
    <w:pPr>
      <w:spacing w:before="720"/>
      <w:jc w:val="center"/>
    </w:pPr>
    <w:rPr>
      <w:caps/>
      <w:sz w:val="28"/>
    </w:rPr>
  </w:style>
  <w:style w:type="paragraph" w:customStyle="1" w:styleId="Annextitle">
    <w:name w:val="Annex_title"/>
    <w:basedOn w:val="Normal"/>
    <w:next w:val="Normal"/>
    <w:link w:val="AnnextitleChar"/>
    <w:rsid w:val="00EE2A3B"/>
    <w:pPr>
      <w:spacing w:before="240" w:after="240"/>
      <w:jc w:val="center"/>
    </w:pPr>
    <w:rPr>
      <w:b/>
      <w:sz w:val="28"/>
    </w:rPr>
  </w:style>
  <w:style w:type="paragraph" w:customStyle="1" w:styleId="Annexref">
    <w:name w:val="Annex_ref"/>
    <w:basedOn w:val="Normal"/>
    <w:next w:val="Annextitle"/>
    <w:rsid w:val="00EE2A3B"/>
    <w:pPr>
      <w:jc w:val="center"/>
    </w:pPr>
  </w:style>
  <w:style w:type="paragraph" w:customStyle="1" w:styleId="AppendixNo">
    <w:name w:val="Appendix_No"/>
    <w:basedOn w:val="AnnexNo"/>
    <w:next w:val="Appendixref"/>
    <w:rsid w:val="00EE2A3B"/>
  </w:style>
  <w:style w:type="paragraph" w:customStyle="1" w:styleId="Appendixtitle">
    <w:name w:val="Appendix_title"/>
    <w:basedOn w:val="Annextitle"/>
    <w:next w:val="Normal"/>
    <w:rsid w:val="00EE2A3B"/>
  </w:style>
  <w:style w:type="paragraph" w:customStyle="1" w:styleId="Appendixref">
    <w:name w:val="Appendix_ref"/>
    <w:basedOn w:val="Annexref"/>
    <w:next w:val="Appendixtitle"/>
    <w:rsid w:val="00EE2A3B"/>
  </w:style>
  <w:style w:type="paragraph" w:customStyle="1" w:styleId="Call">
    <w:name w:val="Call"/>
    <w:basedOn w:val="Normal"/>
    <w:next w:val="Normal"/>
    <w:link w:val="CallChar"/>
    <w:rsid w:val="00EE2A3B"/>
    <w:pPr>
      <w:keepNext/>
      <w:keepLines/>
      <w:spacing w:before="160"/>
      <w:ind w:left="567"/>
    </w:pPr>
    <w:rPr>
      <w:i/>
    </w:rPr>
  </w:style>
  <w:style w:type="character" w:styleId="EndnoteReference">
    <w:name w:val="endnote reference"/>
    <w:basedOn w:val="DefaultParagraphFont"/>
    <w:rsid w:val="00EE2A3B"/>
    <w:rPr>
      <w:vertAlign w:val="superscript"/>
    </w:rPr>
  </w:style>
  <w:style w:type="paragraph" w:customStyle="1" w:styleId="Equationlegend">
    <w:name w:val="Equation_legend"/>
    <w:basedOn w:val="Normal"/>
    <w:rsid w:val="00EE2A3B"/>
    <w:pPr>
      <w:tabs>
        <w:tab w:val="right" w:pos="1531"/>
      </w:tabs>
      <w:spacing w:before="80"/>
      <w:ind w:left="1701" w:hanging="1701"/>
    </w:pPr>
  </w:style>
  <w:style w:type="paragraph" w:customStyle="1" w:styleId="Figure">
    <w:name w:val="Figure"/>
    <w:basedOn w:val="Normal"/>
    <w:next w:val="Figuretitle"/>
    <w:rsid w:val="00EE2A3B"/>
    <w:pPr>
      <w:keepNext/>
      <w:keepLines/>
      <w:spacing w:after="120"/>
      <w:jc w:val="center"/>
    </w:pPr>
  </w:style>
  <w:style w:type="paragraph" w:customStyle="1" w:styleId="Figuretitle">
    <w:name w:val="Figure_title"/>
    <w:basedOn w:val="Tabletitle"/>
    <w:next w:val="Normalaftertitle"/>
    <w:rsid w:val="00EE2A3B"/>
    <w:pPr>
      <w:spacing w:before="240" w:after="480"/>
    </w:pPr>
  </w:style>
  <w:style w:type="paragraph" w:customStyle="1" w:styleId="Tabletitle">
    <w:name w:val="Table_title"/>
    <w:basedOn w:val="TableNo"/>
    <w:next w:val="Tabletext"/>
    <w:rsid w:val="00EE2A3B"/>
    <w:pPr>
      <w:tabs>
        <w:tab w:val="left" w:pos="2948"/>
        <w:tab w:val="left" w:pos="4082"/>
      </w:tabs>
      <w:spacing w:before="0"/>
    </w:pPr>
    <w:rPr>
      <w:b/>
      <w:caps w:val="0"/>
    </w:rPr>
  </w:style>
  <w:style w:type="paragraph" w:customStyle="1" w:styleId="TableNo">
    <w:name w:val="Table_No"/>
    <w:basedOn w:val="Normal"/>
    <w:next w:val="Tabletitle"/>
    <w:rsid w:val="00EE2A3B"/>
    <w:pPr>
      <w:keepNext/>
      <w:spacing w:before="560" w:after="120"/>
      <w:jc w:val="center"/>
    </w:pPr>
    <w:rPr>
      <w:caps/>
    </w:rPr>
  </w:style>
  <w:style w:type="paragraph" w:customStyle="1" w:styleId="Tabletext">
    <w:name w:val="Table_text"/>
    <w:basedOn w:val="Normal"/>
    <w:rsid w:val="00EE2A3B"/>
    <w:pPr>
      <w:spacing w:before="60" w:after="60"/>
    </w:pPr>
  </w:style>
  <w:style w:type="paragraph" w:customStyle="1" w:styleId="Figurelegend">
    <w:name w:val="Figure_legend"/>
    <w:basedOn w:val="Normal"/>
    <w:rsid w:val="00EE2A3B"/>
    <w:pPr>
      <w:keepNext/>
      <w:keepLines/>
      <w:spacing w:before="20" w:after="20"/>
    </w:pPr>
    <w:rPr>
      <w:sz w:val="18"/>
    </w:rPr>
  </w:style>
  <w:style w:type="paragraph" w:customStyle="1" w:styleId="FigureNo">
    <w:name w:val="Figure_No"/>
    <w:basedOn w:val="Normal"/>
    <w:next w:val="Figuretitle"/>
    <w:rsid w:val="00EE2A3B"/>
    <w:pPr>
      <w:keepNext/>
      <w:keepLines/>
      <w:spacing w:before="240" w:after="120"/>
      <w:jc w:val="center"/>
    </w:pPr>
    <w:rPr>
      <w:caps/>
    </w:rPr>
  </w:style>
  <w:style w:type="paragraph" w:customStyle="1" w:styleId="Figurewithouttitle">
    <w:name w:val="Figure_without_title"/>
    <w:basedOn w:val="Figure"/>
    <w:next w:val="Normalaftertitle"/>
    <w:rsid w:val="00EE2A3B"/>
    <w:pPr>
      <w:keepNext w:val="0"/>
      <w:spacing w:after="240"/>
    </w:pPr>
  </w:style>
  <w:style w:type="paragraph" w:customStyle="1" w:styleId="Headingi">
    <w:name w:val="Heading_i"/>
    <w:basedOn w:val="Heading3"/>
    <w:next w:val="Normal"/>
    <w:rsid w:val="00EE2A3B"/>
    <w:pPr>
      <w:spacing w:before="160"/>
      <w:outlineLvl w:val="0"/>
    </w:pPr>
    <w:rPr>
      <w:b w:val="0"/>
      <w:i/>
    </w:rPr>
  </w:style>
  <w:style w:type="character" w:styleId="PageNumber">
    <w:name w:val="page number"/>
    <w:basedOn w:val="DefaultParagraphFont"/>
    <w:rsid w:val="00EE2A3B"/>
    <w:rPr>
      <w:rFonts w:ascii="Calibri" w:hAnsi="Calibri"/>
    </w:rPr>
  </w:style>
  <w:style w:type="paragraph" w:customStyle="1" w:styleId="PartNo">
    <w:name w:val="Part_No"/>
    <w:basedOn w:val="AnnexNo"/>
    <w:next w:val="Parttitle"/>
    <w:rsid w:val="00EE2A3B"/>
  </w:style>
  <w:style w:type="paragraph" w:customStyle="1" w:styleId="Parttitle">
    <w:name w:val="Part_title"/>
    <w:basedOn w:val="Annextitle"/>
    <w:next w:val="Partref"/>
    <w:rsid w:val="00EE2A3B"/>
  </w:style>
  <w:style w:type="paragraph" w:customStyle="1" w:styleId="Partref">
    <w:name w:val="Part_ref"/>
    <w:basedOn w:val="Annexref"/>
    <w:next w:val="Normalaftertitle"/>
    <w:rsid w:val="00EE2A3B"/>
  </w:style>
  <w:style w:type="paragraph" w:customStyle="1" w:styleId="RecNo">
    <w:name w:val="Rec_No"/>
    <w:basedOn w:val="Normal"/>
    <w:next w:val="Rectitle"/>
    <w:rsid w:val="00EE2A3B"/>
    <w:pPr>
      <w:spacing w:before="720"/>
      <w:jc w:val="center"/>
    </w:pPr>
    <w:rPr>
      <w:caps/>
      <w:sz w:val="28"/>
    </w:rPr>
  </w:style>
  <w:style w:type="paragraph" w:customStyle="1" w:styleId="Rectitle">
    <w:name w:val="Rec_title"/>
    <w:basedOn w:val="Normal"/>
    <w:next w:val="Heading1"/>
    <w:rsid w:val="00EE2A3B"/>
    <w:pPr>
      <w:spacing w:before="240"/>
      <w:jc w:val="center"/>
    </w:pPr>
    <w:rPr>
      <w:b/>
      <w:sz w:val="28"/>
    </w:rPr>
  </w:style>
  <w:style w:type="paragraph" w:customStyle="1" w:styleId="Recref">
    <w:name w:val="Rec_ref"/>
    <w:basedOn w:val="Rectitle"/>
    <w:next w:val="Recdate"/>
    <w:rsid w:val="00EE2A3B"/>
    <w:pPr>
      <w:spacing w:before="120"/>
    </w:pPr>
    <w:rPr>
      <w:rFonts w:ascii="Times New Roman" w:hAnsi="Times New Roman"/>
      <w:b w:val="0"/>
      <w:sz w:val="24"/>
    </w:rPr>
  </w:style>
  <w:style w:type="paragraph" w:customStyle="1" w:styleId="Recdate">
    <w:name w:val="Rec_date"/>
    <w:basedOn w:val="Recref"/>
    <w:next w:val="Normalaftertitle"/>
    <w:rsid w:val="00EE2A3B"/>
    <w:pPr>
      <w:jc w:val="right"/>
    </w:pPr>
    <w:rPr>
      <w:sz w:val="22"/>
    </w:rPr>
  </w:style>
  <w:style w:type="paragraph" w:customStyle="1" w:styleId="Questiondate">
    <w:name w:val="Question_date"/>
    <w:basedOn w:val="Recdate"/>
    <w:next w:val="Normalaftertitle"/>
    <w:rsid w:val="00EE2A3B"/>
  </w:style>
  <w:style w:type="paragraph" w:customStyle="1" w:styleId="QuestionNo">
    <w:name w:val="Question_No"/>
    <w:basedOn w:val="RecNo"/>
    <w:next w:val="Questiontitle"/>
    <w:rsid w:val="00EE2A3B"/>
  </w:style>
  <w:style w:type="paragraph" w:customStyle="1" w:styleId="Questionref">
    <w:name w:val="Question_ref"/>
    <w:basedOn w:val="Recref"/>
    <w:next w:val="Questiondate"/>
    <w:rsid w:val="00EE2A3B"/>
  </w:style>
  <w:style w:type="paragraph" w:customStyle="1" w:styleId="Questiontitle">
    <w:name w:val="Question_title"/>
    <w:basedOn w:val="Rectitle"/>
    <w:next w:val="Questionref"/>
    <w:rsid w:val="00EE2A3B"/>
  </w:style>
  <w:style w:type="paragraph" w:customStyle="1" w:styleId="Reftext">
    <w:name w:val="Ref_text"/>
    <w:basedOn w:val="Normal"/>
    <w:rsid w:val="00EE2A3B"/>
    <w:pPr>
      <w:ind w:left="567" w:hanging="567"/>
    </w:pPr>
  </w:style>
  <w:style w:type="paragraph" w:customStyle="1" w:styleId="Reftitle">
    <w:name w:val="Ref_title"/>
    <w:basedOn w:val="Normal"/>
    <w:next w:val="Reftext"/>
    <w:rsid w:val="00EE2A3B"/>
    <w:pPr>
      <w:spacing w:before="480"/>
      <w:jc w:val="center"/>
    </w:pPr>
    <w:rPr>
      <w:caps/>
      <w:sz w:val="28"/>
    </w:rPr>
  </w:style>
  <w:style w:type="paragraph" w:customStyle="1" w:styleId="Repdate">
    <w:name w:val="Rep_date"/>
    <w:basedOn w:val="Recdate"/>
    <w:next w:val="Normalaftertitle"/>
    <w:rsid w:val="00EE2A3B"/>
  </w:style>
  <w:style w:type="paragraph" w:customStyle="1" w:styleId="RepNo">
    <w:name w:val="Rep_No"/>
    <w:basedOn w:val="RecNo"/>
    <w:next w:val="Reptitle"/>
    <w:rsid w:val="00EE2A3B"/>
  </w:style>
  <w:style w:type="paragraph" w:customStyle="1" w:styleId="Reptitle">
    <w:name w:val="Rep_title"/>
    <w:basedOn w:val="Rectitle"/>
    <w:next w:val="Repref"/>
    <w:rsid w:val="00EE2A3B"/>
  </w:style>
  <w:style w:type="paragraph" w:customStyle="1" w:styleId="Repref">
    <w:name w:val="Rep_ref"/>
    <w:basedOn w:val="Recref"/>
    <w:next w:val="Repdate"/>
    <w:rsid w:val="00EE2A3B"/>
  </w:style>
  <w:style w:type="paragraph" w:customStyle="1" w:styleId="Resdate">
    <w:name w:val="Res_date"/>
    <w:basedOn w:val="Recdate"/>
    <w:next w:val="Normalaftertitle"/>
    <w:rsid w:val="00EE2A3B"/>
  </w:style>
  <w:style w:type="paragraph" w:customStyle="1" w:styleId="ResNo">
    <w:name w:val="Res_No"/>
    <w:basedOn w:val="AnnexNo"/>
    <w:next w:val="Restitle"/>
    <w:rsid w:val="00EE2A3B"/>
  </w:style>
  <w:style w:type="paragraph" w:customStyle="1" w:styleId="Restitle">
    <w:name w:val="Res_title"/>
    <w:basedOn w:val="Annextitle"/>
    <w:next w:val="Normal"/>
    <w:link w:val="RestitleChar"/>
    <w:rsid w:val="00EE2A3B"/>
  </w:style>
  <w:style w:type="paragraph" w:customStyle="1" w:styleId="Resref">
    <w:name w:val="Res_ref"/>
    <w:basedOn w:val="Recref"/>
    <w:next w:val="Resdate"/>
    <w:rsid w:val="00EE2A3B"/>
  </w:style>
  <w:style w:type="paragraph" w:customStyle="1" w:styleId="SectionNo">
    <w:name w:val="Section_No"/>
    <w:basedOn w:val="AnnexNo"/>
    <w:next w:val="Sectiontitle"/>
    <w:rsid w:val="00EE2A3B"/>
  </w:style>
  <w:style w:type="paragraph" w:customStyle="1" w:styleId="Sectiontitle">
    <w:name w:val="Section_title"/>
    <w:basedOn w:val="Normal"/>
    <w:next w:val="Normalaftertitle"/>
    <w:rsid w:val="00EE2A3B"/>
    <w:rPr>
      <w:sz w:val="28"/>
    </w:rPr>
  </w:style>
  <w:style w:type="paragraph" w:customStyle="1" w:styleId="SpecialFooter">
    <w:name w:val="Special Footer"/>
    <w:basedOn w:val="Footer"/>
    <w:rsid w:val="00EE2A3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EE2A3B"/>
    <w:pPr>
      <w:spacing w:before="120" w:after="120"/>
      <w:jc w:val="center"/>
    </w:pPr>
    <w:rPr>
      <w:b/>
    </w:rPr>
  </w:style>
  <w:style w:type="paragraph" w:customStyle="1" w:styleId="Tablelegend">
    <w:name w:val="Table_legend"/>
    <w:basedOn w:val="Tabletext"/>
    <w:rsid w:val="00EE2A3B"/>
    <w:pPr>
      <w:spacing w:before="120"/>
    </w:pPr>
  </w:style>
  <w:style w:type="paragraph" w:customStyle="1" w:styleId="Tableref">
    <w:name w:val="Table_ref"/>
    <w:basedOn w:val="Normal"/>
    <w:next w:val="Tabletitle"/>
    <w:rsid w:val="00EE2A3B"/>
    <w:pPr>
      <w:keepNext/>
      <w:spacing w:before="567"/>
      <w:jc w:val="center"/>
    </w:pPr>
  </w:style>
  <w:style w:type="paragraph" w:customStyle="1" w:styleId="Artheading">
    <w:name w:val="Art_heading"/>
    <w:basedOn w:val="Normal"/>
    <w:next w:val="Normalaftertitle"/>
    <w:rsid w:val="00EE2A3B"/>
    <w:pPr>
      <w:spacing w:before="480"/>
      <w:jc w:val="center"/>
    </w:pPr>
    <w:rPr>
      <w:b/>
    </w:rPr>
  </w:style>
  <w:style w:type="paragraph" w:customStyle="1" w:styleId="ArtNo">
    <w:name w:val="Art_No"/>
    <w:basedOn w:val="Normal"/>
    <w:next w:val="Arttitle"/>
    <w:rsid w:val="00EE2A3B"/>
    <w:pPr>
      <w:spacing w:before="600"/>
      <w:jc w:val="center"/>
    </w:pPr>
    <w:rPr>
      <w:caps/>
      <w:sz w:val="28"/>
    </w:rPr>
  </w:style>
  <w:style w:type="paragraph" w:customStyle="1" w:styleId="Arttitle">
    <w:name w:val="Art_title"/>
    <w:basedOn w:val="Normal"/>
    <w:next w:val="Normal"/>
    <w:rsid w:val="00EE2A3B"/>
    <w:pPr>
      <w:spacing w:before="240" w:after="240"/>
      <w:jc w:val="center"/>
    </w:pPr>
    <w:rPr>
      <w:b/>
      <w:sz w:val="28"/>
    </w:rPr>
  </w:style>
  <w:style w:type="paragraph" w:customStyle="1" w:styleId="ChapNo">
    <w:name w:val="Chap_No"/>
    <w:basedOn w:val="ArtNo"/>
    <w:next w:val="Chaptitle"/>
    <w:rsid w:val="00EE2A3B"/>
  </w:style>
  <w:style w:type="paragraph" w:customStyle="1" w:styleId="Chaptitle">
    <w:name w:val="Chap_title"/>
    <w:basedOn w:val="Arttitle"/>
    <w:next w:val="Normal"/>
    <w:rsid w:val="00EE2A3B"/>
  </w:style>
  <w:style w:type="paragraph" w:customStyle="1" w:styleId="firstfooter0">
    <w:name w:val="firstfooter"/>
    <w:basedOn w:val="Normal"/>
    <w:rsid w:val="00EE2A3B"/>
    <w:pPr>
      <w:spacing w:before="100" w:beforeAutospacing="1" w:after="100" w:afterAutospacing="1"/>
    </w:pPr>
    <w:rPr>
      <w:rFonts w:eastAsia="SimSun"/>
    </w:rPr>
  </w:style>
  <w:style w:type="paragraph" w:customStyle="1" w:styleId="Table">
    <w:name w:val="Table_#"/>
    <w:basedOn w:val="Normal"/>
    <w:next w:val="Normal"/>
    <w:rsid w:val="00EE2A3B"/>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CallChar">
    <w:name w:val="Call Char"/>
    <w:basedOn w:val="DefaultParagraphFont"/>
    <w:link w:val="Call"/>
    <w:rsid w:val="004535DE"/>
    <w:rPr>
      <w:rFonts w:ascii="Calibri" w:hAnsi="Calibri"/>
      <w:i/>
      <w:sz w:val="24"/>
      <w:lang w:val="en-GB" w:eastAsia="en-US"/>
    </w:rPr>
  </w:style>
  <w:style w:type="character" w:customStyle="1" w:styleId="NormalaftertitleChar">
    <w:name w:val="Normal after title Char"/>
    <w:basedOn w:val="DefaultParagraphFont"/>
    <w:link w:val="Normalaftertitle"/>
    <w:rsid w:val="004535DE"/>
    <w:rPr>
      <w:rFonts w:ascii="Calibri" w:hAnsi="Calibri"/>
      <w:sz w:val="24"/>
      <w:lang w:val="en-GB" w:eastAsia="en-US"/>
    </w:rPr>
  </w:style>
  <w:style w:type="character" w:customStyle="1" w:styleId="enumlev1Char">
    <w:name w:val="enumlev1 Char"/>
    <w:basedOn w:val="DefaultParagraphFont"/>
    <w:link w:val="enumlev1"/>
    <w:rsid w:val="004535DE"/>
    <w:rPr>
      <w:rFonts w:ascii="Calibri" w:hAnsi="Calibri"/>
      <w:sz w:val="24"/>
      <w:lang w:val="en-GB" w:eastAsia="en-US"/>
    </w:rPr>
  </w:style>
  <w:style w:type="character" w:customStyle="1" w:styleId="RestitleChar">
    <w:name w:val="Res_title Char"/>
    <w:basedOn w:val="DefaultParagraphFont"/>
    <w:link w:val="Restitle"/>
    <w:rsid w:val="004535DE"/>
    <w:rPr>
      <w:rFonts w:ascii="Calibri" w:hAnsi="Calibri"/>
      <w:b/>
      <w:sz w:val="28"/>
      <w:lang w:val="en-GB" w:eastAsia="en-US"/>
    </w:rPr>
  </w:style>
  <w:style w:type="character" w:customStyle="1" w:styleId="AnnexNoChar">
    <w:name w:val="Annex_No Char"/>
    <w:basedOn w:val="DefaultParagraphFont"/>
    <w:link w:val="AnnexNo"/>
    <w:rsid w:val="004535DE"/>
    <w:rPr>
      <w:rFonts w:ascii="Calibri" w:hAnsi="Calibri"/>
      <w:caps/>
      <w:sz w:val="28"/>
      <w:lang w:val="en-GB" w:eastAsia="en-US"/>
    </w:rPr>
  </w:style>
  <w:style w:type="character" w:customStyle="1" w:styleId="AnnextitleChar">
    <w:name w:val="Annex_title Char"/>
    <w:basedOn w:val="DefaultParagraphFont"/>
    <w:link w:val="Annextitle"/>
    <w:rsid w:val="004535DE"/>
    <w:rPr>
      <w:rFonts w:ascii="Calibri" w:hAnsi="Calibri"/>
      <w:b/>
      <w:sz w:val="28"/>
      <w:lang w:val="en-GB" w:eastAsia="en-US"/>
    </w:rPr>
  </w:style>
  <w:style w:type="paragraph" w:styleId="BalloonText">
    <w:name w:val="Balloon Text"/>
    <w:basedOn w:val="Normal"/>
    <w:link w:val="BalloonTextChar"/>
    <w:semiHidden/>
    <w:unhideWhenUsed/>
    <w:rsid w:val="009A4E24"/>
    <w:rPr>
      <w:rFonts w:ascii="Segoe UI" w:hAnsi="Segoe UI" w:cs="Segoe UI"/>
      <w:sz w:val="18"/>
      <w:szCs w:val="18"/>
    </w:rPr>
  </w:style>
  <w:style w:type="character" w:customStyle="1" w:styleId="BalloonTextChar">
    <w:name w:val="Balloon Text Char"/>
    <w:basedOn w:val="DefaultParagraphFont"/>
    <w:link w:val="BalloonText"/>
    <w:semiHidden/>
    <w:rsid w:val="009A4E24"/>
    <w:rPr>
      <w:rFonts w:ascii="Segoe UI" w:eastAsiaTheme="minorEastAsia" w:hAnsi="Segoe UI" w:cs="Segoe UI"/>
      <w:sz w:val="18"/>
      <w:szCs w:val="18"/>
      <w:lang w:val="en-GB"/>
    </w:rPr>
  </w:style>
  <w:style w:type="paragraph" w:styleId="ListParagraph">
    <w:name w:val="List Paragraph"/>
    <w:basedOn w:val="Normal"/>
    <w:uiPriority w:val="34"/>
    <w:qFormat/>
    <w:rsid w:val="00F56D59"/>
    <w:pPr>
      <w:ind w:left="720"/>
      <w:contextualSpacing/>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CC5EF0"/>
    <w:rPr>
      <w:rFonts w:asciiTheme="minorHAnsi" w:eastAsiaTheme="minorEastAsia" w:hAnsiTheme="minorHAnsi" w:cstheme="minorBidi"/>
      <w:sz w:val="22"/>
      <w:szCs w:val="22"/>
      <w:lang w:val="en-GB"/>
    </w:rPr>
  </w:style>
  <w:style w:type="paragraph" w:styleId="Revision">
    <w:name w:val="Revision"/>
    <w:hidden/>
    <w:uiPriority w:val="99"/>
    <w:semiHidden/>
    <w:rsid w:val="005F2D25"/>
    <w:rPr>
      <w:rFonts w:asciiTheme="minorHAnsi" w:eastAsiaTheme="minorEastAsia" w:hAnsiTheme="minorHAnsi" w:cstheme="minorBidi"/>
      <w:sz w:val="22"/>
      <w:szCs w:val="22"/>
      <w:lang w:val="en-GB"/>
    </w:rPr>
  </w:style>
  <w:style w:type="table" w:styleId="TableGrid">
    <w:name w:val="Table Grid"/>
    <w:basedOn w:val="TableNormal"/>
    <w:uiPriority w:val="39"/>
    <w:rsid w:val="00C03DB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rsid w:val="00C03DBE"/>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styleId="CommentReference">
    <w:name w:val="annotation reference"/>
    <w:basedOn w:val="DefaultParagraphFont"/>
    <w:semiHidden/>
    <w:unhideWhenUsed/>
    <w:rsid w:val="00407B9C"/>
    <w:rPr>
      <w:sz w:val="16"/>
      <w:szCs w:val="16"/>
    </w:rPr>
  </w:style>
  <w:style w:type="paragraph" w:styleId="CommentText">
    <w:name w:val="annotation text"/>
    <w:basedOn w:val="Normal"/>
    <w:link w:val="CommentTextChar"/>
    <w:semiHidden/>
    <w:unhideWhenUsed/>
    <w:rsid w:val="00407B9C"/>
    <w:rPr>
      <w:sz w:val="20"/>
      <w:szCs w:val="20"/>
    </w:rPr>
  </w:style>
  <w:style w:type="character" w:customStyle="1" w:styleId="CommentTextChar">
    <w:name w:val="Comment Text Char"/>
    <w:basedOn w:val="DefaultParagraphFont"/>
    <w:link w:val="CommentText"/>
    <w:semiHidden/>
    <w:rsid w:val="00407B9C"/>
    <w:rPr>
      <w:rFonts w:asciiTheme="minorHAnsi" w:eastAsiaTheme="minorEastAsia" w:hAnsiTheme="minorHAnsi" w:cstheme="minorBidi"/>
      <w:lang w:val="en-GB"/>
    </w:rPr>
  </w:style>
  <w:style w:type="paragraph" w:styleId="CommentSubject">
    <w:name w:val="annotation subject"/>
    <w:basedOn w:val="CommentText"/>
    <w:next w:val="CommentText"/>
    <w:link w:val="CommentSubjectChar"/>
    <w:semiHidden/>
    <w:unhideWhenUsed/>
    <w:rsid w:val="00407B9C"/>
    <w:rPr>
      <w:b/>
      <w:bCs/>
    </w:rPr>
  </w:style>
  <w:style w:type="character" w:customStyle="1" w:styleId="CommentSubjectChar">
    <w:name w:val="Comment Subject Char"/>
    <w:basedOn w:val="CommentTextChar"/>
    <w:link w:val="CommentSubject"/>
    <w:semiHidden/>
    <w:rsid w:val="00407B9C"/>
    <w:rPr>
      <w:rFonts w:asciiTheme="minorHAnsi" w:eastAsiaTheme="minorEastAsia" w:hAnsiTheme="minorHAnsi" w:cstheme="minorBidi"/>
      <w:b/>
      <w:bCs/>
      <w:lang w:val="en-GB"/>
    </w:rPr>
  </w:style>
  <w:style w:type="character" w:customStyle="1" w:styleId="UnresolvedMention1">
    <w:name w:val="Unresolved Mention1"/>
    <w:basedOn w:val="DefaultParagraphFont"/>
    <w:uiPriority w:val="99"/>
    <w:semiHidden/>
    <w:unhideWhenUsed/>
    <w:rsid w:val="00BD6C39"/>
    <w:rPr>
      <w:color w:val="605E5C"/>
      <w:shd w:val="clear" w:color="auto" w:fill="E1DFDD"/>
    </w:rPr>
  </w:style>
  <w:style w:type="paragraph" w:styleId="EndnoteText">
    <w:name w:val="endnote text"/>
    <w:basedOn w:val="Normal"/>
    <w:link w:val="EndnoteTextChar"/>
    <w:semiHidden/>
    <w:unhideWhenUsed/>
    <w:rsid w:val="00484F0A"/>
    <w:pPr>
      <w:spacing w:after="0" w:line="240" w:lineRule="auto"/>
    </w:pPr>
    <w:rPr>
      <w:sz w:val="20"/>
      <w:szCs w:val="20"/>
    </w:rPr>
  </w:style>
  <w:style w:type="character" w:customStyle="1" w:styleId="EndnoteTextChar">
    <w:name w:val="Endnote Text Char"/>
    <w:basedOn w:val="DefaultParagraphFont"/>
    <w:link w:val="EndnoteText"/>
    <w:semiHidden/>
    <w:rsid w:val="00484F0A"/>
    <w:rPr>
      <w:rFonts w:asciiTheme="minorHAnsi" w:eastAsiaTheme="minorHAnsi" w:hAnsiTheme="minorHAnsi" w:cstheme="minorBidi"/>
      <w:lang w:eastAsia="en-US"/>
    </w:rPr>
  </w:style>
  <w:style w:type="character" w:customStyle="1" w:styleId="UnresolvedMention2">
    <w:name w:val="Unresolved Mention2"/>
    <w:basedOn w:val="DefaultParagraphFont"/>
    <w:uiPriority w:val="99"/>
    <w:semiHidden/>
    <w:unhideWhenUsed/>
    <w:rsid w:val="007B08E5"/>
    <w:rPr>
      <w:color w:val="605E5C"/>
      <w:shd w:val="clear" w:color="auto" w:fill="E1DFDD"/>
    </w:rPr>
  </w:style>
  <w:style w:type="character" w:styleId="UnresolvedMention">
    <w:name w:val="Unresolved Mention"/>
    <w:basedOn w:val="DefaultParagraphFont"/>
    <w:uiPriority w:val="99"/>
    <w:semiHidden/>
    <w:unhideWhenUsed/>
    <w:rsid w:val="00340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57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19-CL-C-0130/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unjiu.org/sites/www.unjiu.org/files/jiu_rep_2018_4_english_0.pdf" TargetMode="External"/><Relationship Id="rId3" Type="http://schemas.openxmlformats.org/officeDocument/2006/relationships/hyperlink" Target="https://www.itu.int/md/S19-CL-C-0106/en" TargetMode="External"/><Relationship Id="rId7" Type="http://schemas.openxmlformats.org/officeDocument/2006/relationships/hyperlink" Target="https://www.unjiu.org/content/reports" TargetMode="External"/><Relationship Id="rId2" Type="http://schemas.openxmlformats.org/officeDocument/2006/relationships/hyperlink" Target="https://www.unjiu.org/content/reports" TargetMode="External"/><Relationship Id="rId1" Type="http://schemas.openxmlformats.org/officeDocument/2006/relationships/hyperlink" Target="https://www.itu.int/md/S19-CL-C-0106/en" TargetMode="External"/><Relationship Id="rId6" Type="http://schemas.openxmlformats.org/officeDocument/2006/relationships/hyperlink" Target="https://www.unjiu.org/sites/www.unjiu.org/files/jiu_rep_2018_4_english_0.pdf" TargetMode="External"/><Relationship Id="rId5" Type="http://schemas.openxmlformats.org/officeDocument/2006/relationships/hyperlink" Target="https://www.unjiu.org/content/reports" TargetMode="External"/><Relationship Id="rId4" Type="http://schemas.openxmlformats.org/officeDocument/2006/relationships/hyperlink" Target="https://www.unjiu.org/content/reports" TargetMode="External"/><Relationship Id="rId9" Type="http://schemas.openxmlformats.org/officeDocument/2006/relationships/hyperlink" Target="https://www.wipo.int/about-wipo/en/oversight/iaod/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B01F029692041A7486645BF369C0F" ma:contentTypeVersion="0" ma:contentTypeDescription="Create a new document." ma:contentTypeScope="" ma:versionID="8fd9b962bdb1cd221ea243244d57c806">
  <xsd:schema xmlns:xsd="http://www.w3.org/2001/XMLSchema" xmlns:xs="http://www.w3.org/2001/XMLSchema" xmlns:p="http://schemas.microsoft.com/office/2006/metadata/properties" targetNamespace="http://schemas.microsoft.com/office/2006/metadata/properties" ma:root="true" ma:fieldsID="5f69826425b6045007d8217975f10d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69979-5D10-4E0D-81B0-45752A603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350B736-356C-4BED-8811-AD6E31395FD9}">
  <ds:schemaRefs>
    <ds:schemaRef ds:uri="http://schemas.microsoft.com/sharepoint/v3/contenttype/forms"/>
  </ds:schemaRefs>
</ds:datastoreItem>
</file>

<file path=customXml/itemProps3.xml><?xml version="1.0" encoding="utf-8"?>
<ds:datastoreItem xmlns:ds="http://schemas.openxmlformats.org/officeDocument/2006/customXml" ds:itemID="{734FD361-57E9-4D14-9E91-2CAEBE4DDBFE}">
  <ds:schemaRefs>
    <ds:schemaRef ds:uri="http://schemas.microsoft.com/office/infopath/2007/PartnerControl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58C64A55-A717-4FB0-B4FA-56D932E30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1899</Words>
  <Characters>11000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R 1379 - ITRs</vt:lpstr>
    </vt:vector>
  </TitlesOfParts>
  <Manager>General Secretariat - Pool</Manager>
  <Company>International Telecommunication Union (ITU)</Company>
  <LinksUpToDate>false</LinksUpToDate>
  <CharactersWithSpaces>12874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1379 - ITRs</dc:title>
  <dc:subject>Council 2016</dc:subject>
  <dc:creator>Brouard, Ricarda</dc:creator>
  <cp:keywords>C2019, C19</cp:keywords>
  <dc:description/>
  <cp:lastModifiedBy>Janin, Patricia</cp:lastModifiedBy>
  <cp:revision>3</cp:revision>
  <cp:lastPrinted>2019-08-13T14:03:00Z</cp:lastPrinted>
  <dcterms:created xsi:type="dcterms:W3CDTF">2020-01-22T09:14:00Z</dcterms:created>
  <dcterms:modified xsi:type="dcterms:W3CDTF">2020-01-22T09:49:00Z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0x010100AF4B01F029692041A7486645BF369C0F</vt:lpwstr>
  </property>
  <property fmtid="{D5CDD505-2E9C-101B-9397-08002B2CF9AE}" pid="9" name="MSIP_Label_1665d9ee-429a-4d5f-97cc-cfb56e044a6e_Enabled">
    <vt:lpwstr>True</vt:lpwstr>
  </property>
  <property fmtid="{D5CDD505-2E9C-101B-9397-08002B2CF9AE}" pid="10" name="MSIP_Label_1665d9ee-429a-4d5f-97cc-cfb56e044a6e_SiteId">
    <vt:lpwstr>66cf5074-5afe-48d1-a691-a12b2121f44b</vt:lpwstr>
  </property>
  <property fmtid="{D5CDD505-2E9C-101B-9397-08002B2CF9AE}" pid="11" name="MSIP_Label_1665d9ee-429a-4d5f-97cc-cfb56e044a6e_Owner">
    <vt:lpwstr>GordonMR@state.gov</vt:lpwstr>
  </property>
  <property fmtid="{D5CDD505-2E9C-101B-9397-08002B2CF9AE}" pid="12" name="MSIP_Label_1665d9ee-429a-4d5f-97cc-cfb56e044a6e_SetDate">
    <vt:lpwstr>2019-08-26T18:00:15.9240716Z</vt:lpwstr>
  </property>
  <property fmtid="{D5CDD505-2E9C-101B-9397-08002B2CF9AE}" pid="13" name="MSIP_Label_1665d9ee-429a-4d5f-97cc-cfb56e044a6e_Name">
    <vt:lpwstr>Unclassified</vt:lpwstr>
  </property>
  <property fmtid="{D5CDD505-2E9C-101B-9397-08002B2CF9AE}" pid="14" name="MSIP_Label_1665d9ee-429a-4d5f-97cc-cfb56e044a6e_Application">
    <vt:lpwstr>Microsoft Azure Information Protection</vt:lpwstr>
  </property>
  <property fmtid="{D5CDD505-2E9C-101B-9397-08002B2CF9AE}" pid="15" name="MSIP_Label_1665d9ee-429a-4d5f-97cc-cfb56e044a6e_ActionId">
    <vt:lpwstr>2a8f6296-48ce-4797-ad58-404a605db773</vt:lpwstr>
  </property>
  <property fmtid="{D5CDD505-2E9C-101B-9397-08002B2CF9AE}" pid="16" name="MSIP_Label_1665d9ee-429a-4d5f-97cc-cfb56e044a6e_Extended_MSFT_Method">
    <vt:lpwstr>Manual</vt:lpwstr>
  </property>
  <property fmtid="{D5CDD505-2E9C-101B-9397-08002B2CF9AE}" pid="17" name="Sensitivity">
    <vt:lpwstr>Unclassified</vt:lpwstr>
  </property>
</Properties>
</file>