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CBFB" w14:textId="77777777" w:rsidR="006C5262" w:rsidRDefault="006C5262" w:rsidP="006C5262">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C5262" w:rsidRPr="00D613F6" w14:paraId="0806B0C3" w14:textId="77777777" w:rsidTr="006C5262">
        <w:trPr>
          <w:cantSplit/>
        </w:trPr>
        <w:tc>
          <w:tcPr>
            <w:tcW w:w="6521" w:type="dxa"/>
          </w:tcPr>
          <w:p w14:paraId="489526E3" w14:textId="77777777" w:rsidR="006C5262" w:rsidRDefault="006C5262" w:rsidP="006C5262">
            <w:pPr>
              <w:spacing w:before="240" w:after="48"/>
              <w:rPr>
                <w:rFonts w:ascii="Calibri" w:hAnsi="Calibri"/>
                <w:b/>
                <w:position w:val="6"/>
                <w:sz w:val="30"/>
                <w:szCs w:val="30"/>
              </w:rPr>
            </w:pPr>
            <w:bookmarkStart w:id="1" w:name="dc06"/>
            <w:bookmarkEnd w:id="1"/>
            <w:r w:rsidRPr="000F2E67">
              <w:rPr>
                <w:rFonts w:ascii="Calibri" w:hAnsi="Calibri"/>
                <w:b/>
                <w:position w:val="6"/>
                <w:sz w:val="30"/>
                <w:szCs w:val="30"/>
              </w:rPr>
              <w:t xml:space="preserve">Council Working Group on </w:t>
            </w:r>
            <w:r>
              <w:rPr>
                <w:rFonts w:ascii="Calibri" w:hAnsi="Calibri"/>
                <w:b/>
                <w:position w:val="6"/>
                <w:sz w:val="30"/>
                <w:szCs w:val="30"/>
              </w:rPr>
              <w:br/>
              <w:t>Financial and Human Resources</w:t>
            </w:r>
          </w:p>
          <w:p w14:paraId="1D01AFFA" w14:textId="77777777" w:rsidR="006C5262" w:rsidRPr="00B72B57" w:rsidRDefault="006C5262" w:rsidP="006C5262">
            <w:pPr>
              <w:spacing w:after="120"/>
              <w:rPr>
                <w:rFonts w:ascii="Calibri" w:hAnsi="Calibri"/>
                <w:b/>
                <w:position w:val="6"/>
                <w:szCs w:val="22"/>
              </w:rPr>
            </w:pPr>
            <w:r w:rsidRPr="00B72B57">
              <w:rPr>
                <w:rFonts w:ascii="Calibri" w:hAnsi="Calibri" w:cs="Times New Roman Bold"/>
                <w:b/>
                <w:szCs w:val="22"/>
              </w:rPr>
              <w:t xml:space="preserve">Eleventh meeting </w:t>
            </w:r>
            <w:r w:rsidRPr="00B72B57">
              <w:rPr>
                <w:rFonts w:ascii="Calibri" w:eastAsia="Calibri" w:hAnsi="Calibri" w:cs="Calibri"/>
                <w:b/>
                <w:color w:val="000000"/>
                <w:szCs w:val="22"/>
              </w:rPr>
              <w:t>–</w:t>
            </w:r>
            <w:r w:rsidRPr="00B72B57">
              <w:rPr>
                <w:rFonts w:ascii="Calibri" w:hAnsi="Calibri" w:cs="Times New Roman Bold"/>
                <w:b/>
                <w:szCs w:val="22"/>
              </w:rPr>
              <w:t xml:space="preserve"> Geneva, 3-4 February 2020</w:t>
            </w:r>
          </w:p>
        </w:tc>
        <w:tc>
          <w:tcPr>
            <w:tcW w:w="3793" w:type="dxa"/>
          </w:tcPr>
          <w:p w14:paraId="64C8D7AB" w14:textId="19E6A30C" w:rsidR="006C5262" w:rsidRPr="00D613F6" w:rsidRDefault="00317BAC" w:rsidP="006C5262">
            <w:pPr>
              <w:spacing w:before="120" w:line="240" w:lineRule="atLeast"/>
            </w:pPr>
            <w:bookmarkStart w:id="2" w:name="ditulogo"/>
            <w:bookmarkEnd w:id="2"/>
            <w:r>
              <w:rPr>
                <w:noProof/>
                <w:lang w:val="en-CA" w:eastAsia="en-CA"/>
              </w:rPr>
              <w:drawing>
                <wp:inline distT="0" distB="0" distL="0" distR="0" wp14:anchorId="54656CFF" wp14:editId="7B196FE5">
                  <wp:extent cx="619125" cy="647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9125" cy="647700"/>
                          </a:xfrm>
                          <a:prstGeom prst="rect">
                            <a:avLst/>
                          </a:prstGeom>
                          <a:noFill/>
                          <a:ln>
                            <a:noFill/>
                          </a:ln>
                        </pic:spPr>
                      </pic:pic>
                    </a:graphicData>
                  </a:graphic>
                </wp:inline>
              </w:drawing>
            </w:r>
          </w:p>
        </w:tc>
      </w:tr>
      <w:tr w:rsidR="006C5262" w:rsidRPr="00D613F6" w14:paraId="39088FA2" w14:textId="77777777" w:rsidTr="006C5262">
        <w:trPr>
          <w:cantSplit/>
        </w:trPr>
        <w:tc>
          <w:tcPr>
            <w:tcW w:w="6521" w:type="dxa"/>
            <w:tcBorders>
              <w:top w:val="single" w:sz="12" w:space="0" w:color="auto"/>
            </w:tcBorders>
          </w:tcPr>
          <w:p w14:paraId="03B7E310" w14:textId="77777777" w:rsidR="006C5262" w:rsidRPr="00D613F6" w:rsidRDefault="006C5262" w:rsidP="006C5262">
            <w:pPr>
              <w:snapToGrid w:val="0"/>
              <w:rPr>
                <w:b/>
                <w:smallCaps/>
              </w:rPr>
            </w:pPr>
          </w:p>
        </w:tc>
        <w:tc>
          <w:tcPr>
            <w:tcW w:w="3793" w:type="dxa"/>
            <w:tcBorders>
              <w:top w:val="single" w:sz="12" w:space="0" w:color="auto"/>
            </w:tcBorders>
          </w:tcPr>
          <w:p w14:paraId="408E9575" w14:textId="77777777" w:rsidR="006C5262" w:rsidRPr="00D613F6" w:rsidRDefault="006C5262" w:rsidP="006C5262">
            <w:pPr>
              <w:snapToGrid w:val="0"/>
              <w:ind w:left="209"/>
              <w:rPr>
                <w:rFonts w:ascii="Verdana" w:hAnsi="Verdana"/>
              </w:rPr>
            </w:pPr>
          </w:p>
        </w:tc>
      </w:tr>
      <w:tr w:rsidR="006C5262" w:rsidRPr="000F2E67" w14:paraId="185FED93" w14:textId="77777777" w:rsidTr="006C5262">
        <w:trPr>
          <w:cantSplit/>
          <w:trHeight w:val="23"/>
        </w:trPr>
        <w:tc>
          <w:tcPr>
            <w:tcW w:w="6521" w:type="dxa"/>
            <w:vMerge w:val="restart"/>
          </w:tcPr>
          <w:p w14:paraId="187B036F" w14:textId="77777777" w:rsidR="006C5262" w:rsidRPr="00D613F6" w:rsidRDefault="006C5262" w:rsidP="006C5262">
            <w:pPr>
              <w:snapToGrid w:val="0"/>
              <w:rPr>
                <w:rFonts w:ascii="Calibri" w:hAnsi="Calibri"/>
                <w:b/>
              </w:rPr>
            </w:pPr>
            <w:bookmarkStart w:id="3" w:name="dmeeting" w:colFirst="0" w:colLast="0"/>
            <w:bookmarkStart w:id="4" w:name="dnum" w:colFirst="1" w:colLast="1"/>
          </w:p>
        </w:tc>
        <w:tc>
          <w:tcPr>
            <w:tcW w:w="3793" w:type="dxa"/>
          </w:tcPr>
          <w:p w14:paraId="423F7B09" w14:textId="77777777" w:rsidR="006C5262" w:rsidRPr="000F2E67" w:rsidRDefault="006C5262" w:rsidP="006C5262">
            <w:pPr>
              <w:snapToGrid w:val="0"/>
              <w:ind w:left="57"/>
              <w:rPr>
                <w:rFonts w:ascii="Calibri" w:hAnsi="Calibri" w:cs="Times New Roman Bold"/>
                <w:b/>
                <w:spacing w:val="-4"/>
                <w:lang w:val="de-CH"/>
              </w:rPr>
            </w:pPr>
            <w:r w:rsidRPr="000F2E67">
              <w:rPr>
                <w:rFonts w:ascii="Calibri" w:hAnsi="Calibri" w:cs="Times New Roman Bold"/>
                <w:b/>
                <w:spacing w:val="-4"/>
                <w:lang w:val="de-CH"/>
              </w:rPr>
              <w:t xml:space="preserve">Document </w:t>
            </w:r>
            <w:r>
              <w:rPr>
                <w:rFonts w:ascii="Calibri" w:hAnsi="Calibri" w:cs="Times New Roman Bold"/>
                <w:b/>
                <w:spacing w:val="-4"/>
                <w:lang w:val="de-CH"/>
              </w:rPr>
              <w:t>C</w:t>
            </w:r>
            <w:r w:rsidRPr="000F2E67">
              <w:rPr>
                <w:rFonts w:ascii="Calibri" w:hAnsi="Calibri" w:cs="Times New Roman Bold"/>
                <w:b/>
                <w:spacing w:val="-4"/>
                <w:lang w:val="de-CH"/>
              </w:rPr>
              <w:t>WG-</w:t>
            </w:r>
            <w:r>
              <w:rPr>
                <w:rFonts w:ascii="Calibri" w:hAnsi="Calibri" w:cs="Times New Roman Bold"/>
                <w:b/>
                <w:spacing w:val="-4"/>
                <w:lang w:val="de-CH"/>
              </w:rPr>
              <w:t>FHR-11</w:t>
            </w:r>
            <w:r w:rsidRPr="000F2E67">
              <w:rPr>
                <w:rFonts w:ascii="Calibri" w:hAnsi="Calibri" w:cs="Times New Roman Bold"/>
                <w:b/>
                <w:spacing w:val="-4"/>
                <w:lang w:val="de-CH"/>
              </w:rPr>
              <w:t>/</w:t>
            </w:r>
            <w:r w:rsidR="00B929B1">
              <w:rPr>
                <w:rFonts w:ascii="Calibri" w:hAnsi="Calibri" w:cs="Times New Roman Bold"/>
                <w:b/>
                <w:spacing w:val="-4"/>
                <w:lang w:val="de-CH"/>
              </w:rPr>
              <w:t>14</w:t>
            </w:r>
          </w:p>
        </w:tc>
      </w:tr>
      <w:tr w:rsidR="006C5262" w:rsidRPr="000F2E67" w14:paraId="5E62752B" w14:textId="77777777" w:rsidTr="006C5262">
        <w:trPr>
          <w:cantSplit/>
          <w:trHeight w:val="23"/>
        </w:trPr>
        <w:tc>
          <w:tcPr>
            <w:tcW w:w="6521" w:type="dxa"/>
            <w:vMerge/>
          </w:tcPr>
          <w:p w14:paraId="3329EA0F" w14:textId="77777777" w:rsidR="006C5262" w:rsidRPr="00D613F6" w:rsidRDefault="006C5262" w:rsidP="006C5262">
            <w:pPr>
              <w:snapToGrid w:val="0"/>
              <w:rPr>
                <w:rFonts w:ascii="Calibri" w:hAnsi="Calibri"/>
                <w:b/>
                <w:lang w:val="de-CH"/>
              </w:rPr>
            </w:pPr>
            <w:bookmarkStart w:id="5" w:name="ddate" w:colFirst="1" w:colLast="1"/>
            <w:bookmarkEnd w:id="3"/>
            <w:bookmarkEnd w:id="4"/>
          </w:p>
        </w:tc>
        <w:tc>
          <w:tcPr>
            <w:tcW w:w="3793" w:type="dxa"/>
          </w:tcPr>
          <w:p w14:paraId="6A050A21" w14:textId="77777777" w:rsidR="006C5262" w:rsidRPr="000F2E67" w:rsidRDefault="00B929B1" w:rsidP="006C5262">
            <w:pPr>
              <w:snapToGrid w:val="0"/>
              <w:ind w:left="57"/>
              <w:rPr>
                <w:rFonts w:ascii="Calibri" w:hAnsi="Calibri"/>
                <w:b/>
              </w:rPr>
            </w:pPr>
            <w:r>
              <w:rPr>
                <w:rFonts w:ascii="Calibri" w:hAnsi="Calibri"/>
                <w:b/>
                <w:lang w:val="en-US"/>
              </w:rPr>
              <w:t>22</w:t>
            </w:r>
            <w:r w:rsidR="006C5262">
              <w:rPr>
                <w:rFonts w:ascii="Calibri" w:hAnsi="Calibri"/>
                <w:b/>
              </w:rPr>
              <w:t xml:space="preserve"> </w:t>
            </w:r>
            <w:r>
              <w:rPr>
                <w:rFonts w:ascii="Calibri" w:hAnsi="Calibri"/>
                <w:b/>
                <w:lang w:val="en-US"/>
              </w:rPr>
              <w:t xml:space="preserve">January </w:t>
            </w:r>
            <w:r w:rsidR="006C5262">
              <w:rPr>
                <w:rFonts w:ascii="Calibri" w:hAnsi="Calibri"/>
                <w:b/>
              </w:rPr>
              <w:t>2020</w:t>
            </w:r>
          </w:p>
        </w:tc>
      </w:tr>
      <w:tr w:rsidR="006C5262" w:rsidRPr="000F2E67" w14:paraId="4CD9B49D" w14:textId="77777777" w:rsidTr="006C5262">
        <w:trPr>
          <w:cantSplit/>
          <w:trHeight w:val="80"/>
        </w:trPr>
        <w:tc>
          <w:tcPr>
            <w:tcW w:w="6521" w:type="dxa"/>
            <w:vMerge/>
          </w:tcPr>
          <w:p w14:paraId="0235E305" w14:textId="77777777" w:rsidR="006C5262" w:rsidRPr="00E544AC" w:rsidRDefault="006C5262" w:rsidP="006C5262">
            <w:pPr>
              <w:snapToGrid w:val="0"/>
              <w:rPr>
                <w:rFonts w:ascii="Calibri" w:hAnsi="Calibri"/>
                <w:b/>
              </w:rPr>
            </w:pPr>
            <w:bookmarkStart w:id="6" w:name="dorlang" w:colFirst="1" w:colLast="1"/>
            <w:bookmarkEnd w:id="5"/>
          </w:p>
        </w:tc>
        <w:tc>
          <w:tcPr>
            <w:tcW w:w="3793" w:type="dxa"/>
          </w:tcPr>
          <w:p w14:paraId="6852D59C" w14:textId="77777777" w:rsidR="006C5262" w:rsidRPr="000F2E67" w:rsidRDefault="006C5262" w:rsidP="006C5262">
            <w:pPr>
              <w:snapToGrid w:val="0"/>
              <w:ind w:left="57"/>
              <w:rPr>
                <w:rFonts w:ascii="Calibri" w:hAnsi="Calibri"/>
                <w:b/>
              </w:rPr>
            </w:pPr>
            <w:r w:rsidRPr="000F2E67">
              <w:rPr>
                <w:rFonts w:ascii="Calibri" w:hAnsi="Calibri"/>
                <w:b/>
              </w:rPr>
              <w:t>English only</w:t>
            </w:r>
          </w:p>
        </w:tc>
      </w:tr>
    </w:tbl>
    <w:bookmarkEnd w:id="6"/>
    <w:p w14:paraId="56F2CDF0" w14:textId="77777777" w:rsidR="00B929B1" w:rsidRDefault="006C5262" w:rsidP="00E434AC">
      <w:pPr>
        <w:spacing w:before="840" w:after="360"/>
        <w:jc w:val="center"/>
        <w:rPr>
          <w:rFonts w:ascii="Calibri" w:hAnsi="Calibri"/>
          <w:b/>
          <w:sz w:val="28"/>
          <w:szCs w:val="32"/>
        </w:rPr>
      </w:pPr>
      <w:r>
        <w:rPr>
          <w:rFonts w:ascii="Calibri" w:hAnsi="Calibri"/>
          <w:b/>
          <w:sz w:val="28"/>
          <w:szCs w:val="32"/>
        </w:rPr>
        <w:t>Contribution by The Commonwealth of The Bahamas</w:t>
      </w:r>
    </w:p>
    <w:p w14:paraId="3BD36766" w14:textId="77777777" w:rsidR="006C5262" w:rsidRPr="00B929B1" w:rsidRDefault="006C5262" w:rsidP="00B929B1">
      <w:pPr>
        <w:spacing w:before="360" w:after="360"/>
        <w:jc w:val="center"/>
        <w:rPr>
          <w:rFonts w:ascii="Calibri" w:hAnsi="Calibri"/>
          <w:bCs/>
          <w:caps/>
          <w:sz w:val="28"/>
          <w:szCs w:val="32"/>
          <w:lang w:val="en-GB"/>
        </w:rPr>
      </w:pPr>
      <w:r w:rsidRPr="00B929B1">
        <w:rPr>
          <w:rFonts w:ascii="Calibri" w:hAnsi="Calibri"/>
          <w:bCs/>
          <w:caps/>
          <w:sz w:val="28"/>
          <w:szCs w:val="32"/>
          <w:lang w:val="en-GB"/>
        </w:rPr>
        <w:t>Briefing Document on Improving Fellowships</w:t>
      </w:r>
    </w:p>
    <w:p w14:paraId="38328D85" w14:textId="77777777" w:rsidR="006C5262" w:rsidRPr="00FA2D52" w:rsidRDefault="006C5262" w:rsidP="006C5262">
      <w:pPr>
        <w:jc w:val="both"/>
        <w:rPr>
          <w:rFonts w:ascii="Calibri" w:hAnsi="Calibri"/>
          <w:bCs/>
          <w:szCs w:val="32"/>
          <w:lang w:val="en-GB"/>
        </w:rPr>
      </w:pPr>
      <w:r w:rsidRPr="00FA2D52">
        <w:rPr>
          <w:rFonts w:ascii="Calibri" w:hAnsi="Calibri"/>
          <w:bCs/>
          <w:szCs w:val="32"/>
          <w:lang w:val="en-GB"/>
        </w:rPr>
        <w:t>The administration of The Commonwealth of The Bahamas would like to present this information document on improving fellowship eligibility for Member States in light of Resolution 213 (Dubai, 2018) of the International Telecommunication Union (ITU) Plenipotentiary Conference which instructed Council to review the existing criteria for fellowships and make recommendations to the Secretary General on how to improve it. The purpose of this document is to inform on the benefits and opportunities of the upcoming changes and advise on concerns that The Bahamas shares regarding the ITU’s agenda item on improving fellowships.</w:t>
      </w:r>
    </w:p>
    <w:p w14:paraId="066BFC84" w14:textId="77777777" w:rsidR="006C5262" w:rsidRPr="00FA2D52" w:rsidRDefault="006C5262" w:rsidP="006C5262">
      <w:pPr>
        <w:rPr>
          <w:rFonts w:ascii="Calibri" w:hAnsi="Calibri"/>
          <w:bCs/>
          <w:szCs w:val="32"/>
          <w:lang w:val="en-GB"/>
        </w:rPr>
        <w:sectPr w:rsidR="006C5262" w:rsidRPr="00FA2D52" w:rsidSect="006C5262">
          <w:headerReference w:type="default" r:id="rId8"/>
          <w:footerReference w:type="first" r:id="rId9"/>
          <w:pgSz w:w="11901" w:h="16840" w:code="9"/>
          <w:pgMar w:top="1418" w:right="1077" w:bottom="851" w:left="1077" w:header="680" w:footer="720" w:gutter="0"/>
          <w:paperSrc w:first="15" w:other="15"/>
          <w:cols w:space="720"/>
          <w:titlePg/>
          <w:docGrid w:linePitch="360"/>
        </w:sectPr>
      </w:pPr>
    </w:p>
    <w:p w14:paraId="77C2F538" w14:textId="77777777" w:rsidR="006C5262" w:rsidRDefault="006C5262" w:rsidP="006C5262">
      <w:pPr>
        <w:spacing w:before="14" w:line="260" w:lineRule="exact"/>
        <w:ind w:right="350"/>
        <w:rPr>
          <w:sz w:val="26"/>
          <w:szCs w:val="26"/>
        </w:rPr>
        <w:sectPr w:rsidR="006C5262" w:rsidSect="006C5262">
          <w:headerReference w:type="default" r:id="rId10"/>
          <w:footerReference w:type="default" r:id="rId11"/>
          <w:pgSz w:w="11900" w:h="16840"/>
          <w:pgMar w:top="2540" w:right="0" w:bottom="280" w:left="0" w:header="1008" w:footer="0" w:gutter="0"/>
          <w:pgNumType w:start="1"/>
          <w:cols w:space="720"/>
          <w:docGrid w:linePitch="272"/>
        </w:sectPr>
      </w:pPr>
    </w:p>
    <w:p w14:paraId="0D465810" w14:textId="77777777" w:rsidR="006C5262" w:rsidRDefault="006C5262" w:rsidP="006C5262">
      <w:pPr>
        <w:spacing w:before="64" w:line="250" w:lineRule="auto"/>
        <w:ind w:left="851" w:right="350"/>
        <w:rPr>
          <w:rFonts w:ascii="Arial" w:eastAsia="Arial" w:hAnsi="Arial" w:cs="Arial"/>
          <w:b/>
          <w:color w:val="000080"/>
          <w:w w:val="99"/>
          <w:sz w:val="22"/>
          <w:szCs w:val="22"/>
        </w:rPr>
      </w:pPr>
      <w:r>
        <w:rPr>
          <w:rFonts w:ascii="Arial" w:eastAsia="Arial" w:hAnsi="Arial" w:cs="Arial"/>
          <w:b/>
          <w:color w:val="000080"/>
          <w:w w:val="99"/>
          <w:sz w:val="22"/>
          <w:szCs w:val="22"/>
        </w:rPr>
        <w:t>Background &amp; Objective</w:t>
      </w:r>
    </w:p>
    <w:p w14:paraId="5EAD14E2" w14:textId="77777777" w:rsidR="006C5262" w:rsidRPr="00C13060" w:rsidRDefault="006C5262" w:rsidP="006C5262">
      <w:pPr>
        <w:spacing w:before="64" w:line="250" w:lineRule="auto"/>
        <w:ind w:left="851" w:right="350"/>
        <w:jc w:val="both"/>
        <w:rPr>
          <w:rFonts w:ascii="Calibri" w:eastAsia="Arial" w:hAnsi="Calibri" w:cs="Calibri"/>
          <w:sz w:val="18"/>
        </w:rPr>
      </w:pPr>
      <w:r>
        <w:rPr>
          <w:rFonts w:ascii="Calibri" w:eastAsia="Arial" w:hAnsi="Calibri" w:cs="Calibri"/>
          <w:sz w:val="18"/>
        </w:rPr>
        <w:t xml:space="preserve">Resolution 213 (Dubai, 2018) of the </w:t>
      </w:r>
      <w:r w:rsidRPr="00C13060">
        <w:rPr>
          <w:rFonts w:ascii="Calibri" w:eastAsia="Arial" w:hAnsi="Calibri" w:cs="Calibri"/>
          <w:sz w:val="18"/>
        </w:rPr>
        <w:t>International Telecommunication Union (ITU)</w:t>
      </w:r>
      <w:r>
        <w:rPr>
          <w:rFonts w:ascii="Calibri" w:eastAsia="Arial" w:hAnsi="Calibri" w:cs="Calibri"/>
          <w:sz w:val="18"/>
        </w:rPr>
        <w:t xml:space="preserve"> </w:t>
      </w:r>
      <w:r w:rsidRPr="00C13060">
        <w:rPr>
          <w:rFonts w:ascii="Calibri" w:eastAsia="Arial" w:hAnsi="Calibri" w:cs="Calibri"/>
          <w:sz w:val="18"/>
        </w:rPr>
        <w:t xml:space="preserve">Plenipotentiary Conference instructed </w:t>
      </w:r>
      <w:r>
        <w:rPr>
          <w:rFonts w:ascii="Calibri" w:eastAsia="Arial" w:hAnsi="Calibri" w:cs="Calibri"/>
          <w:sz w:val="18"/>
        </w:rPr>
        <w:t>Council</w:t>
      </w:r>
      <w:r w:rsidRPr="00C13060">
        <w:rPr>
          <w:rFonts w:ascii="Calibri" w:eastAsia="Arial" w:hAnsi="Calibri" w:cs="Calibri"/>
          <w:sz w:val="18"/>
        </w:rPr>
        <w:t xml:space="preserve"> to </w:t>
      </w:r>
      <w:r w:rsidRPr="00D67B8E">
        <w:rPr>
          <w:rFonts w:ascii="Calibri" w:eastAsia="Arial" w:hAnsi="Calibri" w:cs="Calibri"/>
          <w:sz w:val="18"/>
        </w:rPr>
        <w:t>review the existing criteria</w:t>
      </w:r>
      <w:r>
        <w:rPr>
          <w:rFonts w:ascii="Calibri" w:eastAsia="Arial" w:hAnsi="Calibri" w:cs="Calibri"/>
          <w:sz w:val="18"/>
        </w:rPr>
        <w:t xml:space="preserve"> for fellowships and make recommendations to the Secretary General on how to improve it. The next step for Council is to consider and endorse a report prepared by the Secretary-General on improving fellowships. A draft report was created and published last year December 2019.</w:t>
      </w:r>
      <w:r w:rsidR="00FC593C">
        <w:rPr>
          <w:rFonts w:ascii="Calibri" w:eastAsia="Arial" w:hAnsi="Calibri" w:cs="Calibri"/>
          <w:sz w:val="18"/>
          <w:lang w:val="en-US"/>
        </w:rPr>
        <w:t xml:space="preserve"> </w:t>
      </w:r>
      <w:r w:rsidRPr="00FA179A">
        <w:rPr>
          <w:rFonts w:ascii="Calibri" w:eastAsia="Arial" w:hAnsi="Calibri" w:cs="Calibri"/>
          <w:sz w:val="18"/>
        </w:rPr>
        <w:t>CWG-FHR is invited to consider and endorse the draft-revised policy for awarding fellowships for events and activities funded through the ITU regular budget and to also endorse the revised list of eligible countries</w:t>
      </w:r>
      <w:r>
        <w:rPr>
          <w:rFonts w:ascii="Calibri" w:eastAsia="Arial" w:hAnsi="Calibri" w:cs="Calibri"/>
          <w:sz w:val="18"/>
        </w:rPr>
        <w:t xml:space="preserve">. </w:t>
      </w:r>
      <w:r w:rsidRPr="00FA179A">
        <w:rPr>
          <w:rFonts w:ascii="Calibri" w:eastAsia="Arial" w:hAnsi="Calibri" w:cs="Calibri"/>
          <w:sz w:val="18"/>
        </w:rPr>
        <w:t>Once approved by the Council, the list will be posted on the fellowship website as a link and updated as and when the status of countries change</w:t>
      </w:r>
      <w:r>
        <w:rPr>
          <w:rFonts w:ascii="Calibri" w:eastAsia="Arial" w:hAnsi="Calibri" w:cs="Calibri"/>
          <w:sz w:val="18"/>
        </w:rPr>
        <w:t xml:space="preserve">, </w:t>
      </w:r>
      <w:r w:rsidRPr="00FA179A">
        <w:rPr>
          <w:rFonts w:ascii="Calibri" w:eastAsia="Arial" w:hAnsi="Calibri" w:cs="Calibri"/>
          <w:sz w:val="18"/>
        </w:rPr>
        <w:t>following decisions of the United Nations</w:t>
      </w:r>
      <w:r>
        <w:rPr>
          <w:rFonts w:ascii="Calibri" w:eastAsia="Arial" w:hAnsi="Calibri" w:cs="Calibri"/>
          <w:sz w:val="18"/>
        </w:rPr>
        <w:t xml:space="preserve"> (</w:t>
      </w:r>
      <w:r w:rsidRPr="00E15117">
        <w:rPr>
          <w:rFonts w:ascii="Calibri" w:eastAsia="Arial" w:hAnsi="Calibri" w:cs="Calibri"/>
          <w:sz w:val="18"/>
        </w:rPr>
        <w:t>CWG-FHR-11/2</w:t>
      </w:r>
      <w:r>
        <w:rPr>
          <w:rFonts w:ascii="Calibri" w:eastAsia="Arial" w:hAnsi="Calibri" w:cs="Calibri"/>
          <w:sz w:val="18"/>
        </w:rPr>
        <w:t xml:space="preserve">, 2019). </w:t>
      </w:r>
    </w:p>
    <w:p w14:paraId="31070F59" w14:textId="77777777" w:rsidR="006C5262" w:rsidRDefault="006C5262" w:rsidP="006C5262">
      <w:pPr>
        <w:spacing w:before="64" w:line="250" w:lineRule="auto"/>
        <w:ind w:left="851" w:right="350"/>
        <w:jc w:val="both"/>
        <w:rPr>
          <w:rFonts w:ascii="Calibri" w:eastAsia="Arial" w:hAnsi="Calibri" w:cs="Calibri"/>
          <w:sz w:val="18"/>
        </w:rPr>
      </w:pPr>
      <w:r w:rsidRPr="00C13060">
        <w:rPr>
          <w:rFonts w:ascii="Calibri" w:eastAsia="Arial" w:hAnsi="Calibri" w:cs="Calibri"/>
          <w:sz w:val="18"/>
        </w:rPr>
        <w:t xml:space="preserve">One of the key outputs from </w:t>
      </w:r>
      <w:r w:rsidR="00F6460D" w:rsidRPr="00C13060">
        <w:rPr>
          <w:rFonts w:ascii="Calibri" w:eastAsia="Arial" w:hAnsi="Calibri" w:cs="Calibri"/>
          <w:sz w:val="18"/>
        </w:rPr>
        <w:t>th</w:t>
      </w:r>
      <w:r w:rsidR="00F6460D">
        <w:rPr>
          <w:rFonts w:ascii="Calibri" w:eastAsia="Arial" w:hAnsi="Calibri" w:cs="Calibri"/>
          <w:sz w:val="18"/>
        </w:rPr>
        <w:t>e proposal</w:t>
      </w:r>
      <w:r>
        <w:rPr>
          <w:rFonts w:ascii="Calibri" w:eastAsia="Arial" w:hAnsi="Calibri" w:cs="Calibri"/>
          <w:sz w:val="18"/>
        </w:rPr>
        <w:t xml:space="preserve"> </w:t>
      </w:r>
      <w:r w:rsidRPr="00C13060">
        <w:rPr>
          <w:rFonts w:ascii="Calibri" w:eastAsia="Arial" w:hAnsi="Calibri" w:cs="Calibri"/>
          <w:sz w:val="18"/>
        </w:rPr>
        <w:t xml:space="preserve">was the eligibility, awarding, and selection criteria. Under the proposed criteria, fellowship is being extended beyond least developing countries (LDCs) and now being made available to developing countries which were sub-grouped into </w:t>
      </w:r>
      <w:bookmarkStart w:id="7" w:name="_Hlk17893240"/>
      <w:r w:rsidRPr="00C13060">
        <w:rPr>
          <w:rFonts w:ascii="Calibri" w:eastAsia="Arial" w:hAnsi="Calibri" w:cs="Calibri"/>
          <w:sz w:val="18"/>
        </w:rPr>
        <w:t>least developed countries, small island development states (SIDS), landlocked developing countries, and countries with economies in transition</w:t>
      </w:r>
      <w:bookmarkEnd w:id="7"/>
      <w:r w:rsidRPr="00C13060">
        <w:rPr>
          <w:rFonts w:ascii="Calibri" w:eastAsia="Arial" w:hAnsi="Calibri" w:cs="Calibri"/>
          <w:sz w:val="18"/>
        </w:rPr>
        <w:t xml:space="preserve">. </w:t>
      </w:r>
    </w:p>
    <w:p w14:paraId="76E49CB9" w14:textId="77777777" w:rsidR="006C5262" w:rsidRPr="00C13060" w:rsidRDefault="006C5262" w:rsidP="006C5262">
      <w:pPr>
        <w:spacing w:before="64" w:line="250" w:lineRule="auto"/>
        <w:ind w:left="851" w:right="350"/>
        <w:jc w:val="both"/>
        <w:rPr>
          <w:rFonts w:ascii="Calibri" w:eastAsia="Arial" w:hAnsi="Calibri" w:cs="Calibri"/>
          <w:sz w:val="18"/>
        </w:rPr>
      </w:pPr>
      <w:r w:rsidRPr="00C13060">
        <w:rPr>
          <w:rFonts w:ascii="Calibri" w:eastAsia="Arial" w:hAnsi="Calibri" w:cs="Calibri"/>
          <w:sz w:val="18"/>
        </w:rPr>
        <w:t xml:space="preserve">As a result, Caribbean nations such as The Bahamas, Trinidad &amp; Tobago, Jamaica, Antigua and Barbuda, Saint Kitts and Nevis, Saint Lucia, Guyana and </w:t>
      </w:r>
      <w:bookmarkStart w:id="8" w:name="_Hlk17894597"/>
      <w:r w:rsidRPr="00C13060">
        <w:rPr>
          <w:rFonts w:ascii="Calibri" w:eastAsia="Arial" w:hAnsi="Calibri" w:cs="Calibri"/>
          <w:sz w:val="18"/>
        </w:rPr>
        <w:t xml:space="preserve">other Eastern Caribbean countries </w:t>
      </w:r>
      <w:bookmarkEnd w:id="8"/>
      <w:r w:rsidRPr="00C13060">
        <w:rPr>
          <w:rFonts w:ascii="Calibri" w:eastAsia="Arial" w:hAnsi="Calibri" w:cs="Calibri"/>
          <w:sz w:val="18"/>
        </w:rPr>
        <w:t xml:space="preserve">have been added to the list of Member States eligible for fellowships funded through the ITU regular budget. </w:t>
      </w:r>
    </w:p>
    <w:p w14:paraId="3B5D6BC7" w14:textId="77777777" w:rsidR="006C5262" w:rsidRPr="00C13060" w:rsidRDefault="006C5262" w:rsidP="006C5262">
      <w:pPr>
        <w:spacing w:before="64" w:line="250" w:lineRule="auto"/>
        <w:ind w:left="851" w:right="350"/>
        <w:jc w:val="both"/>
        <w:rPr>
          <w:rFonts w:ascii="Calibri" w:eastAsia="Arial" w:hAnsi="Calibri" w:cs="Calibri"/>
          <w:sz w:val="18"/>
        </w:rPr>
      </w:pPr>
      <w:r w:rsidRPr="00C13060">
        <w:rPr>
          <w:rFonts w:ascii="Calibri" w:eastAsia="Arial" w:hAnsi="Calibri" w:cs="Calibri"/>
          <w:sz w:val="18"/>
        </w:rPr>
        <w:t>The purpose of this briefing document is</w:t>
      </w:r>
      <w:r>
        <w:rPr>
          <w:rFonts w:ascii="Calibri" w:eastAsia="Arial" w:hAnsi="Calibri" w:cs="Calibri"/>
          <w:sz w:val="18"/>
        </w:rPr>
        <w:t xml:space="preserve"> to inform on </w:t>
      </w:r>
      <w:r w:rsidRPr="00C13060">
        <w:rPr>
          <w:rFonts w:ascii="Calibri" w:eastAsia="Arial" w:hAnsi="Calibri" w:cs="Calibri"/>
          <w:sz w:val="18"/>
        </w:rPr>
        <w:t>the benefits</w:t>
      </w:r>
      <w:r>
        <w:rPr>
          <w:rFonts w:ascii="Calibri" w:eastAsia="Arial" w:hAnsi="Calibri" w:cs="Calibri"/>
          <w:sz w:val="18"/>
        </w:rPr>
        <w:t xml:space="preserve"> and </w:t>
      </w:r>
      <w:r w:rsidRPr="00C13060">
        <w:rPr>
          <w:rFonts w:ascii="Calibri" w:eastAsia="Arial" w:hAnsi="Calibri" w:cs="Calibri"/>
          <w:sz w:val="18"/>
        </w:rPr>
        <w:t>opportunities</w:t>
      </w:r>
      <w:r>
        <w:rPr>
          <w:rFonts w:ascii="Calibri" w:eastAsia="Arial" w:hAnsi="Calibri" w:cs="Calibri"/>
          <w:sz w:val="18"/>
        </w:rPr>
        <w:t xml:space="preserve"> of the upcoming changes </w:t>
      </w:r>
      <w:r w:rsidRPr="00C13060">
        <w:rPr>
          <w:rFonts w:ascii="Calibri" w:eastAsia="Arial" w:hAnsi="Calibri" w:cs="Calibri"/>
          <w:sz w:val="18"/>
        </w:rPr>
        <w:t xml:space="preserve">and </w:t>
      </w:r>
      <w:r>
        <w:rPr>
          <w:rFonts w:ascii="Calibri" w:eastAsia="Arial" w:hAnsi="Calibri" w:cs="Calibri"/>
          <w:sz w:val="18"/>
        </w:rPr>
        <w:t xml:space="preserve">advise on </w:t>
      </w:r>
      <w:r w:rsidRPr="00C13060">
        <w:rPr>
          <w:rFonts w:ascii="Calibri" w:eastAsia="Arial" w:hAnsi="Calibri" w:cs="Calibri"/>
          <w:sz w:val="18"/>
        </w:rPr>
        <w:t>concerns that The Bahamas shares regarding the ITU’s agenda item on improving fellowships.</w:t>
      </w:r>
      <w:r>
        <w:rPr>
          <w:rFonts w:ascii="Calibri" w:eastAsia="Arial" w:hAnsi="Calibri" w:cs="Calibri"/>
          <w:sz w:val="18"/>
        </w:rPr>
        <w:t xml:space="preserve"> This is also done in a greater effort to gather views from other regional countries. </w:t>
      </w:r>
    </w:p>
    <w:p w14:paraId="09FC93D4" w14:textId="77777777" w:rsidR="006C5262" w:rsidRPr="007B3F61" w:rsidRDefault="006C5262" w:rsidP="006C5262">
      <w:pPr>
        <w:spacing w:before="15" w:line="220" w:lineRule="exact"/>
        <w:ind w:right="350"/>
        <w:jc w:val="both"/>
        <w:rPr>
          <w:rFonts w:ascii="Calibri" w:hAnsi="Calibri"/>
          <w:sz w:val="22"/>
          <w:szCs w:val="22"/>
        </w:rPr>
      </w:pPr>
      <w:r>
        <w:rPr>
          <w:sz w:val="22"/>
          <w:szCs w:val="22"/>
        </w:rPr>
        <w:t xml:space="preserve">                       </w:t>
      </w:r>
    </w:p>
    <w:p w14:paraId="39BFDA06" w14:textId="77777777" w:rsidR="006C5262" w:rsidRDefault="006C5262" w:rsidP="006C5262">
      <w:pPr>
        <w:ind w:left="851" w:right="350"/>
        <w:jc w:val="both"/>
        <w:rPr>
          <w:rFonts w:ascii="Arial" w:eastAsia="Arial" w:hAnsi="Arial" w:cs="Arial"/>
          <w:sz w:val="22"/>
          <w:szCs w:val="22"/>
        </w:rPr>
      </w:pPr>
      <w:r w:rsidRPr="003401B6">
        <w:rPr>
          <w:rFonts w:ascii="Arial" w:eastAsia="Arial" w:hAnsi="Arial" w:cs="Arial"/>
          <w:b/>
          <w:color w:val="000080"/>
          <w:w w:val="99"/>
          <w:sz w:val="22"/>
          <w:szCs w:val="22"/>
        </w:rPr>
        <w:t>Current Framework for Fellowships</w:t>
      </w:r>
    </w:p>
    <w:p w14:paraId="101BDFE4" w14:textId="77777777" w:rsidR="006C5262" w:rsidRDefault="006C5262" w:rsidP="006C5262">
      <w:pPr>
        <w:spacing w:before="65" w:line="250" w:lineRule="auto"/>
        <w:ind w:left="851" w:right="350"/>
        <w:jc w:val="both"/>
        <w:rPr>
          <w:rFonts w:ascii="Calibri" w:eastAsia="Arial" w:hAnsi="Calibri" w:cs="Calibri"/>
          <w:sz w:val="18"/>
        </w:rPr>
      </w:pPr>
      <w:r w:rsidRPr="00C13060">
        <w:rPr>
          <w:rFonts w:ascii="Calibri" w:eastAsia="Arial" w:hAnsi="Calibri" w:cs="Calibri"/>
          <w:sz w:val="18"/>
        </w:rPr>
        <w:t xml:space="preserve">Within the ITU, fellowships are monetary tools that are awarded to delegates from Member States requesting support from the ITU to attend related events or activities. </w:t>
      </w:r>
    </w:p>
    <w:p w14:paraId="1868DACA" w14:textId="77777777" w:rsidR="006C5262" w:rsidRDefault="006C5262" w:rsidP="006C5262">
      <w:pPr>
        <w:spacing w:before="65" w:line="250" w:lineRule="auto"/>
        <w:ind w:left="851" w:right="350"/>
        <w:jc w:val="both"/>
        <w:rPr>
          <w:rFonts w:ascii="Calibri" w:eastAsia="Arial" w:hAnsi="Calibri" w:cs="Calibri"/>
          <w:sz w:val="18"/>
        </w:rPr>
      </w:pPr>
      <w:r w:rsidRPr="00C13060">
        <w:rPr>
          <w:rFonts w:ascii="Calibri" w:eastAsia="Arial" w:hAnsi="Calibri" w:cs="Calibri"/>
          <w:sz w:val="18"/>
        </w:rPr>
        <w:t xml:space="preserve">Prior to Resolution 213, fellowships were prioritized for LDCs and low-income countries which had a per capita gross domestic product (GDP) below 2,000 USD. From a Caribbean lens, this meant that only Cuba and Haiti </w:t>
      </w:r>
      <w:r>
        <w:rPr>
          <w:rFonts w:ascii="Calibri" w:eastAsia="Arial" w:hAnsi="Calibri" w:cs="Calibri"/>
          <w:sz w:val="18"/>
        </w:rPr>
        <w:t>received</w:t>
      </w:r>
      <w:r w:rsidRPr="00C13060">
        <w:rPr>
          <w:rFonts w:ascii="Calibri" w:eastAsia="Arial" w:hAnsi="Calibri" w:cs="Calibri"/>
          <w:sz w:val="18"/>
        </w:rPr>
        <w:t xml:space="preserve"> for fellowships as of 2018. </w:t>
      </w:r>
    </w:p>
    <w:p w14:paraId="099E2A43" w14:textId="77777777" w:rsidR="006C5262" w:rsidRPr="00C13060" w:rsidRDefault="006C5262" w:rsidP="006C5262">
      <w:pPr>
        <w:spacing w:before="65" w:line="250" w:lineRule="auto"/>
        <w:ind w:left="851" w:right="350"/>
        <w:jc w:val="both"/>
        <w:rPr>
          <w:rFonts w:ascii="Calibri" w:eastAsia="Arial" w:hAnsi="Calibri" w:cs="Calibri"/>
          <w:sz w:val="18"/>
        </w:rPr>
      </w:pPr>
      <w:r w:rsidRPr="00C13060">
        <w:rPr>
          <w:rFonts w:ascii="Calibri" w:eastAsia="Arial" w:hAnsi="Calibri" w:cs="Calibri"/>
          <w:sz w:val="18"/>
        </w:rPr>
        <w:t>It has been over a decade since this stipulation was put in place and given the rise in digital innovations and usage of information and communications technologies (ICTs), a revision was deemed necessary.</w:t>
      </w:r>
    </w:p>
    <w:p w14:paraId="13C80CA2" w14:textId="77777777" w:rsidR="006C5262" w:rsidRDefault="006C5262" w:rsidP="006C5262">
      <w:pPr>
        <w:spacing w:before="5" w:line="220" w:lineRule="exact"/>
        <w:ind w:right="350"/>
        <w:rPr>
          <w:sz w:val="22"/>
          <w:szCs w:val="22"/>
        </w:rPr>
      </w:pPr>
    </w:p>
    <w:p w14:paraId="7C99507B" w14:textId="77777777" w:rsidR="006C5262" w:rsidRDefault="006C5262" w:rsidP="006C5262">
      <w:pPr>
        <w:ind w:left="851" w:right="350"/>
        <w:jc w:val="both"/>
        <w:rPr>
          <w:rFonts w:ascii="Arial" w:eastAsia="Arial" w:hAnsi="Arial" w:cs="Arial"/>
          <w:sz w:val="22"/>
          <w:szCs w:val="22"/>
        </w:rPr>
      </w:pPr>
      <w:r>
        <w:rPr>
          <w:rFonts w:ascii="Arial" w:eastAsia="Arial" w:hAnsi="Arial" w:cs="Arial"/>
          <w:b/>
          <w:color w:val="000080"/>
          <w:w w:val="99"/>
          <w:sz w:val="22"/>
          <w:szCs w:val="22"/>
        </w:rPr>
        <w:t>How can the Caribbean benefit?</w:t>
      </w:r>
    </w:p>
    <w:p w14:paraId="20B17047" w14:textId="77777777" w:rsidR="006C5262" w:rsidRDefault="006C5262" w:rsidP="006C5262">
      <w:pPr>
        <w:spacing w:before="65" w:line="250" w:lineRule="auto"/>
        <w:ind w:left="851" w:right="350"/>
        <w:jc w:val="both"/>
        <w:rPr>
          <w:rFonts w:ascii="Calibri" w:eastAsia="Arial" w:hAnsi="Calibri" w:cs="Calibri"/>
          <w:sz w:val="18"/>
        </w:rPr>
      </w:pPr>
      <w:r w:rsidRPr="00336F3F">
        <w:rPr>
          <w:rFonts w:ascii="Calibri" w:eastAsia="Arial" w:hAnsi="Calibri" w:cs="Calibri"/>
          <w:sz w:val="18"/>
        </w:rPr>
        <w:t xml:space="preserve">For the Caribbean, it is important to take advantage of fellowships because they exist with the purpose to </w:t>
      </w:r>
      <w:r>
        <w:rPr>
          <w:rFonts w:ascii="Calibri" w:eastAsia="Arial" w:hAnsi="Calibri" w:cs="Calibri"/>
          <w:sz w:val="18"/>
        </w:rPr>
        <w:t xml:space="preserve">further </w:t>
      </w:r>
      <w:r w:rsidRPr="00336F3F">
        <w:rPr>
          <w:rFonts w:ascii="Calibri" w:eastAsia="Arial" w:hAnsi="Calibri" w:cs="Calibri"/>
          <w:sz w:val="18"/>
        </w:rPr>
        <w:t xml:space="preserve">strengthen regional presence and by extension, help to develop access to ICTs, develop ICT regulatory policy for the </w:t>
      </w:r>
    </w:p>
    <w:p w14:paraId="522D155B" w14:textId="77777777" w:rsidR="006C5262" w:rsidRDefault="006C5262" w:rsidP="006C5262">
      <w:pPr>
        <w:spacing w:before="65" w:line="250" w:lineRule="auto"/>
        <w:ind w:left="851" w:right="350"/>
        <w:jc w:val="both"/>
        <w:rPr>
          <w:rFonts w:ascii="Calibri" w:eastAsia="Arial" w:hAnsi="Calibri" w:cs="Calibri"/>
          <w:sz w:val="18"/>
        </w:rPr>
      </w:pPr>
    </w:p>
    <w:p w14:paraId="26991B6D" w14:textId="77777777" w:rsidR="006C5262" w:rsidRDefault="006C5262" w:rsidP="006C5262">
      <w:pPr>
        <w:spacing w:before="65" w:line="250" w:lineRule="auto"/>
        <w:ind w:left="851" w:right="350"/>
        <w:jc w:val="both"/>
        <w:rPr>
          <w:rFonts w:ascii="Calibri" w:eastAsia="Arial" w:hAnsi="Calibri" w:cs="Calibri"/>
          <w:sz w:val="18"/>
        </w:rPr>
      </w:pPr>
    </w:p>
    <w:p w14:paraId="5ABDF67E" w14:textId="77777777" w:rsidR="006C5262" w:rsidRDefault="006C5262" w:rsidP="006C5262">
      <w:pPr>
        <w:spacing w:before="65" w:line="250" w:lineRule="auto"/>
        <w:ind w:right="350"/>
        <w:jc w:val="both"/>
        <w:rPr>
          <w:rFonts w:ascii="Calibri" w:eastAsia="Arial" w:hAnsi="Calibri" w:cs="Calibri"/>
          <w:sz w:val="18"/>
        </w:rPr>
      </w:pPr>
      <w:r w:rsidRPr="00336F3F">
        <w:rPr>
          <w:rFonts w:ascii="Calibri" w:eastAsia="Arial" w:hAnsi="Calibri" w:cs="Calibri"/>
          <w:sz w:val="18"/>
        </w:rPr>
        <w:t xml:space="preserve">betterment of the population and narrow the global digital divide. </w:t>
      </w:r>
    </w:p>
    <w:p w14:paraId="44A62E11" w14:textId="77777777" w:rsidR="006C5262" w:rsidRDefault="006C5262" w:rsidP="006C5262">
      <w:pPr>
        <w:spacing w:before="65" w:line="250" w:lineRule="auto"/>
        <w:ind w:right="350"/>
        <w:jc w:val="both"/>
        <w:rPr>
          <w:rFonts w:ascii="Calibri" w:eastAsia="Arial" w:hAnsi="Calibri" w:cs="Calibri"/>
          <w:sz w:val="18"/>
        </w:rPr>
      </w:pPr>
      <w:r w:rsidRPr="00336F3F">
        <w:rPr>
          <w:rFonts w:ascii="Calibri" w:eastAsia="Arial" w:hAnsi="Calibri" w:cs="Calibri"/>
          <w:sz w:val="18"/>
        </w:rPr>
        <w:t>Through the ITU, Member States have access to conferences, building capacity activities, and the opportunity to provide/take contributions (knowledge, human resources) to or from other Member States.</w:t>
      </w:r>
    </w:p>
    <w:p w14:paraId="36422A67" w14:textId="77777777" w:rsidR="006C5262" w:rsidRPr="00C417E0" w:rsidRDefault="006C5262" w:rsidP="006C5262">
      <w:pPr>
        <w:ind w:left="270" w:right="350"/>
        <w:rPr>
          <w:rFonts w:ascii="Calibri" w:eastAsia="Arial" w:hAnsi="Calibri" w:cs="Calibri"/>
          <w:sz w:val="18"/>
        </w:rPr>
      </w:pPr>
    </w:p>
    <w:p w14:paraId="23617E4C" w14:textId="77777777" w:rsidR="006C5262" w:rsidRPr="007B3F61" w:rsidRDefault="006C5262" w:rsidP="006C5262">
      <w:pPr>
        <w:ind w:left="90" w:right="350"/>
        <w:jc w:val="both"/>
        <w:rPr>
          <w:rFonts w:ascii="Arial" w:eastAsia="Arial" w:hAnsi="Arial" w:cs="Arial"/>
          <w:b/>
          <w:color w:val="000080"/>
          <w:w w:val="99"/>
          <w:sz w:val="22"/>
          <w:szCs w:val="22"/>
        </w:rPr>
      </w:pPr>
      <w:r w:rsidRPr="00857A45">
        <w:rPr>
          <w:rFonts w:ascii="Arial" w:eastAsia="Arial" w:hAnsi="Arial" w:cs="Arial"/>
          <w:b/>
          <w:color w:val="000080"/>
          <w:w w:val="99"/>
          <w:sz w:val="22"/>
          <w:szCs w:val="22"/>
        </w:rPr>
        <w:t>Fellowships in 2018 and 2019</w:t>
      </w:r>
    </w:p>
    <w:p w14:paraId="6E36EB05" w14:textId="77777777" w:rsidR="006C5262" w:rsidRDefault="006C5262" w:rsidP="006C5262">
      <w:pPr>
        <w:spacing w:before="64" w:line="250" w:lineRule="auto"/>
        <w:ind w:left="90" w:right="620"/>
        <w:jc w:val="both"/>
        <w:rPr>
          <w:rFonts w:ascii="Calibri" w:eastAsia="Arial" w:hAnsi="Calibri" w:cs="Calibri"/>
          <w:sz w:val="18"/>
        </w:rPr>
      </w:pPr>
      <w:r w:rsidRPr="00E1676F">
        <w:rPr>
          <w:rFonts w:ascii="Calibri" w:eastAsia="Arial" w:hAnsi="Calibri" w:cs="Calibri"/>
          <w:sz w:val="18"/>
        </w:rPr>
        <w:t>Last year, the ITU awarded 509 fellowships valued at a near one million dollars. However, of the 509 fellowships, Member States that</w:t>
      </w:r>
      <w:r w:rsidRPr="00336F3F">
        <w:rPr>
          <w:rFonts w:ascii="Calibri" w:eastAsia="Arial" w:hAnsi="Calibri" w:cs="Calibri"/>
          <w:sz w:val="18"/>
        </w:rPr>
        <w:t xml:space="preserve"> qualified for the Americas region (Cuba &amp; Haiti) were only awarded 12 fellowships under ITU-D. The amount represents a mere 2.36 percent of fellowships awarded within that sector. In addition, only nine ITU related events and activities were hosted i</w:t>
      </w:r>
      <w:r>
        <w:rPr>
          <w:rFonts w:ascii="Calibri" w:eastAsia="Arial" w:hAnsi="Calibri" w:cs="Calibri"/>
          <w:sz w:val="18"/>
        </w:rPr>
        <w:t xml:space="preserve">n </w:t>
      </w:r>
      <w:r w:rsidRPr="00336F3F">
        <w:rPr>
          <w:rFonts w:ascii="Calibri" w:eastAsia="Arial" w:hAnsi="Calibri" w:cs="Calibri"/>
          <w:sz w:val="18"/>
        </w:rPr>
        <w:t>the Americas region in the past year; making it the only region</w:t>
      </w:r>
      <w:r>
        <w:rPr>
          <w:rFonts w:ascii="Calibri" w:eastAsia="Arial" w:hAnsi="Calibri" w:cs="Calibri"/>
          <w:sz w:val="18"/>
        </w:rPr>
        <w:t xml:space="preserve"> </w:t>
      </w:r>
      <w:r w:rsidRPr="00336F3F">
        <w:rPr>
          <w:rFonts w:ascii="Calibri" w:eastAsia="Arial" w:hAnsi="Calibri" w:cs="Calibri"/>
          <w:sz w:val="18"/>
        </w:rPr>
        <w:t>with single digit contributions. Therefore, under the new resolution, there is an opportunity to improve the number of fellowships being granted for countries in the region that are now eligible</w:t>
      </w:r>
      <w:r>
        <w:rPr>
          <w:rFonts w:ascii="Calibri" w:eastAsia="Arial" w:hAnsi="Calibri" w:cs="Calibri"/>
          <w:sz w:val="18"/>
        </w:rPr>
        <w:t xml:space="preserve">. </w:t>
      </w:r>
    </w:p>
    <w:p w14:paraId="4BE30E9C" w14:textId="77777777" w:rsidR="006C5262" w:rsidRPr="00336F3F" w:rsidRDefault="006C5262" w:rsidP="006C5262">
      <w:pPr>
        <w:spacing w:before="64" w:line="250" w:lineRule="auto"/>
        <w:ind w:left="90" w:right="620"/>
        <w:jc w:val="both"/>
        <w:rPr>
          <w:rFonts w:ascii="Calibri" w:eastAsia="Arial" w:hAnsi="Calibri" w:cs="Calibri"/>
          <w:sz w:val="18"/>
        </w:rPr>
      </w:pPr>
      <w:r>
        <w:rPr>
          <w:rFonts w:ascii="Calibri" w:eastAsia="Arial" w:hAnsi="Calibri" w:cs="Calibri"/>
          <w:sz w:val="18"/>
        </w:rPr>
        <w:t xml:space="preserve">Data coming in for fellowships in 2019 will not be finalized until February 2020. Estimated figures received by ITU Fellowships showed that the Americas region received 17 fellowships, five more versus the previous year. The information is not yet available by individual Member State. </w:t>
      </w:r>
    </w:p>
    <w:p w14:paraId="60B450CF" w14:textId="77777777" w:rsidR="006C5262" w:rsidRPr="007B3F61" w:rsidRDefault="006C5262" w:rsidP="006C5262">
      <w:pPr>
        <w:ind w:left="86" w:right="620"/>
        <w:jc w:val="both"/>
        <w:rPr>
          <w:rFonts w:ascii="Calibri" w:eastAsia="Arial" w:hAnsi="Calibri" w:cs="Arial"/>
          <w:b/>
          <w:color w:val="000080"/>
          <w:w w:val="99"/>
          <w:sz w:val="22"/>
          <w:szCs w:val="22"/>
        </w:rPr>
      </w:pPr>
    </w:p>
    <w:p w14:paraId="008D02C0" w14:textId="77777777" w:rsidR="006C5262" w:rsidRDefault="006C5262" w:rsidP="006C5262">
      <w:pPr>
        <w:ind w:left="90" w:right="620"/>
        <w:jc w:val="both"/>
        <w:rPr>
          <w:rFonts w:ascii="Arial" w:eastAsia="Arial" w:hAnsi="Arial" w:cs="Arial"/>
          <w:sz w:val="22"/>
          <w:szCs w:val="22"/>
        </w:rPr>
      </w:pPr>
      <w:r>
        <w:rPr>
          <w:rFonts w:ascii="Arial" w:eastAsia="Arial" w:hAnsi="Arial" w:cs="Arial"/>
          <w:b/>
          <w:color w:val="000080"/>
          <w:w w:val="99"/>
          <w:sz w:val="22"/>
          <w:szCs w:val="22"/>
        </w:rPr>
        <w:t>Key Takeaways</w:t>
      </w:r>
    </w:p>
    <w:p w14:paraId="3CAF224B" w14:textId="77777777" w:rsidR="006C5262" w:rsidRDefault="006C5262" w:rsidP="006C5262">
      <w:pPr>
        <w:spacing w:line="250" w:lineRule="auto"/>
        <w:ind w:left="90" w:right="620"/>
        <w:jc w:val="both"/>
        <w:rPr>
          <w:rFonts w:ascii="Arial" w:eastAsia="Arial" w:hAnsi="Arial" w:cs="Arial"/>
        </w:rPr>
      </w:pPr>
    </w:p>
    <w:p w14:paraId="25C366F9" w14:textId="77777777" w:rsidR="006C5262" w:rsidRPr="00202AAB"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02AAB">
        <w:rPr>
          <w:rFonts w:ascii="Calibri" w:eastAsia="Arial" w:hAnsi="Calibri" w:cs="Calibri"/>
          <w:sz w:val="18"/>
        </w:rPr>
        <w:t xml:space="preserve">Member States now eligible for fellowships increased and the </w:t>
      </w:r>
      <w:r>
        <w:rPr>
          <w:rFonts w:ascii="Calibri" w:eastAsia="Arial" w:hAnsi="Calibri" w:cs="Calibri"/>
          <w:sz w:val="18"/>
        </w:rPr>
        <w:t xml:space="preserve">new </w:t>
      </w:r>
      <w:r w:rsidRPr="00202AAB">
        <w:rPr>
          <w:rFonts w:ascii="Calibri" w:eastAsia="Arial" w:hAnsi="Calibri" w:cs="Calibri"/>
          <w:sz w:val="18"/>
        </w:rPr>
        <w:t xml:space="preserve">list provides for inclusion of </w:t>
      </w:r>
      <w:r>
        <w:rPr>
          <w:rFonts w:ascii="Calibri" w:eastAsia="Arial" w:hAnsi="Calibri" w:cs="Calibri"/>
          <w:sz w:val="18"/>
        </w:rPr>
        <w:t xml:space="preserve">more </w:t>
      </w:r>
      <w:r w:rsidRPr="00202AAB">
        <w:rPr>
          <w:rFonts w:ascii="Calibri" w:eastAsia="Arial" w:hAnsi="Calibri" w:cs="Calibri"/>
          <w:sz w:val="18"/>
        </w:rPr>
        <w:t xml:space="preserve">Caribbean </w:t>
      </w:r>
      <w:r>
        <w:rPr>
          <w:rFonts w:ascii="Calibri" w:eastAsia="Arial" w:hAnsi="Calibri" w:cs="Calibri"/>
          <w:sz w:val="18"/>
        </w:rPr>
        <w:t xml:space="preserve">and Latin American </w:t>
      </w:r>
      <w:r w:rsidRPr="00202AAB">
        <w:rPr>
          <w:rFonts w:ascii="Calibri" w:eastAsia="Arial" w:hAnsi="Calibri" w:cs="Calibri"/>
          <w:sz w:val="18"/>
        </w:rPr>
        <w:t xml:space="preserve">countries.  </w:t>
      </w:r>
    </w:p>
    <w:p w14:paraId="54522796" w14:textId="77777777" w:rsidR="006C5262" w:rsidRDefault="006C5262" w:rsidP="006C5262">
      <w:pPr>
        <w:pStyle w:val="ListParagraph"/>
        <w:numPr>
          <w:ilvl w:val="0"/>
          <w:numId w:val="1"/>
        </w:numPr>
        <w:spacing w:before="64" w:line="250" w:lineRule="auto"/>
        <w:ind w:left="360" w:right="620" w:hanging="274"/>
        <w:jc w:val="both"/>
        <w:rPr>
          <w:rFonts w:ascii="Calibri" w:eastAsia="Arial" w:hAnsi="Calibri" w:cs="Calibri"/>
          <w:sz w:val="18"/>
        </w:rPr>
      </w:pPr>
      <w:r w:rsidRPr="00202AAB">
        <w:rPr>
          <w:rFonts w:ascii="Calibri" w:eastAsia="Arial" w:hAnsi="Calibri" w:cs="Calibri"/>
          <w:sz w:val="18"/>
        </w:rPr>
        <w:t>Fellowships will be awarded with the view to maintain equitable geographical distribution and gender balance.</w:t>
      </w:r>
    </w:p>
    <w:p w14:paraId="6EC58A1E" w14:textId="77777777" w:rsidR="006C5262" w:rsidRPr="00E15117" w:rsidRDefault="006C5262" w:rsidP="006C5262">
      <w:pPr>
        <w:pStyle w:val="ListParagraph"/>
        <w:numPr>
          <w:ilvl w:val="0"/>
          <w:numId w:val="1"/>
        </w:numPr>
        <w:spacing w:before="64" w:line="250" w:lineRule="auto"/>
        <w:ind w:left="360" w:right="620" w:hanging="274"/>
        <w:jc w:val="both"/>
        <w:rPr>
          <w:rFonts w:ascii="Calibri" w:eastAsia="Arial" w:hAnsi="Calibri" w:cs="Calibri"/>
          <w:sz w:val="18"/>
        </w:rPr>
      </w:pPr>
      <w:r w:rsidRPr="00E15117">
        <w:rPr>
          <w:rFonts w:ascii="Calibri" w:eastAsia="Arial" w:hAnsi="Calibri" w:cs="Calibri"/>
          <w:sz w:val="18"/>
        </w:rPr>
        <w:t>Member States wishing to apply for an ITU fellowship must not have any type of debt related to the contributions derived from their contributory unit, except those who have agreed to a repayment plan and are in compliance with their obligations.</w:t>
      </w:r>
    </w:p>
    <w:p w14:paraId="2B509EEE" w14:textId="77777777" w:rsidR="006C5262" w:rsidRPr="00202AAB"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02AAB">
        <w:rPr>
          <w:rFonts w:ascii="Calibri" w:eastAsia="Arial" w:hAnsi="Calibri" w:cs="Calibri"/>
          <w:sz w:val="18"/>
        </w:rPr>
        <w:t>Fellowship programs will be reviewed to allow for delegates with disabilities and specific needs.</w:t>
      </w:r>
    </w:p>
    <w:p w14:paraId="4EEDD804" w14:textId="77777777" w:rsidR="006C5262"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02AAB">
        <w:rPr>
          <w:rFonts w:ascii="Calibri" w:eastAsia="Arial" w:hAnsi="Calibri" w:cs="Calibri"/>
          <w:sz w:val="18"/>
        </w:rPr>
        <w:t xml:space="preserve">Fellowships will not be granted for “treaty-making conferences” such as WRC </w:t>
      </w:r>
    </w:p>
    <w:p w14:paraId="1584FD34" w14:textId="77777777" w:rsidR="006C5262" w:rsidRPr="00202AAB"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40724">
        <w:rPr>
          <w:rFonts w:ascii="Calibri" w:eastAsia="Arial" w:hAnsi="Calibri" w:cs="Calibri"/>
          <w:sz w:val="18"/>
        </w:rPr>
        <w:t>One full fellowship, or one or two partial fellowships can be granted per eligible Member State/entity</w:t>
      </w:r>
      <w:r>
        <w:rPr>
          <w:rFonts w:ascii="Calibri" w:eastAsia="Arial" w:hAnsi="Calibri" w:cs="Calibri"/>
          <w:sz w:val="18"/>
        </w:rPr>
        <w:t xml:space="preserve"> with respect to each event </w:t>
      </w:r>
    </w:p>
    <w:p w14:paraId="29F26F03" w14:textId="77777777" w:rsidR="006C5262" w:rsidRPr="00202AAB"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02AAB">
        <w:rPr>
          <w:rFonts w:ascii="Calibri" w:eastAsia="Arial" w:hAnsi="Calibri" w:cs="Calibri"/>
          <w:sz w:val="18"/>
        </w:rPr>
        <w:t>A website is expected to be created so that Member States would have access to all information on ITU Fellowships.</w:t>
      </w:r>
    </w:p>
    <w:p w14:paraId="549985A1" w14:textId="77777777" w:rsidR="006C5262" w:rsidRDefault="006C5262" w:rsidP="006C5262">
      <w:pPr>
        <w:pStyle w:val="ListParagraph"/>
        <w:numPr>
          <w:ilvl w:val="0"/>
          <w:numId w:val="1"/>
        </w:numPr>
        <w:spacing w:line="250" w:lineRule="auto"/>
        <w:ind w:left="360" w:right="620" w:hanging="270"/>
        <w:jc w:val="both"/>
        <w:rPr>
          <w:rFonts w:ascii="Calibri" w:eastAsia="Arial" w:hAnsi="Calibri" w:cs="Calibri"/>
          <w:sz w:val="18"/>
        </w:rPr>
      </w:pPr>
      <w:r w:rsidRPr="00202AAB">
        <w:rPr>
          <w:rFonts w:ascii="Calibri" w:eastAsia="Arial" w:hAnsi="Calibri" w:cs="Calibri"/>
          <w:sz w:val="18"/>
        </w:rPr>
        <w:t>An annual report on fellowships with information and analysis by ITU Sector (ITU-R, ITU-D, ITU-T) is to be prepared to the ITU council.</w:t>
      </w:r>
    </w:p>
    <w:p w14:paraId="20A84C87" w14:textId="77777777" w:rsidR="006C5262" w:rsidRPr="00202AAB" w:rsidRDefault="006C5262" w:rsidP="006C5262">
      <w:pPr>
        <w:spacing w:line="250" w:lineRule="auto"/>
        <w:ind w:left="90" w:right="620"/>
        <w:jc w:val="both"/>
        <w:rPr>
          <w:rFonts w:ascii="Calibri" w:eastAsia="Arial" w:hAnsi="Calibri" w:cs="Calibri"/>
          <w:sz w:val="18"/>
        </w:rPr>
      </w:pPr>
    </w:p>
    <w:p w14:paraId="738CA51E" w14:textId="77777777" w:rsidR="006C5262" w:rsidRDefault="006C5262" w:rsidP="006C5262">
      <w:pPr>
        <w:ind w:left="90" w:right="620"/>
        <w:jc w:val="both"/>
        <w:rPr>
          <w:rFonts w:ascii="Arial" w:eastAsia="Arial" w:hAnsi="Arial" w:cs="Arial"/>
          <w:b/>
          <w:color w:val="000080"/>
          <w:w w:val="99"/>
          <w:sz w:val="22"/>
          <w:szCs w:val="22"/>
        </w:rPr>
      </w:pPr>
      <w:r>
        <w:rPr>
          <w:rFonts w:ascii="Arial" w:eastAsia="Arial" w:hAnsi="Arial" w:cs="Arial"/>
          <w:b/>
          <w:color w:val="000080"/>
          <w:w w:val="99"/>
          <w:sz w:val="22"/>
          <w:szCs w:val="22"/>
        </w:rPr>
        <w:t>More Opportunities</w:t>
      </w:r>
    </w:p>
    <w:p w14:paraId="75A75413" w14:textId="77777777" w:rsidR="006C5262" w:rsidRPr="00F5247B" w:rsidRDefault="006C5262" w:rsidP="006C5262">
      <w:pPr>
        <w:spacing w:before="64" w:line="250" w:lineRule="auto"/>
        <w:ind w:left="90" w:right="620"/>
        <w:jc w:val="both"/>
        <w:rPr>
          <w:rFonts w:ascii="Calibri" w:eastAsia="Arial" w:hAnsi="Calibri" w:cs="Calibri"/>
          <w:i/>
          <w:sz w:val="18"/>
        </w:rPr>
      </w:pPr>
      <w:r w:rsidRPr="00F5247B">
        <w:rPr>
          <w:rFonts w:ascii="Calibri" w:eastAsia="Arial" w:hAnsi="Calibri" w:cs="Calibri"/>
          <w:i/>
          <w:sz w:val="18"/>
        </w:rPr>
        <w:t>Gender Balance</w:t>
      </w:r>
    </w:p>
    <w:p w14:paraId="2F515790" w14:textId="77777777" w:rsidR="006C5262" w:rsidRDefault="006C5262" w:rsidP="006C5262">
      <w:pPr>
        <w:spacing w:before="64" w:line="250" w:lineRule="auto"/>
        <w:ind w:left="90" w:right="620"/>
        <w:jc w:val="both"/>
        <w:rPr>
          <w:rFonts w:ascii="Calibri" w:eastAsia="Arial" w:hAnsi="Calibri" w:cs="Calibri"/>
          <w:sz w:val="18"/>
        </w:rPr>
      </w:pPr>
      <w:r w:rsidRPr="00F5247B">
        <w:rPr>
          <w:rFonts w:ascii="Calibri" w:eastAsia="Arial" w:hAnsi="Calibri" w:cs="Calibri"/>
          <w:sz w:val="18"/>
        </w:rPr>
        <w:t xml:space="preserve">In 2018, fellowships awarded for ITU-D related events and activities by gender revealed that 78 percent were male recipients and 22 percent were females. This data </w:t>
      </w:r>
      <w:r>
        <w:rPr>
          <w:rFonts w:ascii="Calibri" w:eastAsia="Arial" w:hAnsi="Calibri" w:cs="Calibri"/>
          <w:sz w:val="18"/>
        </w:rPr>
        <w:t xml:space="preserve">speaks to the disparity in gender regarding </w:t>
      </w:r>
      <w:r w:rsidRPr="00F5247B">
        <w:rPr>
          <w:rFonts w:ascii="Calibri" w:eastAsia="Arial" w:hAnsi="Calibri" w:cs="Calibri"/>
          <w:sz w:val="18"/>
        </w:rPr>
        <w:t>fellowships being awarded</w:t>
      </w:r>
      <w:r>
        <w:rPr>
          <w:rFonts w:ascii="Calibri" w:eastAsia="Arial" w:hAnsi="Calibri" w:cs="Calibri"/>
          <w:sz w:val="18"/>
        </w:rPr>
        <w:t>.</w:t>
      </w:r>
    </w:p>
    <w:p w14:paraId="5E98F020" w14:textId="77777777" w:rsidR="006C5262" w:rsidRDefault="006C5262" w:rsidP="006C5262">
      <w:pPr>
        <w:spacing w:before="64" w:line="250" w:lineRule="auto"/>
        <w:ind w:left="90" w:right="620"/>
        <w:jc w:val="both"/>
        <w:rPr>
          <w:rFonts w:ascii="Calibri" w:eastAsia="Arial" w:hAnsi="Calibri" w:cs="Calibri"/>
          <w:sz w:val="18"/>
        </w:rPr>
      </w:pPr>
    </w:p>
    <w:p w14:paraId="2C40DA09" w14:textId="77777777" w:rsidR="006C5262" w:rsidRDefault="006C5262" w:rsidP="006C5262">
      <w:pPr>
        <w:spacing w:before="64" w:line="250" w:lineRule="auto"/>
        <w:ind w:left="90" w:right="620"/>
        <w:jc w:val="both"/>
        <w:rPr>
          <w:rFonts w:ascii="Calibri" w:eastAsia="Arial" w:hAnsi="Calibri" w:cs="Calibri"/>
          <w:sz w:val="18"/>
        </w:rPr>
      </w:pPr>
    </w:p>
    <w:p w14:paraId="4EF96003" w14:textId="77777777" w:rsidR="006C5262" w:rsidRDefault="006C5262" w:rsidP="006C5262">
      <w:pPr>
        <w:ind w:left="851"/>
        <w:jc w:val="both"/>
        <w:rPr>
          <w:rFonts w:ascii="Calibri" w:eastAsia="Arial" w:hAnsi="Calibri" w:cs="Calibri"/>
          <w:sz w:val="18"/>
        </w:rPr>
      </w:pPr>
    </w:p>
    <w:p w14:paraId="4FE53DA3" w14:textId="77777777" w:rsidR="006C5262" w:rsidRDefault="006C5262" w:rsidP="006C5262">
      <w:pPr>
        <w:ind w:left="851"/>
        <w:jc w:val="both"/>
        <w:rPr>
          <w:rFonts w:ascii="Calibri" w:eastAsia="Arial" w:hAnsi="Calibri" w:cs="Calibri"/>
          <w:sz w:val="18"/>
        </w:rPr>
      </w:pPr>
      <w:r w:rsidRPr="00F5247B">
        <w:rPr>
          <w:rFonts w:ascii="Calibri" w:eastAsia="Arial" w:hAnsi="Calibri" w:cs="Calibri"/>
          <w:sz w:val="18"/>
        </w:rPr>
        <w:t>Th</w:t>
      </w:r>
      <w:r>
        <w:rPr>
          <w:rFonts w:ascii="Calibri" w:eastAsia="Arial" w:hAnsi="Calibri" w:cs="Calibri"/>
          <w:sz w:val="18"/>
        </w:rPr>
        <w:t>e</w:t>
      </w:r>
      <w:r w:rsidRPr="009D5F4F">
        <w:rPr>
          <w:rFonts w:ascii="Calibri" w:eastAsia="Arial" w:hAnsi="Calibri" w:cs="Calibri"/>
          <w:sz w:val="18"/>
        </w:rPr>
        <w:t xml:space="preserve"> Global Gender Gap Report (World Economic Forum, 2018) showed that there is still a 32 percent average gender gap that remains to be filled </w:t>
      </w:r>
      <w:r>
        <w:rPr>
          <w:rFonts w:ascii="Calibri" w:eastAsia="Arial" w:hAnsi="Calibri" w:cs="Calibri"/>
          <w:sz w:val="18"/>
        </w:rPr>
        <w:t>and</w:t>
      </w:r>
      <w:r w:rsidRPr="009D5F4F">
        <w:rPr>
          <w:rFonts w:ascii="Calibri" w:eastAsia="Arial" w:hAnsi="Calibri" w:cs="Calibri"/>
          <w:sz w:val="18"/>
        </w:rPr>
        <w:t xml:space="preserve"> that it would take 74 years in the Latin America and the Caribbean</w:t>
      </w:r>
      <w:r>
        <w:rPr>
          <w:rFonts w:ascii="Calibri" w:eastAsia="Arial" w:hAnsi="Calibri" w:cs="Calibri"/>
          <w:sz w:val="18"/>
        </w:rPr>
        <w:t xml:space="preserve"> (LAC) region</w:t>
      </w:r>
      <w:r w:rsidRPr="009D5F4F">
        <w:rPr>
          <w:rFonts w:ascii="Calibri" w:eastAsia="Arial" w:hAnsi="Calibri" w:cs="Calibri"/>
          <w:sz w:val="18"/>
        </w:rPr>
        <w:t xml:space="preserve"> to close th</w:t>
      </w:r>
      <w:r>
        <w:rPr>
          <w:rFonts w:ascii="Calibri" w:eastAsia="Arial" w:hAnsi="Calibri" w:cs="Calibri"/>
          <w:sz w:val="18"/>
        </w:rPr>
        <w:t>is</w:t>
      </w:r>
      <w:r w:rsidRPr="009D5F4F">
        <w:rPr>
          <w:rFonts w:ascii="Calibri" w:eastAsia="Arial" w:hAnsi="Calibri" w:cs="Calibri"/>
          <w:sz w:val="18"/>
        </w:rPr>
        <w:t xml:space="preserve"> gap</w:t>
      </w:r>
      <w:r>
        <w:rPr>
          <w:rFonts w:ascii="Calibri" w:eastAsia="Arial" w:hAnsi="Calibri" w:cs="Calibri"/>
          <w:sz w:val="18"/>
        </w:rPr>
        <w:t xml:space="preserve">. In fact, the only country from the LAC region that closed at least 80 percent of this gap was Nicaragua. </w:t>
      </w:r>
    </w:p>
    <w:p w14:paraId="287A7B4B" w14:textId="77777777" w:rsidR="006C5262" w:rsidRDefault="006C5262" w:rsidP="006C5262">
      <w:pPr>
        <w:ind w:left="851"/>
        <w:jc w:val="both"/>
        <w:rPr>
          <w:rFonts w:ascii="Calibri" w:eastAsia="Arial" w:hAnsi="Calibri" w:cs="Calibri"/>
          <w:sz w:val="18"/>
        </w:rPr>
      </w:pPr>
    </w:p>
    <w:p w14:paraId="7DD8C75B" w14:textId="77777777" w:rsidR="006C5262" w:rsidRDefault="006C5262" w:rsidP="006C5262">
      <w:pPr>
        <w:ind w:left="851"/>
        <w:jc w:val="both"/>
        <w:rPr>
          <w:rFonts w:ascii="Calibri" w:eastAsia="Arial" w:hAnsi="Calibri" w:cs="Calibri"/>
          <w:sz w:val="18"/>
        </w:rPr>
      </w:pPr>
      <w:r w:rsidRPr="009D5F4F">
        <w:rPr>
          <w:rFonts w:ascii="Calibri" w:eastAsia="Arial" w:hAnsi="Calibri" w:cs="Calibri"/>
          <w:sz w:val="18"/>
        </w:rPr>
        <w:t xml:space="preserve">In addition, </w:t>
      </w:r>
      <w:r>
        <w:rPr>
          <w:rFonts w:ascii="Calibri" w:eastAsia="Arial" w:hAnsi="Calibri" w:cs="Calibri"/>
          <w:sz w:val="18"/>
        </w:rPr>
        <w:t xml:space="preserve">the report also points out that </w:t>
      </w:r>
      <w:r w:rsidRPr="009D5F4F">
        <w:rPr>
          <w:rFonts w:ascii="Calibri" w:eastAsia="Arial" w:hAnsi="Calibri" w:cs="Calibri"/>
          <w:sz w:val="18"/>
        </w:rPr>
        <w:t xml:space="preserve">with digital innovations </w:t>
      </w:r>
      <w:r>
        <w:rPr>
          <w:rFonts w:ascii="Calibri" w:eastAsia="Arial" w:hAnsi="Calibri" w:cs="Calibri"/>
          <w:sz w:val="18"/>
        </w:rPr>
        <w:t xml:space="preserve">such as Artificial Intelligence (AI) making more of an impact in the labor markets, only 22 percent of AI professionals are female compared to 78 percent who are male. </w:t>
      </w:r>
    </w:p>
    <w:p w14:paraId="0064E978" w14:textId="77777777" w:rsidR="006C5262" w:rsidRDefault="006C5262" w:rsidP="006C5262">
      <w:pPr>
        <w:ind w:left="851"/>
        <w:jc w:val="both"/>
        <w:rPr>
          <w:rFonts w:ascii="Calibri" w:eastAsia="Arial" w:hAnsi="Calibri" w:cs="Calibri"/>
          <w:sz w:val="18"/>
        </w:rPr>
      </w:pPr>
    </w:p>
    <w:p w14:paraId="3A5D5A5D" w14:textId="77777777" w:rsidR="006C5262" w:rsidRPr="00A70477" w:rsidRDefault="006C5262" w:rsidP="006C5262">
      <w:pPr>
        <w:ind w:left="851"/>
        <w:jc w:val="both"/>
        <w:rPr>
          <w:rFonts w:ascii="Calibri" w:eastAsia="Arial" w:hAnsi="Calibri" w:cs="Calibri"/>
          <w:sz w:val="18"/>
        </w:rPr>
      </w:pPr>
      <w:r>
        <w:rPr>
          <w:rFonts w:ascii="Calibri" w:eastAsia="Arial" w:hAnsi="Calibri" w:cs="Calibri"/>
          <w:sz w:val="18"/>
        </w:rPr>
        <w:t>In our region, achieving gender parity can be implemented by balancing the female to male participation ratio in activities such as</w:t>
      </w:r>
      <w:r w:rsidRPr="00C32F71">
        <w:rPr>
          <w:rFonts w:ascii="Calibri" w:eastAsia="Arial" w:hAnsi="Calibri" w:cs="Calibri"/>
          <w:sz w:val="18"/>
        </w:rPr>
        <w:t xml:space="preserve"> business and management of telecommunication technical issues, IoT communication protocols, LTE radio access technologies, radio spectrum,</w:t>
      </w:r>
      <w:r>
        <w:rPr>
          <w:rFonts w:ascii="Calibri" w:eastAsia="Arial" w:hAnsi="Calibri" w:cs="Calibri"/>
          <w:sz w:val="18"/>
        </w:rPr>
        <w:t xml:space="preserve"> </w:t>
      </w:r>
      <w:r w:rsidRPr="00C32F71">
        <w:rPr>
          <w:rFonts w:ascii="Calibri" w:eastAsia="Arial" w:hAnsi="Calibri" w:cs="Calibri"/>
          <w:sz w:val="18"/>
        </w:rPr>
        <w:t>cybersecurity, emergency communication</w:t>
      </w:r>
      <w:r w:rsidR="00F6460D">
        <w:rPr>
          <w:rFonts w:ascii="Calibri" w:eastAsia="Arial" w:hAnsi="Calibri" w:cs="Calibri"/>
          <w:sz w:val="18"/>
          <w:lang w:val="en-US"/>
        </w:rPr>
        <w:t>,</w:t>
      </w:r>
      <w:r>
        <w:rPr>
          <w:rFonts w:ascii="Calibri" w:eastAsia="Arial" w:hAnsi="Calibri" w:cs="Calibri"/>
          <w:sz w:val="18"/>
        </w:rPr>
        <w:t xml:space="preserve"> </w:t>
      </w:r>
      <w:r w:rsidRPr="00C32F71">
        <w:rPr>
          <w:rFonts w:ascii="Calibri" w:eastAsia="Arial" w:hAnsi="Calibri" w:cs="Calibri"/>
          <w:sz w:val="18"/>
        </w:rPr>
        <w:t>satellite communications, digital TV, ICTs and climate change, IXPs</w:t>
      </w:r>
      <w:r>
        <w:rPr>
          <w:rFonts w:ascii="Calibri" w:eastAsia="Arial" w:hAnsi="Calibri" w:cs="Calibri"/>
          <w:sz w:val="18"/>
        </w:rPr>
        <w:t xml:space="preserve"> and </w:t>
      </w:r>
      <w:r w:rsidRPr="00C32F71">
        <w:rPr>
          <w:rFonts w:ascii="Calibri" w:eastAsia="Arial" w:hAnsi="Calibri" w:cs="Calibri"/>
          <w:sz w:val="18"/>
        </w:rPr>
        <w:t>optical access in network communications</w:t>
      </w:r>
      <w:r>
        <w:rPr>
          <w:rFonts w:ascii="Calibri" w:eastAsia="Arial" w:hAnsi="Calibri" w:cs="Calibri"/>
          <w:sz w:val="18"/>
        </w:rPr>
        <w:t>.</w:t>
      </w:r>
    </w:p>
    <w:p w14:paraId="2A607D5A" w14:textId="77777777" w:rsidR="006C5262" w:rsidRPr="005C11D5" w:rsidRDefault="006C5262" w:rsidP="006C5262">
      <w:pPr>
        <w:spacing w:before="64" w:line="250" w:lineRule="auto"/>
        <w:ind w:left="90" w:right="620"/>
        <w:jc w:val="both"/>
        <w:rPr>
          <w:rFonts w:ascii="Calibri" w:eastAsia="Arial" w:hAnsi="Calibri" w:cs="Calibri"/>
          <w:sz w:val="18"/>
        </w:rPr>
      </w:pPr>
    </w:p>
    <w:p w14:paraId="52B5A635" w14:textId="77777777" w:rsidR="006C5262" w:rsidRDefault="006C5262" w:rsidP="006C5262">
      <w:pPr>
        <w:ind w:left="851"/>
        <w:rPr>
          <w:rFonts w:ascii="Arial" w:eastAsia="Arial" w:hAnsi="Arial" w:cs="Arial"/>
          <w:b/>
          <w:color w:val="000080"/>
          <w:w w:val="99"/>
          <w:sz w:val="22"/>
          <w:szCs w:val="22"/>
        </w:rPr>
      </w:pPr>
      <w:r>
        <w:rPr>
          <w:rFonts w:ascii="Arial" w:eastAsia="Arial" w:hAnsi="Arial" w:cs="Arial"/>
          <w:b/>
          <w:color w:val="000080"/>
          <w:w w:val="99"/>
          <w:sz w:val="22"/>
          <w:szCs w:val="22"/>
        </w:rPr>
        <w:t>Concerns on Criteria: Who gets what?</w:t>
      </w:r>
    </w:p>
    <w:p w14:paraId="1DB62828" w14:textId="77777777" w:rsidR="006C5262" w:rsidRPr="00196E6B" w:rsidRDefault="006C5262" w:rsidP="006C5262">
      <w:pPr>
        <w:ind w:left="851"/>
        <w:jc w:val="both"/>
        <w:rPr>
          <w:rFonts w:ascii="Arial" w:eastAsia="Arial" w:hAnsi="Arial" w:cs="Arial"/>
          <w:b/>
          <w:color w:val="000080"/>
          <w:w w:val="99"/>
          <w:sz w:val="22"/>
          <w:szCs w:val="22"/>
        </w:rPr>
      </w:pPr>
    </w:p>
    <w:p w14:paraId="702F4565" w14:textId="77777777" w:rsidR="006C5262" w:rsidRDefault="006C5262" w:rsidP="006C5262">
      <w:pPr>
        <w:ind w:left="851"/>
        <w:jc w:val="both"/>
        <w:rPr>
          <w:rFonts w:ascii="Calibri" w:eastAsia="Arial" w:hAnsi="Calibri" w:cs="Calibri"/>
          <w:sz w:val="18"/>
        </w:rPr>
      </w:pPr>
      <w:r w:rsidRPr="009F36EC">
        <w:rPr>
          <w:rFonts w:ascii="Calibri" w:eastAsia="Arial" w:hAnsi="Calibri" w:cs="Calibri"/>
          <w:sz w:val="18"/>
        </w:rPr>
        <w:t>The extension of Member States for fellowships is a great first step in supporting ICT initiatives for Caribbean countries. However, some concerns exist around the classification method for</w:t>
      </w:r>
      <w:r w:rsidRPr="00196E6B">
        <w:rPr>
          <w:rFonts w:ascii="Calibri" w:eastAsia="Arial" w:hAnsi="Calibri" w:cs="Calibri"/>
          <w:sz w:val="18"/>
        </w:rPr>
        <w:t xml:space="preserve"> developing countries and how that could potentially impact prioritization of fellowship distribution.</w:t>
      </w:r>
    </w:p>
    <w:p w14:paraId="60861CBD" w14:textId="77777777" w:rsidR="006C5262" w:rsidRDefault="006C5262" w:rsidP="006C5262">
      <w:pPr>
        <w:spacing w:before="65" w:line="250" w:lineRule="auto"/>
        <w:ind w:left="851" w:right="-34"/>
        <w:jc w:val="both"/>
        <w:rPr>
          <w:rFonts w:ascii="Calibri" w:eastAsia="Arial" w:hAnsi="Calibri" w:cs="Calibri"/>
          <w:sz w:val="18"/>
        </w:rPr>
      </w:pPr>
      <w:r w:rsidRPr="00196E6B">
        <w:rPr>
          <w:rFonts w:ascii="Calibri" w:eastAsia="Arial" w:hAnsi="Calibri" w:cs="Calibri"/>
          <w:sz w:val="18"/>
        </w:rPr>
        <w:t xml:space="preserve">Developing countries were grouped by: Least Developing countries, SIDS, Landlocked developing countries and economies in transition. A further breakdown for each of these groups was done on a </w:t>
      </w:r>
      <w:bookmarkStart w:id="9" w:name="_Hlk17893348"/>
      <w:r w:rsidRPr="00196E6B">
        <w:rPr>
          <w:rFonts w:ascii="Calibri" w:eastAsia="Arial" w:hAnsi="Calibri" w:cs="Calibri"/>
          <w:sz w:val="18"/>
        </w:rPr>
        <w:t>gross national income (GNI) per capita basis</w:t>
      </w:r>
      <w:bookmarkEnd w:id="9"/>
      <w:r w:rsidRPr="00196E6B">
        <w:rPr>
          <w:rFonts w:ascii="Calibri" w:eastAsia="Arial" w:hAnsi="Calibri" w:cs="Calibri"/>
          <w:sz w:val="18"/>
        </w:rPr>
        <w:t xml:space="preserve">.  </w:t>
      </w:r>
    </w:p>
    <w:p w14:paraId="140971FA" w14:textId="77777777" w:rsidR="006C5262" w:rsidRDefault="006C5262" w:rsidP="006C5262">
      <w:pPr>
        <w:spacing w:before="65" w:line="250" w:lineRule="auto"/>
        <w:ind w:left="851" w:right="-34"/>
        <w:rPr>
          <w:rFonts w:ascii="Calibri" w:eastAsia="Arial" w:hAnsi="Calibri" w:cs="Calibri"/>
          <w:sz w:val="18"/>
        </w:rPr>
      </w:pPr>
    </w:p>
    <w:p w14:paraId="49664C33" w14:textId="77777777" w:rsidR="006C5262" w:rsidRPr="00BC0DB6" w:rsidRDefault="006C5262" w:rsidP="006C5262">
      <w:pPr>
        <w:spacing w:before="65" w:line="250" w:lineRule="auto"/>
        <w:ind w:left="851" w:right="-34"/>
        <w:rPr>
          <w:rFonts w:ascii="Calibri" w:eastAsia="Arial" w:hAnsi="Calibri" w:cs="Calibri"/>
          <w:b/>
          <w:sz w:val="18"/>
        </w:rPr>
      </w:pPr>
      <w:r w:rsidRPr="00BC0DB6">
        <w:rPr>
          <w:rFonts w:ascii="Calibri" w:eastAsia="Arial" w:hAnsi="Calibri" w:cs="Calibri"/>
          <w:b/>
          <w:sz w:val="18"/>
        </w:rPr>
        <w:t>Table 1.1</w:t>
      </w:r>
    </w:p>
    <w:tbl>
      <w:tblPr>
        <w:tblW w:w="399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920"/>
      </w:tblGrid>
      <w:tr w:rsidR="006C5262" w:rsidRPr="006C5262" w14:paraId="5C2F18A8" w14:textId="77777777" w:rsidTr="006C5262">
        <w:trPr>
          <w:trHeight w:val="249"/>
        </w:trPr>
        <w:tc>
          <w:tcPr>
            <w:tcW w:w="2075" w:type="dxa"/>
            <w:shd w:val="clear" w:color="auto" w:fill="auto"/>
          </w:tcPr>
          <w:p w14:paraId="74862C32" w14:textId="77777777" w:rsidR="006C5262" w:rsidRPr="006C5262" w:rsidRDefault="006C5262" w:rsidP="006C5262">
            <w:pPr>
              <w:rPr>
                <w:rFonts w:ascii="Calibri" w:eastAsia="Calibri" w:hAnsi="Calibri" w:cs="Calibri"/>
                <w:b/>
                <w:sz w:val="18"/>
                <w:szCs w:val="18"/>
              </w:rPr>
            </w:pPr>
            <w:bookmarkStart w:id="10" w:name="_Hlk17727013"/>
            <w:r w:rsidRPr="006C5262">
              <w:rPr>
                <w:rFonts w:ascii="Calibri" w:eastAsia="Calibri" w:hAnsi="Calibri" w:cs="Calibri"/>
                <w:b/>
                <w:sz w:val="18"/>
                <w:szCs w:val="18"/>
              </w:rPr>
              <w:t>Classification</w:t>
            </w:r>
          </w:p>
        </w:tc>
        <w:tc>
          <w:tcPr>
            <w:tcW w:w="1920" w:type="dxa"/>
            <w:shd w:val="clear" w:color="auto" w:fill="auto"/>
          </w:tcPr>
          <w:p w14:paraId="5A5A7B0A" w14:textId="77777777" w:rsidR="006C5262" w:rsidRPr="006C5262" w:rsidRDefault="006C5262" w:rsidP="006C5262">
            <w:pPr>
              <w:rPr>
                <w:rFonts w:ascii="Calibri" w:eastAsia="Calibri" w:hAnsi="Calibri" w:cs="Calibri"/>
                <w:b/>
                <w:sz w:val="18"/>
                <w:szCs w:val="18"/>
              </w:rPr>
            </w:pPr>
            <w:r w:rsidRPr="006C5262">
              <w:rPr>
                <w:rFonts w:ascii="Calibri" w:eastAsia="Calibri" w:hAnsi="Calibri" w:cs="Calibri"/>
                <w:b/>
                <w:sz w:val="18"/>
                <w:szCs w:val="18"/>
              </w:rPr>
              <w:t>GNI per Capita (USD)</w:t>
            </w:r>
          </w:p>
        </w:tc>
      </w:tr>
      <w:tr w:rsidR="006C5262" w:rsidRPr="006C5262" w14:paraId="51D599C3" w14:textId="77777777" w:rsidTr="006C5262">
        <w:trPr>
          <w:trHeight w:val="249"/>
        </w:trPr>
        <w:tc>
          <w:tcPr>
            <w:tcW w:w="2075" w:type="dxa"/>
            <w:shd w:val="clear" w:color="auto" w:fill="auto"/>
          </w:tcPr>
          <w:p w14:paraId="15D1BFB3"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Low-Income</w:t>
            </w:r>
          </w:p>
        </w:tc>
        <w:tc>
          <w:tcPr>
            <w:tcW w:w="1920" w:type="dxa"/>
            <w:shd w:val="clear" w:color="auto" w:fill="auto"/>
          </w:tcPr>
          <w:p w14:paraId="2AB3E143"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&lt; 995</w:t>
            </w:r>
          </w:p>
        </w:tc>
      </w:tr>
      <w:tr w:rsidR="006C5262" w:rsidRPr="006C5262" w14:paraId="0FAC4D6E" w14:textId="77777777" w:rsidTr="006C5262">
        <w:trPr>
          <w:trHeight w:val="249"/>
        </w:trPr>
        <w:tc>
          <w:tcPr>
            <w:tcW w:w="2075" w:type="dxa"/>
            <w:shd w:val="clear" w:color="auto" w:fill="auto"/>
          </w:tcPr>
          <w:p w14:paraId="0A78A031"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Lower-middle income</w:t>
            </w:r>
          </w:p>
        </w:tc>
        <w:tc>
          <w:tcPr>
            <w:tcW w:w="1920" w:type="dxa"/>
            <w:shd w:val="clear" w:color="auto" w:fill="auto"/>
          </w:tcPr>
          <w:p w14:paraId="50A61CD1"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996 to 3,895</w:t>
            </w:r>
          </w:p>
        </w:tc>
      </w:tr>
      <w:tr w:rsidR="006C5262" w:rsidRPr="006C5262" w14:paraId="0884D673" w14:textId="77777777" w:rsidTr="006C5262">
        <w:trPr>
          <w:trHeight w:val="249"/>
        </w:trPr>
        <w:tc>
          <w:tcPr>
            <w:tcW w:w="2075" w:type="dxa"/>
            <w:shd w:val="clear" w:color="auto" w:fill="auto"/>
          </w:tcPr>
          <w:p w14:paraId="60231DB8"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c>
          <w:tcPr>
            <w:tcW w:w="1920" w:type="dxa"/>
            <w:shd w:val="clear" w:color="auto" w:fill="auto"/>
          </w:tcPr>
          <w:p w14:paraId="3E3814DA"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3,896 to 12,055</w:t>
            </w:r>
          </w:p>
        </w:tc>
      </w:tr>
      <w:tr w:rsidR="006C5262" w:rsidRPr="006C5262" w14:paraId="2A9B4513" w14:textId="77777777" w:rsidTr="006C5262">
        <w:trPr>
          <w:trHeight w:val="249"/>
        </w:trPr>
        <w:tc>
          <w:tcPr>
            <w:tcW w:w="2075" w:type="dxa"/>
            <w:shd w:val="clear" w:color="auto" w:fill="auto"/>
          </w:tcPr>
          <w:p w14:paraId="6B23B8CA"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 xml:space="preserve">High-Income </w:t>
            </w:r>
          </w:p>
        </w:tc>
        <w:tc>
          <w:tcPr>
            <w:tcW w:w="1920" w:type="dxa"/>
            <w:shd w:val="clear" w:color="auto" w:fill="auto"/>
          </w:tcPr>
          <w:p w14:paraId="5475145E"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12,056 &gt;</w:t>
            </w:r>
          </w:p>
        </w:tc>
      </w:tr>
      <w:bookmarkEnd w:id="10"/>
    </w:tbl>
    <w:p w14:paraId="21B5A519" w14:textId="77777777" w:rsidR="006C5262" w:rsidRDefault="006C5262" w:rsidP="006C5262">
      <w:pPr>
        <w:spacing w:before="65" w:line="250" w:lineRule="auto"/>
        <w:ind w:right="-34"/>
        <w:rPr>
          <w:rFonts w:ascii="Calibri" w:eastAsia="Arial" w:hAnsi="Calibri" w:cs="Calibri"/>
          <w:i/>
          <w:sz w:val="18"/>
        </w:rPr>
      </w:pPr>
    </w:p>
    <w:p w14:paraId="508B7697" w14:textId="77777777" w:rsidR="006C5262" w:rsidRPr="007B0DE2" w:rsidRDefault="006C5262" w:rsidP="006C5262">
      <w:pPr>
        <w:spacing w:before="65" w:line="250" w:lineRule="auto"/>
        <w:ind w:left="851" w:right="-34"/>
        <w:jc w:val="both"/>
        <w:rPr>
          <w:rFonts w:ascii="Calibri" w:eastAsia="Arial" w:hAnsi="Calibri" w:cs="Calibri"/>
          <w:sz w:val="18"/>
        </w:rPr>
      </w:pPr>
      <w:bookmarkStart w:id="11" w:name="_Hlk17805359"/>
      <w:r w:rsidRPr="009835CE">
        <w:rPr>
          <w:rFonts w:ascii="Calibri" w:eastAsia="Arial" w:hAnsi="Calibri" w:cs="Calibri"/>
          <w:sz w:val="18"/>
        </w:rPr>
        <w:t xml:space="preserve">Most Caribbean nations fall under high or upper-middle income within the Americas region given its current GNI per capita results except for Haiti, Bolivia, El Salvador, Honduras, and Nicaragua. This raises a </w:t>
      </w:r>
      <w:r w:rsidRPr="007B0DE2">
        <w:rPr>
          <w:rFonts w:ascii="Calibri" w:eastAsia="Arial" w:hAnsi="Calibri" w:cs="Calibri"/>
          <w:sz w:val="18"/>
        </w:rPr>
        <w:t xml:space="preserve">concern for The Bahamas because it </w:t>
      </w:r>
      <w:r>
        <w:rPr>
          <w:rFonts w:ascii="Calibri" w:eastAsia="Arial" w:hAnsi="Calibri" w:cs="Calibri"/>
          <w:sz w:val="18"/>
        </w:rPr>
        <w:t xml:space="preserve">is proposed </w:t>
      </w:r>
      <w:r w:rsidRPr="007B0DE2">
        <w:rPr>
          <w:rFonts w:ascii="Calibri" w:eastAsia="Arial" w:hAnsi="Calibri" w:cs="Calibri"/>
          <w:sz w:val="18"/>
        </w:rPr>
        <w:t xml:space="preserve">that consideration to grant fellowships to high-income developing countries would be made “subject to available resources and after first fulfilling requests from other eligible Member States listed as low-income, lower-middle-income, and upper-middle-income developing countries”. </w:t>
      </w:r>
    </w:p>
    <w:p w14:paraId="115155C7" w14:textId="77777777" w:rsidR="006C5262" w:rsidRDefault="006C5262" w:rsidP="006C5262">
      <w:pPr>
        <w:spacing w:before="65" w:line="250" w:lineRule="auto"/>
        <w:ind w:left="851" w:right="-34"/>
        <w:jc w:val="both"/>
        <w:rPr>
          <w:rFonts w:ascii="Calibri" w:eastAsia="Arial" w:hAnsi="Calibri" w:cs="Calibri"/>
          <w:sz w:val="18"/>
        </w:rPr>
      </w:pPr>
      <w:r w:rsidRPr="007B0DE2">
        <w:rPr>
          <w:rFonts w:ascii="Calibri" w:eastAsia="Arial" w:hAnsi="Calibri" w:cs="Calibri"/>
          <w:sz w:val="18"/>
        </w:rPr>
        <w:t>This could potentially mean missed</w:t>
      </w:r>
      <w:r w:rsidRPr="009835CE">
        <w:rPr>
          <w:rFonts w:ascii="Calibri" w:eastAsia="Arial" w:hAnsi="Calibri" w:cs="Calibri"/>
          <w:sz w:val="18"/>
        </w:rPr>
        <w:t xml:space="preserve"> opportunities for fellowships based on this condition. While it is important for lower and low-income countries within the region to receive fellowship, some of the countries listed below in Table </w:t>
      </w:r>
      <w:r>
        <w:rPr>
          <w:rFonts w:ascii="Calibri" w:eastAsia="Arial" w:hAnsi="Calibri" w:cs="Calibri"/>
          <w:sz w:val="18"/>
        </w:rPr>
        <w:t>1</w:t>
      </w:r>
      <w:r w:rsidRPr="009835CE">
        <w:rPr>
          <w:rFonts w:ascii="Calibri" w:eastAsia="Arial" w:hAnsi="Calibri" w:cs="Calibri"/>
          <w:sz w:val="18"/>
        </w:rPr>
        <w:t>.2 have made great strides in developing the ICT sector and it is important to receive fellowships to further assist with those efforts.</w:t>
      </w:r>
    </w:p>
    <w:p w14:paraId="78545B60" w14:textId="77777777" w:rsidR="006C5262" w:rsidRDefault="006C5262" w:rsidP="006C5262">
      <w:pPr>
        <w:spacing w:before="65" w:line="250" w:lineRule="auto"/>
        <w:ind w:left="851" w:right="-34"/>
        <w:rPr>
          <w:rFonts w:ascii="Calibri" w:eastAsia="Arial" w:hAnsi="Calibri" w:cs="Calibri"/>
          <w:sz w:val="18"/>
        </w:rPr>
      </w:pPr>
    </w:p>
    <w:p w14:paraId="574278E5" w14:textId="77777777" w:rsidR="006C5262" w:rsidRDefault="006C5262" w:rsidP="006C5262">
      <w:pPr>
        <w:spacing w:before="65" w:line="250" w:lineRule="auto"/>
        <w:ind w:left="851" w:right="-34"/>
        <w:rPr>
          <w:rFonts w:ascii="Calibri" w:eastAsia="Arial" w:hAnsi="Calibri" w:cs="Calibri"/>
          <w:sz w:val="18"/>
        </w:rPr>
      </w:pPr>
    </w:p>
    <w:p w14:paraId="2C24CF52" w14:textId="77777777" w:rsidR="006C5262" w:rsidRDefault="006C5262" w:rsidP="006C5262">
      <w:pPr>
        <w:spacing w:before="65" w:line="250" w:lineRule="auto"/>
        <w:ind w:right="-34"/>
        <w:rPr>
          <w:rFonts w:ascii="Calibri" w:eastAsia="Arial" w:hAnsi="Calibri" w:cs="Calibri"/>
          <w:b/>
          <w:sz w:val="18"/>
        </w:rPr>
      </w:pPr>
      <w:r>
        <w:rPr>
          <w:rFonts w:ascii="Calibri" w:eastAsia="Arial" w:hAnsi="Calibri" w:cs="Calibri"/>
          <w:b/>
          <w:sz w:val="18"/>
        </w:rPr>
        <w:t xml:space="preserve">                      </w:t>
      </w:r>
      <w:r w:rsidRPr="009835CE">
        <w:rPr>
          <w:rFonts w:ascii="Calibri" w:eastAsia="Arial" w:hAnsi="Calibri" w:cs="Calibri"/>
          <w:b/>
          <w:sz w:val="18"/>
        </w:rPr>
        <w:t>Table 1.</w:t>
      </w:r>
      <w:r>
        <w:rPr>
          <w:rFonts w:ascii="Calibri" w:eastAsia="Arial" w:hAnsi="Calibri" w:cs="Calibri"/>
          <w:b/>
          <w:sz w:val="18"/>
        </w:rPr>
        <w:t>2 (Table does not include full list of countries)</w:t>
      </w:r>
    </w:p>
    <w:p w14:paraId="1B32465F" w14:textId="77777777" w:rsidR="006C5262" w:rsidRPr="009835CE" w:rsidRDefault="006C5262" w:rsidP="006C5262">
      <w:pPr>
        <w:spacing w:before="65" w:line="250" w:lineRule="auto"/>
        <w:ind w:right="-34"/>
        <w:rPr>
          <w:rFonts w:ascii="Calibri" w:eastAsia="Arial" w:hAnsi="Calibri" w:cs="Calibri"/>
          <w:b/>
          <w:sz w:val="18"/>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984"/>
      </w:tblGrid>
      <w:tr w:rsidR="006C5262" w:rsidRPr="006C5262" w14:paraId="58D9B8BE" w14:textId="77777777" w:rsidTr="006C5262">
        <w:trPr>
          <w:trHeight w:val="254"/>
        </w:trPr>
        <w:tc>
          <w:tcPr>
            <w:tcW w:w="1882" w:type="dxa"/>
            <w:shd w:val="clear" w:color="auto" w:fill="auto"/>
          </w:tcPr>
          <w:p w14:paraId="72C26C39" w14:textId="77777777" w:rsidR="006C5262" w:rsidRPr="006C5262" w:rsidRDefault="006C5262" w:rsidP="006C5262">
            <w:pPr>
              <w:rPr>
                <w:rFonts w:ascii="Calibri" w:eastAsia="Calibri" w:hAnsi="Calibri" w:cs="Calibri"/>
                <w:b/>
                <w:sz w:val="18"/>
                <w:szCs w:val="18"/>
              </w:rPr>
            </w:pPr>
            <w:r w:rsidRPr="006C5262">
              <w:rPr>
                <w:rFonts w:ascii="Calibri" w:eastAsia="Calibri" w:hAnsi="Calibri" w:cs="Calibri"/>
                <w:b/>
                <w:sz w:val="18"/>
                <w:szCs w:val="18"/>
              </w:rPr>
              <w:t>Country</w:t>
            </w:r>
          </w:p>
        </w:tc>
        <w:tc>
          <w:tcPr>
            <w:tcW w:w="1984" w:type="dxa"/>
            <w:shd w:val="clear" w:color="auto" w:fill="auto"/>
          </w:tcPr>
          <w:p w14:paraId="27BEAC03" w14:textId="77777777" w:rsidR="006C5262" w:rsidRPr="006C5262" w:rsidRDefault="006C5262" w:rsidP="006C5262">
            <w:pPr>
              <w:rPr>
                <w:rFonts w:ascii="Calibri" w:eastAsia="Calibri" w:hAnsi="Calibri" w:cs="Calibri"/>
                <w:b/>
                <w:sz w:val="18"/>
                <w:szCs w:val="18"/>
              </w:rPr>
            </w:pPr>
            <w:r w:rsidRPr="006C5262">
              <w:rPr>
                <w:rFonts w:ascii="Calibri" w:eastAsia="Calibri" w:hAnsi="Calibri" w:cs="Calibri"/>
                <w:b/>
                <w:sz w:val="18"/>
                <w:szCs w:val="18"/>
              </w:rPr>
              <w:t xml:space="preserve">Classification </w:t>
            </w:r>
          </w:p>
        </w:tc>
      </w:tr>
      <w:tr w:rsidR="006C5262" w:rsidRPr="006C5262" w14:paraId="332E6C74" w14:textId="77777777" w:rsidTr="006C5262">
        <w:trPr>
          <w:trHeight w:val="254"/>
        </w:trPr>
        <w:tc>
          <w:tcPr>
            <w:tcW w:w="1882" w:type="dxa"/>
            <w:shd w:val="clear" w:color="auto" w:fill="auto"/>
          </w:tcPr>
          <w:p w14:paraId="33914011"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Belize</w:t>
            </w:r>
          </w:p>
        </w:tc>
        <w:tc>
          <w:tcPr>
            <w:tcW w:w="1984" w:type="dxa"/>
            <w:shd w:val="clear" w:color="auto" w:fill="auto"/>
          </w:tcPr>
          <w:p w14:paraId="6653AD5B"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r>
      <w:tr w:rsidR="006C5262" w:rsidRPr="006C5262" w14:paraId="7E7CE61F" w14:textId="77777777" w:rsidTr="006C5262">
        <w:trPr>
          <w:trHeight w:val="254"/>
        </w:trPr>
        <w:tc>
          <w:tcPr>
            <w:tcW w:w="1882" w:type="dxa"/>
            <w:shd w:val="clear" w:color="auto" w:fill="auto"/>
          </w:tcPr>
          <w:p w14:paraId="1703634D"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Cuba</w:t>
            </w:r>
          </w:p>
        </w:tc>
        <w:tc>
          <w:tcPr>
            <w:tcW w:w="1984" w:type="dxa"/>
            <w:shd w:val="clear" w:color="auto" w:fill="auto"/>
          </w:tcPr>
          <w:p w14:paraId="78054D8C"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r>
      <w:tr w:rsidR="006C5262" w:rsidRPr="006C5262" w14:paraId="5F5183F5" w14:textId="77777777" w:rsidTr="006C5262">
        <w:trPr>
          <w:trHeight w:val="254"/>
        </w:trPr>
        <w:tc>
          <w:tcPr>
            <w:tcW w:w="1882" w:type="dxa"/>
            <w:shd w:val="clear" w:color="auto" w:fill="auto"/>
          </w:tcPr>
          <w:p w14:paraId="1895339E"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Guyana</w:t>
            </w:r>
          </w:p>
        </w:tc>
        <w:tc>
          <w:tcPr>
            <w:tcW w:w="1984" w:type="dxa"/>
            <w:shd w:val="clear" w:color="auto" w:fill="auto"/>
          </w:tcPr>
          <w:p w14:paraId="2EE9EDB8"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r>
      <w:tr w:rsidR="006C5262" w:rsidRPr="006C5262" w14:paraId="7A975B5A" w14:textId="77777777" w:rsidTr="006C5262">
        <w:trPr>
          <w:trHeight w:val="254"/>
        </w:trPr>
        <w:tc>
          <w:tcPr>
            <w:tcW w:w="1882" w:type="dxa"/>
            <w:shd w:val="clear" w:color="auto" w:fill="auto"/>
          </w:tcPr>
          <w:p w14:paraId="55403F38"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Jamaica</w:t>
            </w:r>
          </w:p>
        </w:tc>
        <w:tc>
          <w:tcPr>
            <w:tcW w:w="1984" w:type="dxa"/>
            <w:shd w:val="clear" w:color="auto" w:fill="auto"/>
          </w:tcPr>
          <w:p w14:paraId="1CC632CB"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r>
      <w:tr w:rsidR="006C5262" w:rsidRPr="006C5262" w14:paraId="107502C9" w14:textId="77777777" w:rsidTr="006C5262">
        <w:trPr>
          <w:trHeight w:val="254"/>
        </w:trPr>
        <w:tc>
          <w:tcPr>
            <w:tcW w:w="1882" w:type="dxa"/>
            <w:shd w:val="clear" w:color="auto" w:fill="auto"/>
          </w:tcPr>
          <w:p w14:paraId="1B988216"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 xml:space="preserve">St. Lucia </w:t>
            </w:r>
          </w:p>
        </w:tc>
        <w:tc>
          <w:tcPr>
            <w:tcW w:w="1984" w:type="dxa"/>
            <w:shd w:val="clear" w:color="auto" w:fill="auto"/>
          </w:tcPr>
          <w:p w14:paraId="44C3392B"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Upper-middle income</w:t>
            </w:r>
          </w:p>
        </w:tc>
      </w:tr>
      <w:tr w:rsidR="006C5262" w:rsidRPr="006C5262" w14:paraId="60522430" w14:textId="77777777" w:rsidTr="006C5262">
        <w:trPr>
          <w:trHeight w:val="254"/>
        </w:trPr>
        <w:tc>
          <w:tcPr>
            <w:tcW w:w="1882" w:type="dxa"/>
            <w:shd w:val="clear" w:color="auto" w:fill="auto"/>
          </w:tcPr>
          <w:p w14:paraId="73F89C87"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The Bahamas</w:t>
            </w:r>
          </w:p>
        </w:tc>
        <w:tc>
          <w:tcPr>
            <w:tcW w:w="1984" w:type="dxa"/>
            <w:shd w:val="clear" w:color="auto" w:fill="auto"/>
          </w:tcPr>
          <w:p w14:paraId="2399DA23"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 xml:space="preserve">High-Income </w:t>
            </w:r>
          </w:p>
        </w:tc>
      </w:tr>
      <w:tr w:rsidR="006C5262" w:rsidRPr="006C5262" w14:paraId="04713890" w14:textId="77777777" w:rsidTr="006C5262">
        <w:trPr>
          <w:trHeight w:val="254"/>
        </w:trPr>
        <w:tc>
          <w:tcPr>
            <w:tcW w:w="1882" w:type="dxa"/>
            <w:shd w:val="clear" w:color="auto" w:fill="auto"/>
          </w:tcPr>
          <w:p w14:paraId="4A433D79"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Trinidad and Tobago</w:t>
            </w:r>
          </w:p>
        </w:tc>
        <w:tc>
          <w:tcPr>
            <w:tcW w:w="1984" w:type="dxa"/>
            <w:shd w:val="clear" w:color="auto" w:fill="auto"/>
          </w:tcPr>
          <w:p w14:paraId="109A245A"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 xml:space="preserve">High-Income </w:t>
            </w:r>
          </w:p>
        </w:tc>
      </w:tr>
      <w:tr w:rsidR="006C5262" w:rsidRPr="006C5262" w14:paraId="2AB56108" w14:textId="77777777" w:rsidTr="006C5262">
        <w:trPr>
          <w:trHeight w:val="240"/>
        </w:trPr>
        <w:tc>
          <w:tcPr>
            <w:tcW w:w="1882" w:type="dxa"/>
            <w:shd w:val="clear" w:color="auto" w:fill="auto"/>
          </w:tcPr>
          <w:p w14:paraId="069391B5"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Antigua and Barbuda</w:t>
            </w:r>
          </w:p>
        </w:tc>
        <w:tc>
          <w:tcPr>
            <w:tcW w:w="1984" w:type="dxa"/>
            <w:shd w:val="clear" w:color="auto" w:fill="auto"/>
          </w:tcPr>
          <w:p w14:paraId="6649725E" w14:textId="77777777" w:rsidR="006C5262" w:rsidRPr="006C5262" w:rsidRDefault="006C5262" w:rsidP="006C5262">
            <w:pPr>
              <w:rPr>
                <w:rFonts w:ascii="Calibri" w:eastAsia="Calibri" w:hAnsi="Calibri" w:cs="Calibri"/>
                <w:sz w:val="18"/>
                <w:szCs w:val="18"/>
              </w:rPr>
            </w:pPr>
            <w:r w:rsidRPr="006C5262">
              <w:rPr>
                <w:rFonts w:ascii="Calibri" w:eastAsia="Calibri" w:hAnsi="Calibri" w:cs="Calibri"/>
                <w:sz w:val="18"/>
                <w:szCs w:val="18"/>
              </w:rPr>
              <w:t xml:space="preserve">High-Income </w:t>
            </w:r>
          </w:p>
        </w:tc>
      </w:tr>
    </w:tbl>
    <w:p w14:paraId="0B58446E" w14:textId="77777777" w:rsidR="006C5262" w:rsidRDefault="006C5262" w:rsidP="006C5262">
      <w:pPr>
        <w:spacing w:before="65" w:line="250" w:lineRule="auto"/>
        <w:ind w:right="-34"/>
        <w:rPr>
          <w:rFonts w:ascii="Calibri" w:eastAsia="Arial" w:hAnsi="Calibri" w:cs="Calibri"/>
          <w:i/>
          <w:sz w:val="14"/>
        </w:rPr>
      </w:pPr>
    </w:p>
    <w:p w14:paraId="5445DF3D" w14:textId="77777777" w:rsidR="006C5262" w:rsidRDefault="006C5262" w:rsidP="006C5262">
      <w:pPr>
        <w:spacing w:before="65" w:line="250" w:lineRule="auto"/>
        <w:ind w:left="851" w:right="710"/>
        <w:jc w:val="both"/>
        <w:rPr>
          <w:rFonts w:ascii="Calibri" w:eastAsia="Arial" w:hAnsi="Calibri" w:cs="Calibri"/>
          <w:i/>
          <w:sz w:val="12"/>
        </w:rPr>
      </w:pPr>
      <w:r w:rsidRPr="005C11D5">
        <w:rPr>
          <w:rFonts w:ascii="Calibri" w:eastAsia="Arial" w:hAnsi="Calibri" w:cs="Calibri"/>
          <w:i/>
          <w:sz w:val="12"/>
        </w:rPr>
        <w:t xml:space="preserve">N.B: Tables are a summary extract of the ITU’s Council document on Improving, Promotion and Strengthening ITU Fellowships (April, 2019). The text notes that it used the United Nations report: World Economic Situation and Prospects (January, 2019) to classify the different GNI per capita groups. These groupings were a joint product of </w:t>
      </w:r>
      <w:r w:rsidRPr="005C11D5">
        <w:rPr>
          <w:rFonts w:ascii="Calibri" w:eastAsia="Arial" w:hAnsi="Calibri" w:cs="Calibri"/>
          <w:i/>
          <w:sz w:val="10"/>
        </w:rPr>
        <w:t xml:space="preserve">standards coming </w:t>
      </w:r>
      <w:r w:rsidRPr="005C11D5">
        <w:rPr>
          <w:rFonts w:ascii="Calibri" w:eastAsia="Arial" w:hAnsi="Calibri" w:cs="Calibri"/>
          <w:i/>
          <w:sz w:val="12"/>
        </w:rPr>
        <w:t>out the World Economic Situation and Prospects (WESP) report and other development indices.</w:t>
      </w:r>
    </w:p>
    <w:p w14:paraId="1792189B" w14:textId="77777777" w:rsidR="006C5262" w:rsidRDefault="006C5262" w:rsidP="006C5262">
      <w:pPr>
        <w:ind w:left="90" w:right="710"/>
        <w:jc w:val="both"/>
        <w:rPr>
          <w:rFonts w:ascii="Calibri" w:eastAsia="Arial" w:hAnsi="Calibri" w:cs="Calibri"/>
          <w:sz w:val="18"/>
        </w:rPr>
      </w:pPr>
    </w:p>
    <w:p w14:paraId="5AC6A5EF" w14:textId="77777777" w:rsidR="006C5262" w:rsidRDefault="006C5262" w:rsidP="006C5262">
      <w:pPr>
        <w:ind w:left="90" w:right="710"/>
        <w:jc w:val="both"/>
        <w:rPr>
          <w:rFonts w:ascii="Calibri" w:eastAsia="Arial" w:hAnsi="Calibri" w:cs="Calibri"/>
          <w:sz w:val="18"/>
        </w:rPr>
      </w:pPr>
      <w:r>
        <w:rPr>
          <w:rFonts w:ascii="Calibri" w:eastAsia="Arial" w:hAnsi="Calibri" w:cs="Calibri"/>
          <w:sz w:val="18"/>
        </w:rPr>
        <w:t>The reality is that for many SIDS, particularly Caribbean countries, is that governments are operating at a deficit and are faced with budgetary constraints. In addition, some countries now spend more on climate change resilience and preparedness while accounting for the millions of damage and losses by hurricanes and other natural disasters.  While medium to long term fiscal efforts are put in place, cutting costs effectively and where necessary in controlling debt levels and managing revenue is a part of that process</w:t>
      </w:r>
      <w:r w:rsidRPr="007B0DE2">
        <w:rPr>
          <w:rFonts w:ascii="Calibri" w:eastAsia="Arial" w:hAnsi="Calibri" w:cs="Calibri"/>
          <w:sz w:val="18"/>
        </w:rPr>
        <w:t>. It may be difficult for the government of a Member State to support ITU related activities when there are several other issues at hand that need to be addressed. Governments in this region tend to be limited in terms of spending since revenue is often allocated to controlling debt levels, reducing interest costs and maintaining a positive investor outlook (IDB, 2019).</w:t>
      </w:r>
      <w:r>
        <w:rPr>
          <w:rFonts w:ascii="Calibri" w:eastAsia="Arial" w:hAnsi="Calibri" w:cs="Calibri"/>
          <w:sz w:val="18"/>
        </w:rPr>
        <w:t xml:space="preserve"> </w:t>
      </w:r>
    </w:p>
    <w:p w14:paraId="11D8A170" w14:textId="77777777" w:rsidR="006C5262" w:rsidRDefault="006C5262" w:rsidP="006C5262">
      <w:pPr>
        <w:rPr>
          <w:rFonts w:ascii="Calibri" w:eastAsia="Arial" w:hAnsi="Calibri" w:cs="Calibri"/>
          <w:sz w:val="18"/>
        </w:rPr>
      </w:pPr>
    </w:p>
    <w:p w14:paraId="3EB5F079" w14:textId="77777777" w:rsidR="006C5262" w:rsidRDefault="006C5262" w:rsidP="006C5262">
      <w:pPr>
        <w:ind w:left="90" w:right="710"/>
        <w:jc w:val="both"/>
        <w:rPr>
          <w:rFonts w:ascii="Calibri" w:eastAsia="Arial" w:hAnsi="Calibri" w:cs="Calibri"/>
          <w:sz w:val="18"/>
        </w:rPr>
      </w:pPr>
      <w:r w:rsidRPr="009835CE">
        <w:rPr>
          <w:rFonts w:ascii="Calibri" w:eastAsia="Arial" w:hAnsi="Calibri" w:cs="Calibri"/>
          <w:sz w:val="18"/>
        </w:rPr>
        <w:t xml:space="preserve">It can be argued that GNI per capita may not be enough to make sound statements about the development of a certain country (Lochner, 2005). This is not to say that GNI per capita is a poor measurement of a country’s performance and it is widely used by reports coming from the United Nations and the World Bank. However, GNI per capita </w:t>
      </w:r>
      <w:r>
        <w:rPr>
          <w:rFonts w:ascii="Calibri" w:eastAsia="Arial" w:hAnsi="Calibri" w:cs="Calibri"/>
          <w:sz w:val="18"/>
        </w:rPr>
        <w:t>should also be used in relation to th</w:t>
      </w:r>
      <w:r w:rsidRPr="009835CE">
        <w:rPr>
          <w:rFonts w:ascii="Calibri" w:eastAsia="Arial" w:hAnsi="Calibri" w:cs="Calibri"/>
          <w:sz w:val="18"/>
        </w:rPr>
        <w:t xml:space="preserve">e inequality of income distribution which essentially helps to determine why some countries are rich while others are poor. </w:t>
      </w:r>
      <w:r>
        <w:rPr>
          <w:rFonts w:ascii="Calibri" w:eastAsia="Arial" w:hAnsi="Calibri" w:cs="Calibri"/>
          <w:sz w:val="18"/>
        </w:rPr>
        <w:t xml:space="preserve">An IDB regional bulletin (June,2019) also pointed out that income per capita </w:t>
      </w:r>
      <w:r w:rsidRPr="00857A45">
        <w:rPr>
          <w:rFonts w:ascii="Calibri" w:eastAsia="Arial" w:hAnsi="Calibri" w:cs="Calibri"/>
          <w:sz w:val="18"/>
        </w:rPr>
        <w:t xml:space="preserve">in the Caribbean is still below 2007 levels in several countries. </w:t>
      </w:r>
    </w:p>
    <w:p w14:paraId="64D720EE" w14:textId="77777777" w:rsidR="006C5262" w:rsidRDefault="006C5262" w:rsidP="006C5262">
      <w:pPr>
        <w:ind w:left="90" w:right="710"/>
        <w:jc w:val="both"/>
        <w:rPr>
          <w:rFonts w:ascii="Calibri" w:eastAsia="Arial" w:hAnsi="Calibri" w:cs="Calibri"/>
          <w:sz w:val="18"/>
        </w:rPr>
      </w:pPr>
    </w:p>
    <w:p w14:paraId="2C173589" w14:textId="77777777" w:rsidR="006C5262" w:rsidRDefault="006C5262" w:rsidP="006C5262">
      <w:pPr>
        <w:ind w:left="90" w:right="710"/>
        <w:jc w:val="both"/>
        <w:rPr>
          <w:rFonts w:ascii="Calibri" w:eastAsia="Arial" w:hAnsi="Calibri" w:cs="Calibri"/>
          <w:sz w:val="18"/>
        </w:rPr>
      </w:pPr>
      <w:r w:rsidRPr="00857A45">
        <w:rPr>
          <w:rFonts w:ascii="Calibri" w:eastAsia="Arial" w:hAnsi="Calibri" w:cs="Calibri"/>
          <w:sz w:val="18"/>
        </w:rPr>
        <w:t>Therefore, what could be considered is a social and welfare statistic that highlights income distribution, like a Gini coefficient or some other measure</w:t>
      </w:r>
      <w:r>
        <w:rPr>
          <w:rFonts w:ascii="Calibri" w:eastAsia="Arial" w:hAnsi="Calibri" w:cs="Calibri"/>
          <w:sz w:val="18"/>
        </w:rPr>
        <w:t>ment</w:t>
      </w:r>
      <w:r w:rsidRPr="00857A45">
        <w:rPr>
          <w:rFonts w:ascii="Calibri" w:eastAsia="Arial" w:hAnsi="Calibri" w:cs="Calibri"/>
          <w:sz w:val="18"/>
        </w:rPr>
        <w:t xml:space="preserve">. This will make certain that even as GNI per capita continues to be used, there will be some measure that accounts for inequality. </w:t>
      </w:r>
      <w:r>
        <w:rPr>
          <w:rFonts w:ascii="Calibri" w:eastAsia="Arial" w:hAnsi="Calibri" w:cs="Calibri"/>
          <w:sz w:val="18"/>
        </w:rPr>
        <w:t xml:space="preserve">In using the proposed UN list, SIDS and other land locked developing countries can then be prioritized once </w:t>
      </w:r>
      <w:r w:rsidRPr="0091401C">
        <w:rPr>
          <w:rFonts w:ascii="Calibri" w:eastAsia="Arial" w:hAnsi="Calibri" w:cs="Calibri"/>
          <w:sz w:val="18"/>
        </w:rPr>
        <w:t xml:space="preserve">the fellowship </w:t>
      </w:r>
      <w:r>
        <w:rPr>
          <w:rFonts w:ascii="Calibri" w:eastAsia="Arial" w:hAnsi="Calibri" w:cs="Calibri"/>
          <w:sz w:val="18"/>
        </w:rPr>
        <w:t xml:space="preserve">budget </w:t>
      </w:r>
      <w:r w:rsidRPr="0091401C">
        <w:rPr>
          <w:rFonts w:ascii="Calibri" w:eastAsia="Arial" w:hAnsi="Calibri" w:cs="Calibri"/>
          <w:sz w:val="18"/>
        </w:rPr>
        <w:t>reaches upper and high income</w:t>
      </w:r>
      <w:r>
        <w:rPr>
          <w:rFonts w:ascii="Calibri" w:eastAsia="Arial" w:hAnsi="Calibri" w:cs="Calibri"/>
          <w:sz w:val="18"/>
        </w:rPr>
        <w:t xml:space="preserve">. </w:t>
      </w:r>
    </w:p>
    <w:p w14:paraId="116D91E7" w14:textId="77777777" w:rsidR="006C5262" w:rsidRDefault="006C5262" w:rsidP="006C5262">
      <w:pPr>
        <w:ind w:left="90" w:right="710"/>
        <w:jc w:val="both"/>
        <w:rPr>
          <w:rFonts w:ascii="Calibri" w:eastAsia="Arial" w:hAnsi="Calibri" w:cs="Calibri"/>
          <w:sz w:val="18"/>
        </w:rPr>
      </w:pPr>
      <w:r>
        <w:rPr>
          <w:rFonts w:ascii="Calibri" w:eastAsia="Arial" w:hAnsi="Calibri" w:cs="Calibri"/>
          <w:sz w:val="18"/>
        </w:rPr>
        <w:t xml:space="preserve">  </w:t>
      </w:r>
    </w:p>
    <w:p w14:paraId="3383092F" w14:textId="77777777" w:rsidR="003B5445" w:rsidRDefault="003B5445" w:rsidP="006C5262">
      <w:pPr>
        <w:ind w:left="90" w:right="710"/>
        <w:jc w:val="both"/>
        <w:rPr>
          <w:rFonts w:ascii="Calibri" w:eastAsia="Arial" w:hAnsi="Calibri" w:cs="Calibri"/>
          <w:sz w:val="18"/>
        </w:rPr>
      </w:pPr>
    </w:p>
    <w:p w14:paraId="450427BE" w14:textId="77777777" w:rsidR="006C5262" w:rsidRDefault="006C5262" w:rsidP="006C5262">
      <w:pPr>
        <w:ind w:left="90" w:right="710"/>
        <w:jc w:val="both"/>
        <w:rPr>
          <w:rFonts w:ascii="Calibri" w:eastAsia="Arial" w:hAnsi="Calibri" w:cs="Calibri"/>
          <w:sz w:val="18"/>
        </w:rPr>
      </w:pPr>
    </w:p>
    <w:p w14:paraId="4B756B6E" w14:textId="77777777" w:rsidR="006C5262" w:rsidRDefault="006C5262" w:rsidP="006C5262">
      <w:pPr>
        <w:ind w:left="90" w:right="710"/>
        <w:jc w:val="both"/>
        <w:rPr>
          <w:rFonts w:ascii="Calibri" w:eastAsia="Arial" w:hAnsi="Calibri" w:cs="Calibri"/>
          <w:sz w:val="18"/>
        </w:rPr>
      </w:pPr>
    </w:p>
    <w:p w14:paraId="72A738C5" w14:textId="77777777" w:rsidR="006C5262" w:rsidRPr="00790192" w:rsidRDefault="00BA17A5" w:rsidP="00790192">
      <w:pPr>
        <w:spacing w:before="64" w:line="250" w:lineRule="auto"/>
        <w:ind w:right="710" w:firstLine="720"/>
        <w:jc w:val="both"/>
        <w:rPr>
          <w:rFonts w:ascii="Calibri" w:eastAsia="Arial" w:hAnsi="Calibri" w:cs="Calibri"/>
          <w:sz w:val="18"/>
        </w:rPr>
      </w:pPr>
      <w:r>
        <w:rPr>
          <w:rFonts w:ascii="Arial" w:eastAsia="Arial" w:hAnsi="Arial" w:cs="Arial"/>
          <w:b/>
          <w:color w:val="000080"/>
          <w:w w:val="99"/>
          <w:sz w:val="22"/>
          <w:szCs w:val="22"/>
          <w:lang w:val="en-US"/>
        </w:rPr>
        <w:lastRenderedPageBreak/>
        <w:t xml:space="preserve"> </w:t>
      </w:r>
      <w:r w:rsidR="006C5262" w:rsidRPr="00790192">
        <w:rPr>
          <w:rFonts w:ascii="Arial" w:eastAsia="Arial" w:hAnsi="Arial" w:cs="Arial"/>
          <w:b/>
          <w:color w:val="000080"/>
          <w:w w:val="99"/>
          <w:sz w:val="22"/>
          <w:szCs w:val="22"/>
        </w:rPr>
        <w:t>ICT IDI Index and Fellowship Distribution</w:t>
      </w:r>
    </w:p>
    <w:p w14:paraId="1439C74B" w14:textId="77777777" w:rsidR="006C5262" w:rsidRPr="00A70477" w:rsidRDefault="006C5262" w:rsidP="006C5262">
      <w:pPr>
        <w:spacing w:before="64" w:line="250" w:lineRule="auto"/>
        <w:ind w:left="90" w:right="710"/>
        <w:jc w:val="both"/>
        <w:rPr>
          <w:rFonts w:ascii="Arial" w:eastAsia="Arial" w:hAnsi="Arial" w:cs="Arial"/>
          <w:b/>
          <w:color w:val="000080"/>
          <w:w w:val="99"/>
          <w:sz w:val="22"/>
          <w:szCs w:val="22"/>
        </w:rPr>
      </w:pPr>
    </w:p>
    <w:p w14:paraId="079F471D" w14:textId="77777777" w:rsidR="006C5262" w:rsidRDefault="006C5262" w:rsidP="00BA17A5">
      <w:pPr>
        <w:spacing w:before="65" w:line="250" w:lineRule="auto"/>
        <w:ind w:left="851" w:right="-34"/>
        <w:jc w:val="both"/>
        <w:rPr>
          <w:rFonts w:ascii="Calibri" w:eastAsia="Arial" w:hAnsi="Calibri" w:cs="Calibri"/>
          <w:sz w:val="18"/>
        </w:rPr>
      </w:pPr>
      <w:r w:rsidRPr="00337378">
        <w:rPr>
          <w:rFonts w:ascii="Calibri" w:eastAsia="Arial" w:hAnsi="Calibri" w:cs="Calibri"/>
          <w:sz w:val="18"/>
        </w:rPr>
        <w:t>The ITU’s ICT Development Index (IDI), a composite index combining 11 indicators that tracks ICT development within and between countries (ITU IDI, 2019), plays a key role in prioritizing fellowship distribution among the region</w:t>
      </w:r>
      <w:r w:rsidR="00D01434">
        <w:rPr>
          <w:rFonts w:ascii="Calibri" w:eastAsia="Arial" w:hAnsi="Calibri" w:cs="Calibri"/>
          <w:sz w:val="18"/>
          <w:lang w:val="en-US"/>
        </w:rPr>
        <w:t>.</w:t>
      </w:r>
      <w:r w:rsidRPr="00337378">
        <w:rPr>
          <w:rFonts w:ascii="Calibri" w:eastAsia="Arial" w:hAnsi="Calibri" w:cs="Calibri"/>
          <w:sz w:val="18"/>
        </w:rPr>
        <w:t xml:space="preserve"> The index has three sub-indices</w:t>
      </w:r>
      <w:r>
        <w:rPr>
          <w:rFonts w:ascii="Calibri" w:eastAsia="Arial" w:hAnsi="Calibri" w:cs="Calibri"/>
          <w:sz w:val="18"/>
        </w:rPr>
        <w:t xml:space="preserve">: </w:t>
      </w:r>
      <w:r w:rsidRPr="00337378">
        <w:rPr>
          <w:rFonts w:ascii="Calibri" w:eastAsia="Arial" w:hAnsi="Calibri" w:cs="Calibri"/>
          <w:sz w:val="18"/>
        </w:rPr>
        <w:t>access, use and skills. When combined, the index is used as a benchmark to ensure that all Member States achieve ICT milestones within a sound timeframe.</w:t>
      </w:r>
    </w:p>
    <w:p w14:paraId="0477E63A" w14:textId="77777777" w:rsidR="003C7B5D" w:rsidRPr="00337378" w:rsidRDefault="003C7B5D" w:rsidP="003C7B5D">
      <w:pPr>
        <w:spacing w:before="65" w:line="250" w:lineRule="auto"/>
        <w:ind w:left="851" w:right="-34"/>
        <w:jc w:val="both"/>
        <w:rPr>
          <w:rFonts w:ascii="Calibri" w:eastAsia="Arial" w:hAnsi="Calibri" w:cs="Calibri"/>
          <w:sz w:val="18"/>
        </w:rPr>
      </w:pPr>
      <w:r>
        <w:rPr>
          <w:rFonts w:ascii="Calibri" w:eastAsia="Arial" w:hAnsi="Calibri" w:cs="Calibri"/>
          <w:sz w:val="18"/>
          <w:lang w:val="en-US"/>
        </w:rPr>
        <w:t xml:space="preserve">The IDI index could be used to determine fellowships from </w:t>
      </w:r>
      <w:r w:rsidR="0046236F">
        <w:rPr>
          <w:rFonts w:ascii="Calibri" w:eastAsia="Arial" w:hAnsi="Calibri" w:cs="Calibri"/>
          <w:sz w:val="18"/>
          <w:lang w:val="en-US"/>
        </w:rPr>
        <w:t xml:space="preserve">a </w:t>
      </w:r>
      <w:r>
        <w:rPr>
          <w:rFonts w:ascii="Calibri" w:eastAsia="Arial" w:hAnsi="Calibri" w:cs="Calibri"/>
          <w:sz w:val="18"/>
          <w:lang w:val="en-US"/>
        </w:rPr>
        <w:t xml:space="preserve">low to high rank, within their respective income classification. For instance, upper-middle and high-income countries can be qualified with consideration to their IDI ranking. </w:t>
      </w:r>
    </w:p>
    <w:p w14:paraId="06C7E583" w14:textId="77777777" w:rsidR="006C5262" w:rsidRDefault="006C5262" w:rsidP="00BA17A5">
      <w:pPr>
        <w:spacing w:before="65" w:line="250" w:lineRule="auto"/>
        <w:ind w:left="851" w:right="-34"/>
        <w:jc w:val="both"/>
        <w:rPr>
          <w:rFonts w:ascii="Calibri" w:eastAsia="Arial" w:hAnsi="Calibri" w:cs="Calibri"/>
          <w:sz w:val="18"/>
        </w:rPr>
      </w:pPr>
      <w:r w:rsidRPr="00337378">
        <w:rPr>
          <w:rFonts w:ascii="Calibri" w:eastAsia="Arial" w:hAnsi="Calibri" w:cs="Calibri"/>
          <w:sz w:val="18"/>
        </w:rPr>
        <w:t xml:space="preserve">After collecting and verifying the data in 2019 for reference year 2018, it was found that, despite two rounds of capacity building workshops in all the regions, the amount of data received for the revised set of IDI indicators did not improve significantly (ITU IDI, 2019). Therefore, for the purpose of this research, 2017 figures versus prior year were used. </w:t>
      </w:r>
    </w:p>
    <w:p w14:paraId="3DBC8D09" w14:textId="77777777" w:rsidR="006C5262" w:rsidRPr="00337378" w:rsidRDefault="006C5262" w:rsidP="00BA17A5">
      <w:pPr>
        <w:spacing w:before="65" w:line="250" w:lineRule="auto"/>
        <w:ind w:left="851" w:right="-34"/>
        <w:jc w:val="both"/>
        <w:rPr>
          <w:rFonts w:ascii="Calibri" w:eastAsia="Arial" w:hAnsi="Calibri" w:cs="Calibri"/>
          <w:sz w:val="18"/>
        </w:rPr>
      </w:pPr>
      <w:r w:rsidRPr="00337378">
        <w:rPr>
          <w:rFonts w:ascii="Calibri" w:eastAsia="Arial" w:hAnsi="Calibri" w:cs="Calibri"/>
          <w:sz w:val="18"/>
        </w:rPr>
        <w:t xml:space="preserve">Ikrame, Belabbes &amp; El Moustafid, Said (2015) found that studies show that ICT development induces economic growth where 1 percent growth in telecommunications services corresponds a 3 percent growth in the economy, especially in developing countries. Other studies have also showed that ICT Development requires qualified and abundant human resources, low costs, and </w:t>
      </w:r>
      <w:r w:rsidR="00A2225E" w:rsidRPr="00337378">
        <w:rPr>
          <w:rFonts w:ascii="Calibri" w:eastAsia="Arial" w:hAnsi="Calibri" w:cs="Calibri"/>
          <w:sz w:val="18"/>
        </w:rPr>
        <w:t>favourable</w:t>
      </w:r>
      <w:r w:rsidRPr="00337378">
        <w:rPr>
          <w:rFonts w:ascii="Calibri" w:eastAsia="Arial" w:hAnsi="Calibri" w:cs="Calibri"/>
          <w:sz w:val="18"/>
        </w:rPr>
        <w:t xml:space="preserve"> environments for ICT firms. Therefore, developing ICT is hinged on a country’s economic conditions, financial arrangements and hazards. </w:t>
      </w:r>
    </w:p>
    <w:p w14:paraId="057B5FD3" w14:textId="77777777" w:rsidR="006C5262" w:rsidRPr="00337378" w:rsidRDefault="006C5262" w:rsidP="006C5262">
      <w:pPr>
        <w:spacing w:before="65" w:line="250" w:lineRule="auto"/>
        <w:ind w:left="851" w:right="-34"/>
        <w:jc w:val="both"/>
        <w:rPr>
          <w:rFonts w:ascii="Calibri" w:eastAsia="Arial" w:hAnsi="Calibri" w:cs="Calibri"/>
          <w:sz w:val="18"/>
        </w:rPr>
      </w:pPr>
    </w:p>
    <w:p w14:paraId="6917D50D" w14:textId="476E48CB" w:rsidR="006C5262" w:rsidRDefault="00317BAC" w:rsidP="006C5262">
      <w:pPr>
        <w:spacing w:before="65" w:line="250" w:lineRule="auto"/>
        <w:ind w:left="851" w:right="-34"/>
        <w:jc w:val="both"/>
        <w:rPr>
          <w:rFonts w:ascii="Calibri" w:eastAsia="Arial" w:hAnsi="Calibri" w:cs="Calibri"/>
          <w:sz w:val="18"/>
        </w:rPr>
      </w:pPr>
      <w:r>
        <w:rPr>
          <w:rFonts w:ascii="Calibri" w:eastAsia="Arial" w:hAnsi="Calibri" w:cs="Calibri"/>
          <w:noProof/>
          <w:sz w:val="18"/>
          <w:lang w:val="en-GB" w:eastAsia="en-GB"/>
        </w:rPr>
        <w:drawing>
          <wp:inline distT="0" distB="0" distL="0" distR="0" wp14:anchorId="52136739" wp14:editId="43239740">
            <wp:extent cx="2924175" cy="1914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914525"/>
                    </a:xfrm>
                    <a:prstGeom prst="rect">
                      <a:avLst/>
                    </a:prstGeom>
                    <a:noFill/>
                    <a:ln>
                      <a:noFill/>
                    </a:ln>
                  </pic:spPr>
                </pic:pic>
              </a:graphicData>
            </a:graphic>
          </wp:inline>
        </w:drawing>
      </w:r>
    </w:p>
    <w:p w14:paraId="525544CA" w14:textId="77777777" w:rsidR="006C5262" w:rsidRDefault="006C5262" w:rsidP="006C5262">
      <w:pPr>
        <w:spacing w:before="65" w:line="250" w:lineRule="auto"/>
        <w:ind w:left="851" w:right="-34"/>
        <w:jc w:val="both"/>
        <w:rPr>
          <w:rFonts w:ascii="Calibri" w:eastAsia="Arial" w:hAnsi="Calibri" w:cs="Calibri"/>
          <w:sz w:val="18"/>
        </w:rPr>
      </w:pPr>
      <w:r>
        <w:rPr>
          <w:rFonts w:ascii="Calibri" w:eastAsia="Arial" w:hAnsi="Calibri" w:cs="Calibri"/>
          <w:sz w:val="18"/>
        </w:rPr>
        <w:t>(Prepared by URCA using ITU Data)</w:t>
      </w:r>
    </w:p>
    <w:p w14:paraId="2C3CD6E5" w14:textId="77777777" w:rsidR="006C5262" w:rsidRPr="00337378" w:rsidRDefault="006C5262" w:rsidP="006C5262">
      <w:pPr>
        <w:spacing w:before="65" w:line="250" w:lineRule="auto"/>
        <w:ind w:left="851" w:right="-34"/>
        <w:jc w:val="both"/>
        <w:rPr>
          <w:rFonts w:ascii="Calibri" w:eastAsia="Arial" w:hAnsi="Calibri" w:cs="Calibri"/>
          <w:sz w:val="18"/>
        </w:rPr>
      </w:pPr>
    </w:p>
    <w:p w14:paraId="350CDD0B" w14:textId="77777777" w:rsidR="006C5262" w:rsidRPr="003C7B5D" w:rsidRDefault="006C5262" w:rsidP="003C7B5D">
      <w:pPr>
        <w:ind w:left="720" w:right="710"/>
        <w:jc w:val="both"/>
        <w:rPr>
          <w:rFonts w:ascii="Calibri" w:eastAsia="Arial" w:hAnsi="Calibri" w:cs="Calibri"/>
          <w:sz w:val="18"/>
          <w:lang w:val="en-US"/>
        </w:rPr>
      </w:pPr>
      <w:r w:rsidRPr="00C06576">
        <w:rPr>
          <w:rFonts w:ascii="Calibri" w:eastAsia="Arial" w:hAnsi="Calibri" w:cs="Calibri"/>
          <w:sz w:val="18"/>
        </w:rPr>
        <w:t xml:space="preserve">Lastly, it could also be suggested that if the current state of ICT is known via index, then perhaps when topics have direct applicability to countries (depending on </w:t>
      </w:r>
      <w:r w:rsidR="00BA17A5" w:rsidRPr="00C06576">
        <w:rPr>
          <w:rFonts w:ascii="Calibri" w:eastAsia="Arial" w:hAnsi="Calibri" w:cs="Calibri"/>
          <w:sz w:val="18"/>
        </w:rPr>
        <w:t>their</w:t>
      </w:r>
      <w:r w:rsidR="003C7B5D">
        <w:rPr>
          <w:rFonts w:ascii="Calibri" w:eastAsia="Arial" w:hAnsi="Calibri" w:cs="Calibri"/>
          <w:sz w:val="18"/>
          <w:lang w:val="en-US"/>
        </w:rPr>
        <w:t xml:space="preserve"> </w:t>
      </w:r>
      <w:r w:rsidRPr="00C06576">
        <w:rPr>
          <w:rFonts w:ascii="Calibri" w:eastAsia="Arial" w:hAnsi="Calibri" w:cs="Calibri"/>
          <w:sz w:val="18"/>
        </w:rPr>
        <w:t xml:space="preserve">immediate articulated plans), the fellowship </w:t>
      </w:r>
      <w:r>
        <w:rPr>
          <w:rFonts w:ascii="Calibri" w:eastAsia="Arial" w:hAnsi="Calibri" w:cs="Calibri"/>
          <w:sz w:val="18"/>
        </w:rPr>
        <w:t>could be given priority.</w:t>
      </w:r>
      <w:r w:rsidRPr="00C06576">
        <w:rPr>
          <w:rFonts w:ascii="Calibri" w:eastAsia="Arial" w:hAnsi="Calibri" w:cs="Calibri"/>
          <w:sz w:val="18"/>
        </w:rPr>
        <w:t xml:space="preserve"> </w:t>
      </w:r>
    </w:p>
    <w:p w14:paraId="4988BE45" w14:textId="77777777" w:rsidR="006C5262" w:rsidRPr="00337378" w:rsidRDefault="006C5262" w:rsidP="00BA17A5">
      <w:pPr>
        <w:spacing w:before="64" w:line="250" w:lineRule="auto"/>
        <w:ind w:right="710"/>
        <w:jc w:val="both"/>
        <w:rPr>
          <w:rFonts w:ascii="Calibri" w:eastAsia="Arial" w:hAnsi="Calibri" w:cs="Calibri"/>
          <w:sz w:val="18"/>
        </w:rPr>
      </w:pPr>
      <w:r w:rsidRPr="00337378">
        <w:rPr>
          <w:rFonts w:ascii="Calibri" w:eastAsia="Arial" w:hAnsi="Calibri" w:cs="Calibri"/>
          <w:sz w:val="18"/>
        </w:rPr>
        <w:t xml:space="preserve"> </w:t>
      </w:r>
    </w:p>
    <w:p w14:paraId="1DF83DA7" w14:textId="77777777" w:rsidR="003C7B5D" w:rsidRDefault="006C5262" w:rsidP="006C5262">
      <w:pPr>
        <w:spacing w:before="64" w:line="250" w:lineRule="auto"/>
        <w:ind w:right="710"/>
        <w:jc w:val="both"/>
        <w:rPr>
          <w:rFonts w:ascii="Calibri" w:eastAsia="Arial" w:hAnsi="Calibri" w:cs="Calibri"/>
          <w:sz w:val="18"/>
        </w:rPr>
      </w:pPr>
      <w:bookmarkStart w:id="12" w:name="_Hlk17813993"/>
      <w:r>
        <w:rPr>
          <w:rFonts w:ascii="Calibri" w:eastAsia="Arial" w:hAnsi="Calibri" w:cs="Calibri"/>
          <w:sz w:val="18"/>
        </w:rPr>
        <w:t xml:space="preserve">  </w:t>
      </w:r>
    </w:p>
    <w:p w14:paraId="5761E850" w14:textId="77777777" w:rsidR="003C7B5D" w:rsidRDefault="003C7B5D" w:rsidP="006C5262">
      <w:pPr>
        <w:spacing w:before="64" w:line="250" w:lineRule="auto"/>
        <w:ind w:right="710"/>
        <w:jc w:val="both"/>
        <w:rPr>
          <w:rFonts w:ascii="Arial" w:eastAsia="Arial" w:hAnsi="Arial" w:cs="Arial"/>
          <w:b/>
          <w:color w:val="000080"/>
          <w:w w:val="99"/>
          <w:sz w:val="22"/>
          <w:szCs w:val="22"/>
        </w:rPr>
      </w:pPr>
    </w:p>
    <w:p w14:paraId="621A2B30" w14:textId="77777777" w:rsidR="003C7B5D" w:rsidRDefault="003C7B5D" w:rsidP="006C5262">
      <w:pPr>
        <w:spacing w:before="64" w:line="250" w:lineRule="auto"/>
        <w:ind w:right="710"/>
        <w:jc w:val="both"/>
        <w:rPr>
          <w:rFonts w:ascii="Arial" w:eastAsia="Arial" w:hAnsi="Arial" w:cs="Arial"/>
          <w:b/>
          <w:color w:val="000080"/>
          <w:w w:val="99"/>
          <w:sz w:val="22"/>
          <w:szCs w:val="22"/>
        </w:rPr>
      </w:pPr>
    </w:p>
    <w:p w14:paraId="20F7C062" w14:textId="77777777" w:rsidR="00D01434" w:rsidRDefault="006C5262" w:rsidP="006C5262">
      <w:pPr>
        <w:spacing w:before="64" w:line="250" w:lineRule="auto"/>
        <w:ind w:right="710"/>
        <w:jc w:val="both"/>
        <w:rPr>
          <w:rFonts w:ascii="Arial" w:eastAsia="Arial" w:hAnsi="Arial" w:cs="Arial"/>
          <w:b/>
          <w:color w:val="000080"/>
          <w:w w:val="99"/>
          <w:sz w:val="22"/>
          <w:szCs w:val="22"/>
        </w:rPr>
      </w:pPr>
      <w:r w:rsidRPr="000146E0">
        <w:rPr>
          <w:rFonts w:ascii="Arial" w:eastAsia="Arial" w:hAnsi="Arial" w:cs="Arial"/>
          <w:b/>
          <w:color w:val="000080"/>
          <w:w w:val="99"/>
          <w:sz w:val="22"/>
          <w:szCs w:val="22"/>
        </w:rPr>
        <w:t>Support: How can you help?</w:t>
      </w:r>
    </w:p>
    <w:p w14:paraId="5B9C3150" w14:textId="77777777" w:rsidR="00BA17A5" w:rsidRPr="000146E0" w:rsidRDefault="00BA17A5" w:rsidP="006C5262">
      <w:pPr>
        <w:spacing w:before="64" w:line="250" w:lineRule="auto"/>
        <w:ind w:right="710"/>
        <w:jc w:val="both"/>
        <w:rPr>
          <w:rFonts w:ascii="Arial" w:eastAsia="Arial" w:hAnsi="Arial" w:cs="Arial"/>
          <w:b/>
          <w:color w:val="000080"/>
          <w:w w:val="99"/>
          <w:sz w:val="22"/>
          <w:szCs w:val="22"/>
        </w:rPr>
      </w:pPr>
    </w:p>
    <w:bookmarkEnd w:id="12"/>
    <w:p w14:paraId="121CAF5E" w14:textId="77777777" w:rsidR="00606403" w:rsidRDefault="006C5262" w:rsidP="006C5262">
      <w:pPr>
        <w:ind w:left="90" w:right="710"/>
        <w:jc w:val="both"/>
        <w:rPr>
          <w:rFonts w:ascii="Calibri" w:eastAsia="Arial" w:hAnsi="Calibri" w:cs="Calibri"/>
          <w:sz w:val="18"/>
        </w:rPr>
      </w:pPr>
      <w:r>
        <w:rPr>
          <w:rFonts w:ascii="Calibri" w:eastAsia="Arial" w:hAnsi="Calibri" w:cs="Calibri"/>
          <w:sz w:val="18"/>
        </w:rPr>
        <w:t>The Bahamas welcomes comments or suggestions on improvements that can be made to strengthen access to fellowships for the</w:t>
      </w:r>
      <w:r w:rsidR="00A833B1">
        <w:rPr>
          <w:rFonts w:ascii="Calibri" w:eastAsia="Arial" w:hAnsi="Calibri" w:cs="Calibri"/>
          <w:sz w:val="18"/>
          <w:lang w:val="en-US"/>
        </w:rPr>
        <w:t xml:space="preserve"> SIDS, LDCs, and Landlocked Developing Countries within the region</w:t>
      </w:r>
      <w:r>
        <w:rPr>
          <w:rFonts w:ascii="Calibri" w:eastAsia="Arial" w:hAnsi="Calibri" w:cs="Calibri"/>
          <w:sz w:val="18"/>
        </w:rPr>
        <w:t xml:space="preserve">. </w:t>
      </w:r>
    </w:p>
    <w:p w14:paraId="718072CD" w14:textId="77777777" w:rsidR="00606403" w:rsidRDefault="00606403" w:rsidP="006C5262">
      <w:pPr>
        <w:ind w:left="90" w:right="710"/>
        <w:jc w:val="both"/>
        <w:rPr>
          <w:rFonts w:ascii="Calibri" w:eastAsia="Arial" w:hAnsi="Calibri" w:cs="Calibri"/>
          <w:sz w:val="18"/>
        </w:rPr>
      </w:pPr>
    </w:p>
    <w:p w14:paraId="67C11184" w14:textId="77777777" w:rsidR="006C5262" w:rsidRDefault="006C5262" w:rsidP="006C5262">
      <w:pPr>
        <w:ind w:left="90" w:right="710"/>
        <w:jc w:val="both"/>
        <w:rPr>
          <w:rFonts w:ascii="Calibri" w:eastAsia="Arial" w:hAnsi="Calibri" w:cs="Calibri"/>
          <w:sz w:val="18"/>
        </w:rPr>
      </w:pPr>
      <w:r>
        <w:rPr>
          <w:rFonts w:ascii="Calibri" w:eastAsia="Arial" w:hAnsi="Calibri" w:cs="Calibri"/>
          <w:sz w:val="18"/>
        </w:rPr>
        <w:t xml:space="preserve">Access to fellowships should be given a closer look to help push for successful implementation of country specific ICT development. This can only be done if fellowship resources are properly allocated based on a comprehensive classification method for developing countries. </w:t>
      </w:r>
    </w:p>
    <w:p w14:paraId="74C9D648" w14:textId="77777777" w:rsidR="006C5262" w:rsidRDefault="006C5262" w:rsidP="006C5262">
      <w:pPr>
        <w:spacing w:before="64" w:line="250" w:lineRule="auto"/>
        <w:ind w:right="710"/>
        <w:jc w:val="both"/>
        <w:rPr>
          <w:rFonts w:ascii="Arial" w:eastAsia="Arial" w:hAnsi="Arial" w:cs="Arial"/>
          <w:b/>
          <w:color w:val="000080"/>
          <w:w w:val="99"/>
          <w:sz w:val="22"/>
          <w:szCs w:val="22"/>
        </w:rPr>
      </w:pPr>
      <w:bookmarkStart w:id="13" w:name="_Hlk17813984"/>
    </w:p>
    <w:p w14:paraId="7E2E867B" w14:textId="77777777" w:rsidR="006C5262" w:rsidRDefault="006C5262" w:rsidP="006C5262">
      <w:pPr>
        <w:spacing w:before="64" w:line="250" w:lineRule="auto"/>
        <w:ind w:left="90" w:right="710"/>
        <w:jc w:val="both"/>
        <w:rPr>
          <w:rFonts w:ascii="Arial" w:eastAsia="Arial" w:hAnsi="Arial" w:cs="Arial"/>
          <w:b/>
          <w:color w:val="000080"/>
          <w:w w:val="99"/>
          <w:sz w:val="22"/>
          <w:szCs w:val="22"/>
        </w:rPr>
      </w:pPr>
      <w:r>
        <w:rPr>
          <w:rFonts w:ascii="Arial" w:eastAsia="Arial" w:hAnsi="Arial" w:cs="Arial"/>
          <w:b/>
          <w:color w:val="000080"/>
          <w:w w:val="99"/>
          <w:sz w:val="22"/>
          <w:szCs w:val="22"/>
        </w:rPr>
        <w:t xml:space="preserve">How to Apply for Fellowships </w:t>
      </w:r>
    </w:p>
    <w:p w14:paraId="59EA267A" w14:textId="77777777" w:rsidR="006C5262" w:rsidRPr="00791735" w:rsidRDefault="006C5262" w:rsidP="006C5262">
      <w:pPr>
        <w:spacing w:before="64" w:line="250" w:lineRule="auto"/>
        <w:ind w:left="90" w:right="710"/>
        <w:jc w:val="both"/>
        <w:rPr>
          <w:rFonts w:ascii="Arial" w:eastAsia="Arial" w:hAnsi="Arial" w:cs="Arial"/>
          <w:b/>
          <w:color w:val="000080"/>
          <w:w w:val="99"/>
          <w:sz w:val="22"/>
          <w:szCs w:val="22"/>
        </w:rPr>
      </w:pPr>
    </w:p>
    <w:bookmarkEnd w:id="13"/>
    <w:p w14:paraId="06D2F1A9" w14:textId="77777777" w:rsidR="006C5262" w:rsidRPr="000146E0" w:rsidRDefault="006C5262" w:rsidP="006C5262">
      <w:pPr>
        <w:pStyle w:val="ListParagraph"/>
        <w:numPr>
          <w:ilvl w:val="0"/>
          <w:numId w:val="2"/>
        </w:numPr>
        <w:ind w:right="710"/>
        <w:jc w:val="both"/>
        <w:rPr>
          <w:rFonts w:ascii="Calibri" w:eastAsia="Arial" w:hAnsi="Calibri" w:cs="Calibri"/>
          <w:sz w:val="18"/>
        </w:rPr>
      </w:pPr>
      <w:r w:rsidRPr="000146E0">
        <w:rPr>
          <w:rFonts w:ascii="Calibri" w:eastAsia="Arial" w:hAnsi="Calibri" w:cs="Calibri"/>
          <w:sz w:val="18"/>
        </w:rPr>
        <w:t>Applicants must pre-register online for the meeting before applying for a fellowship. Fellowship will be granted only if your registration is approved by your focal point.</w:t>
      </w:r>
    </w:p>
    <w:p w14:paraId="658DA3FA" w14:textId="77777777" w:rsidR="006C5262" w:rsidRDefault="006C5262" w:rsidP="006C5262">
      <w:pPr>
        <w:ind w:left="90" w:right="710"/>
        <w:jc w:val="both"/>
        <w:rPr>
          <w:rFonts w:ascii="Calibri" w:eastAsia="Arial" w:hAnsi="Calibri" w:cs="Calibri"/>
          <w:sz w:val="18"/>
        </w:rPr>
      </w:pPr>
    </w:p>
    <w:p w14:paraId="05D8A7E2" w14:textId="77777777" w:rsidR="006C5262" w:rsidRPr="000146E0" w:rsidRDefault="006C5262" w:rsidP="006C5262">
      <w:pPr>
        <w:pStyle w:val="ListParagraph"/>
        <w:numPr>
          <w:ilvl w:val="0"/>
          <w:numId w:val="2"/>
        </w:numPr>
        <w:ind w:right="710"/>
        <w:jc w:val="both"/>
        <w:rPr>
          <w:rFonts w:ascii="Calibri" w:eastAsia="Arial" w:hAnsi="Calibri" w:cs="Calibri"/>
          <w:sz w:val="18"/>
        </w:rPr>
      </w:pPr>
      <w:r w:rsidRPr="000146E0">
        <w:rPr>
          <w:rFonts w:ascii="Calibri" w:eastAsia="Arial" w:hAnsi="Calibri" w:cs="Calibri"/>
          <w:sz w:val="18"/>
        </w:rPr>
        <w:t xml:space="preserve">Submit official fellowship request form within the </w:t>
      </w:r>
      <w:r w:rsidR="00F6460D" w:rsidRPr="000146E0">
        <w:rPr>
          <w:rFonts w:ascii="Calibri" w:eastAsia="Arial" w:hAnsi="Calibri" w:cs="Calibri"/>
          <w:sz w:val="18"/>
        </w:rPr>
        <w:t>deadline indicated</w:t>
      </w:r>
      <w:r w:rsidRPr="000146E0">
        <w:rPr>
          <w:rFonts w:ascii="Calibri" w:eastAsia="Arial" w:hAnsi="Calibri" w:cs="Calibri"/>
          <w:sz w:val="18"/>
        </w:rPr>
        <w:t xml:space="preserve"> in the announcement letter of related event/activity </w:t>
      </w:r>
    </w:p>
    <w:p w14:paraId="63AD3874" w14:textId="77777777" w:rsidR="006C5262" w:rsidRDefault="006C5262" w:rsidP="006C5262">
      <w:pPr>
        <w:ind w:left="90" w:right="710"/>
        <w:jc w:val="both"/>
        <w:rPr>
          <w:rFonts w:ascii="Calibri" w:eastAsia="Arial" w:hAnsi="Calibri" w:cs="Calibri"/>
          <w:sz w:val="18"/>
        </w:rPr>
      </w:pPr>
    </w:p>
    <w:p w14:paraId="075BB28E" w14:textId="77777777" w:rsidR="006C5262" w:rsidRPr="000146E0" w:rsidRDefault="006C5262" w:rsidP="006C5262">
      <w:pPr>
        <w:pStyle w:val="ListParagraph"/>
        <w:numPr>
          <w:ilvl w:val="0"/>
          <w:numId w:val="2"/>
        </w:numPr>
        <w:ind w:right="710"/>
        <w:jc w:val="both"/>
        <w:rPr>
          <w:rFonts w:ascii="Calibri" w:eastAsia="Arial" w:hAnsi="Calibri" w:cs="Calibri"/>
          <w:sz w:val="18"/>
        </w:rPr>
      </w:pPr>
      <w:r w:rsidRPr="000146E0">
        <w:rPr>
          <w:rFonts w:ascii="Calibri" w:eastAsia="Arial" w:hAnsi="Calibri" w:cs="Calibri"/>
          <w:sz w:val="18"/>
        </w:rPr>
        <w:t xml:space="preserve">It is recommended for applicants to complete the form electronically. The form should then be printed and signed by the </w:t>
      </w:r>
      <w:r w:rsidR="00F6460D" w:rsidRPr="000146E0">
        <w:rPr>
          <w:rFonts w:ascii="Calibri" w:eastAsia="Arial" w:hAnsi="Calibri" w:cs="Calibri"/>
          <w:sz w:val="18"/>
        </w:rPr>
        <w:t>applicant and</w:t>
      </w:r>
      <w:r w:rsidRPr="000146E0">
        <w:rPr>
          <w:rFonts w:ascii="Calibri" w:eastAsia="Arial" w:hAnsi="Calibri" w:cs="Calibri"/>
          <w:sz w:val="18"/>
        </w:rPr>
        <w:t xml:space="preserve"> signed and stamped by an official authorized to do so by the Administration.</w:t>
      </w:r>
    </w:p>
    <w:p w14:paraId="63DDA117" w14:textId="77777777" w:rsidR="006C5262" w:rsidRDefault="006C5262" w:rsidP="006C5262">
      <w:pPr>
        <w:ind w:left="90" w:right="710"/>
        <w:jc w:val="both"/>
        <w:rPr>
          <w:rFonts w:ascii="Calibri" w:eastAsia="Arial" w:hAnsi="Calibri" w:cs="Calibri"/>
          <w:sz w:val="18"/>
        </w:rPr>
      </w:pPr>
    </w:p>
    <w:p w14:paraId="4879CF57" w14:textId="77777777" w:rsidR="006C5262" w:rsidRPr="000146E0" w:rsidRDefault="006C5262" w:rsidP="006C5262">
      <w:pPr>
        <w:pStyle w:val="ListParagraph"/>
        <w:numPr>
          <w:ilvl w:val="0"/>
          <w:numId w:val="2"/>
        </w:numPr>
        <w:ind w:right="710"/>
        <w:jc w:val="both"/>
        <w:rPr>
          <w:rFonts w:ascii="Calibri" w:eastAsia="Arial" w:hAnsi="Calibri" w:cs="Calibri"/>
          <w:sz w:val="18"/>
        </w:rPr>
      </w:pPr>
      <w:r w:rsidRPr="000146E0">
        <w:rPr>
          <w:rFonts w:ascii="Calibri" w:eastAsia="Arial" w:hAnsi="Calibri" w:cs="Calibri"/>
          <w:sz w:val="18"/>
        </w:rPr>
        <w:t>The form should then be scanned and emailed to fellowships@itu.int - or alternatively sent by fax (+41 22 730 5778) - in order to be received by ITU before the submission deadline.</w:t>
      </w:r>
    </w:p>
    <w:p w14:paraId="04140A3C" w14:textId="77777777" w:rsidR="006C5262" w:rsidRPr="007B3F61" w:rsidRDefault="006C5262" w:rsidP="006C5262">
      <w:pPr>
        <w:spacing w:before="64" w:line="250" w:lineRule="auto"/>
        <w:ind w:left="851" w:right="-31"/>
        <w:rPr>
          <w:rFonts w:ascii="Calibri" w:eastAsia="Arial" w:hAnsi="Calibri" w:cs="Arial"/>
          <w:b/>
          <w:color w:val="000080"/>
          <w:w w:val="99"/>
          <w:sz w:val="18"/>
          <w:szCs w:val="18"/>
        </w:rPr>
      </w:pPr>
    </w:p>
    <w:p w14:paraId="0FD95A2B" w14:textId="77777777" w:rsidR="006C5262" w:rsidRDefault="006C5262" w:rsidP="006C5262">
      <w:pPr>
        <w:spacing w:before="64" w:line="250" w:lineRule="auto"/>
        <w:ind w:right="-31"/>
        <w:rPr>
          <w:rFonts w:ascii="Arial" w:eastAsia="Arial" w:hAnsi="Arial" w:cs="Arial"/>
          <w:b/>
          <w:color w:val="000080"/>
          <w:w w:val="99"/>
          <w:sz w:val="22"/>
          <w:szCs w:val="22"/>
        </w:rPr>
      </w:pPr>
      <w:r w:rsidRPr="00A70477">
        <w:rPr>
          <w:rFonts w:ascii="Arial" w:eastAsia="Arial" w:hAnsi="Arial" w:cs="Arial"/>
          <w:b/>
          <w:color w:val="000080"/>
          <w:w w:val="99"/>
          <w:sz w:val="22"/>
          <w:szCs w:val="22"/>
        </w:rPr>
        <w:t xml:space="preserve">   </w:t>
      </w:r>
    </w:p>
    <w:p w14:paraId="2064EA35" w14:textId="77777777" w:rsidR="006C5262" w:rsidRDefault="006C5262" w:rsidP="006C5262">
      <w:pPr>
        <w:spacing w:before="64" w:line="250" w:lineRule="auto"/>
        <w:ind w:right="-31"/>
        <w:rPr>
          <w:rFonts w:ascii="Arial" w:eastAsia="Arial" w:hAnsi="Arial" w:cs="Arial"/>
          <w:b/>
          <w:color w:val="000080"/>
          <w:w w:val="99"/>
          <w:sz w:val="22"/>
          <w:szCs w:val="22"/>
        </w:rPr>
      </w:pPr>
      <w:r w:rsidRPr="00A70477">
        <w:rPr>
          <w:rFonts w:ascii="Arial" w:eastAsia="Arial" w:hAnsi="Arial" w:cs="Arial"/>
          <w:b/>
          <w:color w:val="000080"/>
          <w:w w:val="99"/>
          <w:sz w:val="22"/>
          <w:szCs w:val="22"/>
        </w:rPr>
        <w:t xml:space="preserve">  </w:t>
      </w:r>
      <w:r>
        <w:rPr>
          <w:rFonts w:ascii="Arial" w:eastAsia="Arial" w:hAnsi="Arial" w:cs="Arial"/>
          <w:b/>
          <w:color w:val="000080"/>
          <w:w w:val="99"/>
          <w:sz w:val="22"/>
          <w:szCs w:val="22"/>
        </w:rPr>
        <w:tab/>
      </w:r>
      <w:r w:rsidRPr="00A70477">
        <w:rPr>
          <w:rFonts w:ascii="Arial" w:eastAsia="Arial" w:hAnsi="Arial" w:cs="Arial"/>
          <w:b/>
          <w:color w:val="000080"/>
          <w:w w:val="99"/>
          <w:sz w:val="22"/>
          <w:szCs w:val="22"/>
        </w:rPr>
        <w:t>Decision Criteria</w:t>
      </w:r>
    </w:p>
    <w:p w14:paraId="5A79AAC6" w14:textId="77777777" w:rsidR="00F6460D" w:rsidRPr="00F6460D" w:rsidRDefault="00F6460D" w:rsidP="006C5262">
      <w:pPr>
        <w:spacing w:before="64" w:line="250" w:lineRule="auto"/>
        <w:ind w:right="-31"/>
        <w:rPr>
          <w:rFonts w:ascii="Arial" w:eastAsia="Arial" w:hAnsi="Arial" w:cs="Arial"/>
          <w:b/>
          <w:color w:val="000080"/>
          <w:w w:val="99"/>
          <w:sz w:val="22"/>
          <w:szCs w:val="22"/>
        </w:rPr>
      </w:pPr>
    </w:p>
    <w:p w14:paraId="08995EA0" w14:textId="77777777" w:rsidR="006C5262" w:rsidRPr="000146E0" w:rsidRDefault="006C5262" w:rsidP="006C5262">
      <w:pPr>
        <w:pStyle w:val="ListParagraph"/>
        <w:numPr>
          <w:ilvl w:val="0"/>
          <w:numId w:val="3"/>
        </w:numPr>
        <w:ind w:right="710"/>
        <w:jc w:val="both"/>
        <w:rPr>
          <w:rFonts w:ascii="Calibri" w:eastAsia="Arial" w:hAnsi="Calibri" w:cs="Calibri"/>
          <w:sz w:val="18"/>
        </w:rPr>
      </w:pPr>
      <w:r w:rsidRPr="000146E0">
        <w:rPr>
          <w:rFonts w:ascii="Calibri" w:eastAsia="Arial" w:hAnsi="Calibri" w:cs="Calibri"/>
          <w:sz w:val="18"/>
        </w:rPr>
        <w:t>Available within ITU budget</w:t>
      </w:r>
    </w:p>
    <w:p w14:paraId="7ECFDACA" w14:textId="77777777" w:rsidR="006C5262" w:rsidRPr="000146E0" w:rsidRDefault="006C5262" w:rsidP="006C5262">
      <w:pPr>
        <w:pStyle w:val="ListParagraph"/>
        <w:numPr>
          <w:ilvl w:val="0"/>
          <w:numId w:val="3"/>
        </w:numPr>
        <w:ind w:right="710"/>
        <w:jc w:val="both"/>
        <w:rPr>
          <w:rFonts w:ascii="Calibri" w:eastAsia="Arial" w:hAnsi="Calibri" w:cs="Calibri"/>
          <w:sz w:val="18"/>
        </w:rPr>
      </w:pPr>
      <w:r w:rsidRPr="000146E0">
        <w:rPr>
          <w:rFonts w:ascii="Calibri" w:eastAsia="Arial" w:hAnsi="Calibri" w:cs="Calibri"/>
          <w:sz w:val="18"/>
        </w:rPr>
        <w:t>Active participation, including the submission of written contributions</w:t>
      </w:r>
    </w:p>
    <w:p w14:paraId="07098035" w14:textId="77777777" w:rsidR="006C5262" w:rsidRPr="000146E0" w:rsidRDefault="006C5262" w:rsidP="006C5262">
      <w:pPr>
        <w:pStyle w:val="ListParagraph"/>
        <w:numPr>
          <w:ilvl w:val="0"/>
          <w:numId w:val="3"/>
        </w:numPr>
        <w:ind w:right="710"/>
        <w:jc w:val="both"/>
        <w:rPr>
          <w:rFonts w:ascii="Calibri" w:eastAsia="Arial" w:hAnsi="Calibri" w:cs="Calibri"/>
          <w:sz w:val="18"/>
        </w:rPr>
      </w:pPr>
      <w:r w:rsidRPr="000146E0">
        <w:rPr>
          <w:rFonts w:ascii="Calibri" w:eastAsia="Arial" w:hAnsi="Calibri" w:cs="Calibri"/>
          <w:sz w:val="18"/>
        </w:rPr>
        <w:t>Equitable distribution among countries and regions</w:t>
      </w:r>
    </w:p>
    <w:p w14:paraId="12881872" w14:textId="77777777" w:rsidR="006C5262" w:rsidRDefault="006C5262" w:rsidP="006C5262">
      <w:pPr>
        <w:pStyle w:val="ListParagraph"/>
        <w:numPr>
          <w:ilvl w:val="0"/>
          <w:numId w:val="3"/>
        </w:numPr>
        <w:ind w:right="710"/>
        <w:jc w:val="both"/>
        <w:rPr>
          <w:rFonts w:ascii="Calibri" w:eastAsia="Arial" w:hAnsi="Calibri" w:cs="Calibri"/>
          <w:sz w:val="18"/>
        </w:rPr>
      </w:pPr>
      <w:r w:rsidRPr="000146E0">
        <w:rPr>
          <w:rFonts w:ascii="Calibri" w:eastAsia="Arial" w:hAnsi="Calibri" w:cs="Calibri"/>
          <w:sz w:val="18"/>
        </w:rPr>
        <w:t>Gender balance</w:t>
      </w:r>
      <w:bookmarkStart w:id="14" w:name="_Hlk17811285"/>
    </w:p>
    <w:p w14:paraId="0A1E80D2" w14:textId="77777777" w:rsidR="006C5262" w:rsidRDefault="006C5262" w:rsidP="006C5262">
      <w:pPr>
        <w:pStyle w:val="ListParagraph"/>
        <w:numPr>
          <w:ilvl w:val="0"/>
          <w:numId w:val="3"/>
        </w:numPr>
        <w:ind w:right="710"/>
        <w:jc w:val="both"/>
        <w:rPr>
          <w:rFonts w:ascii="Calibri" w:eastAsia="Arial" w:hAnsi="Calibri" w:cs="Calibri"/>
          <w:sz w:val="18"/>
        </w:rPr>
      </w:pPr>
      <w:r w:rsidRPr="00C06E3E">
        <w:rPr>
          <w:rFonts w:ascii="Calibri" w:eastAsia="Arial" w:hAnsi="Calibri" w:cs="Calibri"/>
          <w:sz w:val="18"/>
        </w:rPr>
        <w:t>The candidate’s professional background, current position and the practical use the beneficiary intends to make of the knowledge and experience to be gained</w:t>
      </w:r>
    </w:p>
    <w:p w14:paraId="4F409CA1" w14:textId="77777777" w:rsidR="006C5262" w:rsidRDefault="006C5262" w:rsidP="006C5262">
      <w:pPr>
        <w:pStyle w:val="ListParagraph"/>
        <w:numPr>
          <w:ilvl w:val="0"/>
          <w:numId w:val="3"/>
        </w:numPr>
        <w:ind w:right="710"/>
        <w:jc w:val="both"/>
        <w:rPr>
          <w:rFonts w:ascii="Calibri" w:eastAsia="Arial" w:hAnsi="Calibri" w:cs="Calibri"/>
          <w:sz w:val="18"/>
        </w:rPr>
      </w:pPr>
      <w:r w:rsidRPr="00C06E3E">
        <w:rPr>
          <w:rFonts w:ascii="Calibri" w:eastAsia="Arial" w:hAnsi="Calibri" w:cs="Calibri"/>
          <w:sz w:val="18"/>
        </w:rPr>
        <w:t>The long-term commitment of a candidate to the country’s national capacity development needs</w:t>
      </w:r>
    </w:p>
    <w:p w14:paraId="7CC5A9FF" w14:textId="77777777" w:rsidR="006C5262" w:rsidRPr="00E5647B" w:rsidRDefault="006C5262" w:rsidP="006C5262">
      <w:pPr>
        <w:ind w:right="710"/>
        <w:jc w:val="both"/>
        <w:rPr>
          <w:rFonts w:ascii="Calibri" w:eastAsia="Arial" w:hAnsi="Calibri" w:cs="Calibri"/>
          <w:sz w:val="18"/>
        </w:rPr>
      </w:pPr>
    </w:p>
    <w:p w14:paraId="46178FDA" w14:textId="77777777" w:rsidR="006C5262" w:rsidRPr="00A70477" w:rsidRDefault="006C5262" w:rsidP="006C5262">
      <w:pPr>
        <w:pStyle w:val="ListParagraph"/>
        <w:ind w:right="710"/>
        <w:jc w:val="both"/>
        <w:rPr>
          <w:rFonts w:ascii="Calibri" w:eastAsia="Arial" w:hAnsi="Calibri" w:cs="Calibri"/>
          <w:sz w:val="18"/>
        </w:rPr>
      </w:pPr>
    </w:p>
    <w:p w14:paraId="10F66D8C" w14:textId="77777777" w:rsidR="00BA17A5" w:rsidRDefault="00BA17A5" w:rsidP="006C5262">
      <w:pPr>
        <w:spacing w:before="64" w:line="250" w:lineRule="auto"/>
        <w:ind w:left="851" w:right="-31"/>
        <w:rPr>
          <w:rFonts w:ascii="Arial" w:eastAsia="Arial" w:hAnsi="Arial" w:cs="Arial"/>
          <w:b/>
          <w:color w:val="000080"/>
          <w:w w:val="99"/>
          <w:sz w:val="22"/>
          <w:szCs w:val="22"/>
        </w:rPr>
      </w:pPr>
    </w:p>
    <w:p w14:paraId="58D5550C" w14:textId="77777777" w:rsidR="00BA17A5" w:rsidRDefault="00BA17A5" w:rsidP="006C5262">
      <w:pPr>
        <w:spacing w:before="64" w:line="250" w:lineRule="auto"/>
        <w:ind w:left="851" w:right="-31"/>
        <w:rPr>
          <w:rFonts w:ascii="Arial" w:eastAsia="Arial" w:hAnsi="Arial" w:cs="Arial"/>
          <w:b/>
          <w:color w:val="000080"/>
          <w:w w:val="99"/>
          <w:sz w:val="22"/>
          <w:szCs w:val="22"/>
        </w:rPr>
      </w:pPr>
    </w:p>
    <w:p w14:paraId="0B2C8840" w14:textId="77777777" w:rsidR="00BA17A5" w:rsidRDefault="00BA17A5" w:rsidP="006C5262">
      <w:pPr>
        <w:spacing w:before="64" w:line="250" w:lineRule="auto"/>
        <w:ind w:left="851" w:right="-31"/>
        <w:rPr>
          <w:rFonts w:ascii="Arial" w:eastAsia="Arial" w:hAnsi="Arial" w:cs="Arial"/>
          <w:b/>
          <w:color w:val="000080"/>
          <w:w w:val="99"/>
          <w:sz w:val="22"/>
          <w:szCs w:val="22"/>
        </w:rPr>
      </w:pPr>
    </w:p>
    <w:p w14:paraId="4673BF63" w14:textId="77777777" w:rsidR="003C7B5D" w:rsidRDefault="003C7B5D" w:rsidP="006C5262">
      <w:pPr>
        <w:spacing w:before="64" w:line="250" w:lineRule="auto"/>
        <w:ind w:left="851" w:right="-31"/>
        <w:rPr>
          <w:rFonts w:ascii="Arial" w:eastAsia="Arial" w:hAnsi="Arial" w:cs="Arial"/>
          <w:b/>
          <w:color w:val="000080"/>
          <w:w w:val="99"/>
          <w:sz w:val="22"/>
          <w:szCs w:val="22"/>
        </w:rPr>
      </w:pPr>
    </w:p>
    <w:p w14:paraId="61822562" w14:textId="77777777" w:rsidR="003C7B5D" w:rsidRDefault="003C7B5D" w:rsidP="006C5262">
      <w:pPr>
        <w:spacing w:before="64" w:line="250" w:lineRule="auto"/>
        <w:ind w:left="851" w:right="-31"/>
        <w:rPr>
          <w:rFonts w:ascii="Arial" w:eastAsia="Arial" w:hAnsi="Arial" w:cs="Arial"/>
          <w:b/>
          <w:color w:val="000080"/>
          <w:w w:val="99"/>
          <w:sz w:val="22"/>
          <w:szCs w:val="22"/>
        </w:rPr>
      </w:pPr>
    </w:p>
    <w:p w14:paraId="58E11A6F" w14:textId="77777777" w:rsidR="00DE6D2D" w:rsidRDefault="00DE6D2D" w:rsidP="006C5262">
      <w:pPr>
        <w:spacing w:before="64" w:line="250" w:lineRule="auto"/>
        <w:ind w:left="851" w:right="-31"/>
        <w:rPr>
          <w:rFonts w:ascii="Arial" w:eastAsia="Arial" w:hAnsi="Arial" w:cs="Arial"/>
          <w:b/>
          <w:color w:val="000080"/>
          <w:w w:val="99"/>
          <w:sz w:val="22"/>
          <w:szCs w:val="22"/>
        </w:rPr>
      </w:pPr>
    </w:p>
    <w:p w14:paraId="4EBFFB80" w14:textId="77777777" w:rsidR="006C5262" w:rsidRDefault="006C5262" w:rsidP="006C5262">
      <w:pPr>
        <w:spacing w:before="64" w:line="250" w:lineRule="auto"/>
        <w:ind w:left="851" w:right="-31"/>
        <w:rPr>
          <w:rFonts w:ascii="Arial" w:eastAsia="Arial" w:hAnsi="Arial" w:cs="Arial"/>
          <w:b/>
          <w:color w:val="000080"/>
          <w:w w:val="99"/>
          <w:sz w:val="22"/>
          <w:szCs w:val="22"/>
        </w:rPr>
      </w:pPr>
      <w:r w:rsidRPr="00F224AB">
        <w:rPr>
          <w:rFonts w:ascii="Arial" w:eastAsia="Arial" w:hAnsi="Arial" w:cs="Arial"/>
          <w:b/>
          <w:color w:val="000080"/>
          <w:w w:val="99"/>
          <w:sz w:val="22"/>
          <w:szCs w:val="22"/>
        </w:rPr>
        <w:lastRenderedPageBreak/>
        <w:t>Useful Further Reading</w:t>
      </w:r>
    </w:p>
    <w:p w14:paraId="36203BE9" w14:textId="77777777" w:rsidR="006C5262" w:rsidRPr="007B3F61" w:rsidRDefault="006C5262" w:rsidP="006C5262">
      <w:pPr>
        <w:spacing w:before="64" w:line="250" w:lineRule="auto"/>
        <w:ind w:left="851" w:right="-31"/>
        <w:jc w:val="both"/>
        <w:rPr>
          <w:rFonts w:ascii="Arial" w:eastAsia="Arial" w:hAnsi="Arial" w:cs="Arial"/>
          <w:b/>
          <w:color w:val="000080"/>
          <w:w w:val="99"/>
          <w:sz w:val="18"/>
          <w:szCs w:val="18"/>
        </w:rPr>
      </w:pPr>
    </w:p>
    <w:bookmarkEnd w:id="14"/>
    <w:p w14:paraId="0DA72E64" w14:textId="77777777" w:rsidR="006C5262" w:rsidRPr="008463F6" w:rsidRDefault="006C5262" w:rsidP="006C5262">
      <w:pPr>
        <w:spacing w:before="65" w:line="250" w:lineRule="auto"/>
        <w:ind w:left="1570" w:right="-34" w:hanging="720"/>
        <w:jc w:val="both"/>
        <w:rPr>
          <w:rFonts w:ascii="Calibri" w:hAnsi="Calibri" w:cs="Calibri"/>
          <w:sz w:val="18"/>
          <w:szCs w:val="18"/>
          <w:lang w:val="en-CA"/>
        </w:rPr>
      </w:pPr>
      <w:r w:rsidRPr="008463F6">
        <w:rPr>
          <w:rFonts w:ascii="Calibri" w:hAnsi="Calibri" w:cs="Calibri"/>
          <w:sz w:val="18"/>
          <w:szCs w:val="18"/>
          <w:lang w:val="en-CA"/>
        </w:rPr>
        <w:t xml:space="preserve">Council (2019), </w:t>
      </w:r>
      <w:r w:rsidRPr="008463F6">
        <w:rPr>
          <w:rFonts w:ascii="Calibri" w:hAnsi="Calibri" w:cs="Calibri"/>
          <w:i/>
          <w:sz w:val="18"/>
          <w:szCs w:val="18"/>
          <w:lang w:val="en-CA"/>
        </w:rPr>
        <w:t>Strengthening The Regional Presence,</w:t>
      </w:r>
      <w:r w:rsidRPr="008463F6">
        <w:rPr>
          <w:rFonts w:ascii="Calibri" w:hAnsi="Calibri" w:cs="Calibri"/>
          <w:sz w:val="18"/>
          <w:szCs w:val="18"/>
          <w:lang w:val="en-CA"/>
        </w:rPr>
        <w:t xml:space="preserve"> </w:t>
      </w:r>
      <w:hyperlink r:id="rId13" w:history="1">
        <w:r w:rsidRPr="008463F6">
          <w:rPr>
            <w:rStyle w:val="Hyperlink"/>
            <w:rFonts w:ascii="Calibri" w:hAnsi="Calibri" w:cs="Calibri"/>
            <w:iCs/>
            <w:sz w:val="18"/>
            <w:szCs w:val="18"/>
            <w:lang w:val="fr-CH"/>
          </w:rPr>
          <w:t>Document C19/25</w:t>
        </w:r>
      </w:hyperlink>
    </w:p>
    <w:p w14:paraId="61AB7683" w14:textId="77777777" w:rsidR="006C5262" w:rsidRPr="008463F6" w:rsidRDefault="006C5262" w:rsidP="006C5262">
      <w:pPr>
        <w:spacing w:before="65" w:line="250" w:lineRule="auto"/>
        <w:ind w:right="-34"/>
        <w:jc w:val="both"/>
        <w:rPr>
          <w:rFonts w:ascii="Calibri" w:hAnsi="Calibri" w:cs="Calibri"/>
          <w:sz w:val="18"/>
          <w:szCs w:val="18"/>
          <w:lang w:val="en-CA"/>
        </w:rPr>
      </w:pPr>
    </w:p>
    <w:p w14:paraId="09EE64AC" w14:textId="77777777" w:rsidR="006C5262" w:rsidRDefault="006C5262" w:rsidP="006C5262">
      <w:pPr>
        <w:spacing w:before="65" w:line="250" w:lineRule="auto"/>
        <w:ind w:left="1570" w:right="-34" w:hanging="720"/>
        <w:jc w:val="both"/>
      </w:pPr>
      <w:r>
        <w:rPr>
          <w:rFonts w:ascii="Calibri" w:eastAsia="Arial" w:hAnsi="Calibri" w:cs="Calibri"/>
          <w:sz w:val="18"/>
          <w:szCs w:val="18"/>
        </w:rPr>
        <w:t xml:space="preserve">Council </w:t>
      </w:r>
      <w:r w:rsidRPr="008463F6">
        <w:rPr>
          <w:rFonts w:ascii="Calibri" w:eastAsia="Arial" w:hAnsi="Calibri" w:cs="Calibri"/>
          <w:sz w:val="18"/>
          <w:szCs w:val="18"/>
        </w:rPr>
        <w:t>(2019),</w:t>
      </w:r>
      <w:r w:rsidRPr="008463F6">
        <w:rPr>
          <w:sz w:val="18"/>
          <w:szCs w:val="18"/>
        </w:rPr>
        <w:t xml:space="preserve"> </w:t>
      </w:r>
      <w:r w:rsidRPr="008463F6">
        <w:rPr>
          <w:rFonts w:ascii="Calibri" w:eastAsia="Arial" w:hAnsi="Calibri" w:cs="Calibri"/>
          <w:i/>
          <w:sz w:val="18"/>
          <w:szCs w:val="18"/>
        </w:rPr>
        <w:t>Improving, Promoting, And Strengthening ITU Fellowships,</w:t>
      </w:r>
      <w:r w:rsidRPr="008463F6">
        <w:rPr>
          <w:sz w:val="18"/>
          <w:szCs w:val="18"/>
          <w:lang w:val="en-CA"/>
        </w:rPr>
        <w:t xml:space="preserve"> </w:t>
      </w:r>
      <w:hyperlink r:id="rId14" w:history="1">
        <w:r w:rsidRPr="008463F6">
          <w:rPr>
            <w:rStyle w:val="Hyperlink"/>
            <w:rFonts w:ascii="Calibri" w:hAnsi="Calibri" w:cs="Calibri"/>
            <w:sz w:val="18"/>
            <w:szCs w:val="18"/>
            <w:lang w:val="en-CA"/>
          </w:rPr>
          <w:t>https://www.itu.int/md/S19-CWGFHR10-C-0002</w:t>
        </w:r>
      </w:hyperlink>
    </w:p>
    <w:p w14:paraId="1998CF3D" w14:textId="77777777" w:rsidR="00991740" w:rsidRPr="008463F6" w:rsidRDefault="00991740" w:rsidP="006C5262">
      <w:pPr>
        <w:spacing w:before="65" w:line="250" w:lineRule="auto"/>
        <w:ind w:left="1570" w:right="-34" w:hanging="720"/>
        <w:jc w:val="both"/>
        <w:rPr>
          <w:rFonts w:ascii="Calibri" w:hAnsi="Calibri" w:cs="Calibri"/>
          <w:sz w:val="18"/>
          <w:szCs w:val="18"/>
          <w:lang w:val="en-CA"/>
        </w:rPr>
      </w:pPr>
    </w:p>
    <w:p w14:paraId="165305D8" w14:textId="77777777" w:rsidR="006C5262" w:rsidRPr="008724FA" w:rsidRDefault="00991740" w:rsidP="00991740">
      <w:pPr>
        <w:spacing w:before="65"/>
        <w:ind w:left="1570" w:right="-29" w:hanging="720"/>
        <w:jc w:val="both"/>
        <w:rPr>
          <w:rFonts w:ascii="Calibri" w:eastAsia="Arial" w:hAnsi="Calibri" w:cs="Calibri"/>
          <w:sz w:val="18"/>
          <w:szCs w:val="18"/>
          <w:lang w:val="en-US"/>
        </w:rPr>
      </w:pPr>
      <w:r w:rsidRPr="00991740">
        <w:rPr>
          <w:rFonts w:ascii="Calibri" w:eastAsia="Arial" w:hAnsi="Calibri" w:cs="Calibri"/>
          <w:sz w:val="18"/>
          <w:szCs w:val="18"/>
        </w:rPr>
        <w:t>Document CWG-FHR-11/2 (December, 2019) Contribution by the Secretariat</w:t>
      </w:r>
      <w:r>
        <w:rPr>
          <w:rFonts w:ascii="Calibri" w:eastAsia="Arial" w:hAnsi="Calibri" w:cs="Calibri"/>
          <w:sz w:val="18"/>
          <w:szCs w:val="18"/>
          <w:lang w:val="en-US"/>
        </w:rPr>
        <w:t>:</w:t>
      </w:r>
      <w:r w:rsidRPr="008724FA">
        <w:rPr>
          <w:rFonts w:ascii="Calibri" w:eastAsia="Arial" w:hAnsi="Calibri" w:cs="Calibri"/>
          <w:i/>
          <w:sz w:val="18"/>
          <w:szCs w:val="18"/>
        </w:rPr>
        <w:t>Draft</w:t>
      </w:r>
      <w:r w:rsidRPr="008724FA">
        <w:rPr>
          <w:rFonts w:ascii="Calibri" w:eastAsia="Arial" w:hAnsi="Calibri" w:cs="Calibri"/>
          <w:i/>
          <w:sz w:val="18"/>
          <w:szCs w:val="18"/>
          <w:lang w:val="en-US"/>
        </w:rPr>
        <w:t xml:space="preserve"> </w:t>
      </w:r>
      <w:r w:rsidRPr="008724FA">
        <w:rPr>
          <w:rFonts w:ascii="Calibri" w:eastAsia="Arial" w:hAnsi="Calibri" w:cs="Calibri"/>
          <w:i/>
          <w:sz w:val="18"/>
          <w:szCs w:val="18"/>
        </w:rPr>
        <w:t xml:space="preserve">Revised Policy </w:t>
      </w:r>
      <w:r w:rsidRPr="008724FA">
        <w:rPr>
          <w:rFonts w:ascii="Calibri" w:eastAsia="Arial" w:hAnsi="Calibri" w:cs="Calibri"/>
          <w:i/>
          <w:sz w:val="18"/>
          <w:szCs w:val="18"/>
          <w:lang w:val="en-US"/>
        </w:rPr>
        <w:t>f</w:t>
      </w:r>
      <w:r w:rsidRPr="008724FA">
        <w:rPr>
          <w:rFonts w:ascii="Calibri" w:eastAsia="Arial" w:hAnsi="Calibri" w:cs="Calibri"/>
          <w:i/>
          <w:sz w:val="18"/>
          <w:szCs w:val="18"/>
        </w:rPr>
        <w:t xml:space="preserve">or Awarding Fellowships </w:t>
      </w:r>
      <w:r w:rsidRPr="008724FA">
        <w:rPr>
          <w:rFonts w:ascii="Calibri" w:eastAsia="Arial" w:hAnsi="Calibri" w:cs="Calibri"/>
          <w:i/>
          <w:sz w:val="18"/>
          <w:szCs w:val="18"/>
          <w:lang w:val="en-US"/>
        </w:rPr>
        <w:t>f</w:t>
      </w:r>
      <w:r w:rsidRPr="008724FA">
        <w:rPr>
          <w:rFonts w:ascii="Calibri" w:eastAsia="Arial" w:hAnsi="Calibri" w:cs="Calibri"/>
          <w:i/>
          <w:sz w:val="18"/>
          <w:szCs w:val="18"/>
        </w:rPr>
        <w:t xml:space="preserve">or Events </w:t>
      </w:r>
      <w:r w:rsidRPr="008724FA">
        <w:rPr>
          <w:rFonts w:ascii="Calibri" w:eastAsia="Arial" w:hAnsi="Calibri" w:cs="Calibri"/>
          <w:i/>
          <w:sz w:val="18"/>
          <w:szCs w:val="18"/>
          <w:lang w:val="en-US"/>
        </w:rPr>
        <w:t>a</w:t>
      </w:r>
      <w:r w:rsidRPr="008724FA">
        <w:rPr>
          <w:rFonts w:ascii="Calibri" w:eastAsia="Arial" w:hAnsi="Calibri" w:cs="Calibri"/>
          <w:i/>
          <w:sz w:val="18"/>
          <w:szCs w:val="18"/>
        </w:rPr>
        <w:t>nd Activities Funded Through The I</w:t>
      </w:r>
      <w:r w:rsidRPr="008724FA">
        <w:rPr>
          <w:rFonts w:ascii="Calibri" w:eastAsia="Arial" w:hAnsi="Calibri" w:cs="Calibri"/>
          <w:i/>
          <w:sz w:val="18"/>
          <w:szCs w:val="18"/>
          <w:lang w:val="en-US"/>
        </w:rPr>
        <w:t xml:space="preserve">TU </w:t>
      </w:r>
      <w:r w:rsidRPr="008724FA">
        <w:rPr>
          <w:rFonts w:ascii="Calibri" w:eastAsia="Arial" w:hAnsi="Calibri" w:cs="Calibri"/>
          <w:i/>
          <w:sz w:val="18"/>
          <w:szCs w:val="18"/>
        </w:rPr>
        <w:t xml:space="preserve">Regular Budget </w:t>
      </w:r>
      <w:r w:rsidRPr="008724FA">
        <w:rPr>
          <w:rFonts w:ascii="Calibri" w:eastAsia="Arial" w:hAnsi="Calibri" w:cs="Calibri"/>
          <w:i/>
          <w:sz w:val="18"/>
          <w:szCs w:val="18"/>
          <w:lang w:val="en-US"/>
        </w:rPr>
        <w:t>a</w:t>
      </w:r>
      <w:r w:rsidRPr="008724FA">
        <w:rPr>
          <w:rFonts w:ascii="Calibri" w:eastAsia="Arial" w:hAnsi="Calibri" w:cs="Calibri"/>
          <w:i/>
          <w:sz w:val="18"/>
          <w:szCs w:val="18"/>
        </w:rPr>
        <w:t>nd</w:t>
      </w:r>
      <w:r w:rsidRPr="008724FA">
        <w:rPr>
          <w:i/>
        </w:rPr>
        <w:t xml:space="preserve"> </w:t>
      </w:r>
      <w:r w:rsidRPr="008724FA">
        <w:rPr>
          <w:rFonts w:ascii="Calibri" w:eastAsia="Arial" w:hAnsi="Calibri" w:cs="Calibri"/>
          <w:i/>
          <w:sz w:val="18"/>
          <w:szCs w:val="18"/>
        </w:rPr>
        <w:t>Revised List Of Eligible Countrie</w:t>
      </w:r>
      <w:r w:rsidR="008724FA" w:rsidRPr="008724FA">
        <w:rPr>
          <w:rFonts w:ascii="Calibri" w:eastAsia="Arial" w:hAnsi="Calibri" w:cs="Calibri"/>
          <w:i/>
          <w:sz w:val="18"/>
          <w:szCs w:val="18"/>
          <w:lang w:val="en-US"/>
        </w:rPr>
        <w:t>s</w:t>
      </w:r>
      <w:r w:rsidR="008724FA">
        <w:rPr>
          <w:rFonts w:ascii="Calibri" w:eastAsia="Arial" w:hAnsi="Calibri" w:cs="Calibri"/>
          <w:sz w:val="18"/>
          <w:szCs w:val="18"/>
          <w:lang w:val="en-US"/>
        </w:rPr>
        <w:t xml:space="preserve">. </w:t>
      </w:r>
    </w:p>
    <w:p w14:paraId="0A13E92B" w14:textId="77777777" w:rsidR="00991740" w:rsidRPr="00991740" w:rsidRDefault="00991740" w:rsidP="00991740">
      <w:pPr>
        <w:spacing w:before="65"/>
        <w:ind w:left="1570" w:right="-29" w:hanging="720"/>
        <w:jc w:val="both"/>
        <w:rPr>
          <w:rFonts w:ascii="Calibri" w:eastAsia="Arial" w:hAnsi="Calibri" w:cs="Calibri"/>
          <w:sz w:val="18"/>
          <w:szCs w:val="18"/>
        </w:rPr>
      </w:pPr>
    </w:p>
    <w:p w14:paraId="38E4C4DA" w14:textId="77777777" w:rsidR="006C5262" w:rsidRDefault="006C5262" w:rsidP="006C5262">
      <w:pPr>
        <w:spacing w:before="65" w:line="250" w:lineRule="auto"/>
        <w:ind w:left="1570" w:right="-34" w:hanging="720"/>
        <w:jc w:val="both"/>
        <w:rPr>
          <w:rStyle w:val="Hyperlink"/>
          <w:rFonts w:ascii="Calibri" w:hAnsi="Calibri" w:cs="Calibri"/>
          <w:sz w:val="18"/>
          <w:szCs w:val="18"/>
        </w:rPr>
      </w:pPr>
      <w:r w:rsidRPr="00766497">
        <w:rPr>
          <w:rFonts w:ascii="Calibri" w:eastAsia="Arial" w:hAnsi="Calibri" w:cs="Calibri"/>
          <w:sz w:val="18"/>
          <w:szCs w:val="18"/>
        </w:rPr>
        <w:t xml:space="preserve">Hausmann, Ricardo &amp; Tyson, Laura &amp; Zahidi, Saadia &amp; Economic Forum, World. (2009). Global Gender Gap Report. </w:t>
      </w:r>
      <w:hyperlink r:id="rId15" w:history="1">
        <w:r w:rsidRPr="00FA4680">
          <w:rPr>
            <w:rStyle w:val="Hyperlink"/>
            <w:rFonts w:ascii="Calibri" w:hAnsi="Calibri" w:cs="Calibri"/>
            <w:sz w:val="18"/>
            <w:szCs w:val="18"/>
          </w:rPr>
          <w:t>https://www.weforum.org/reports/the-global-gender-gap-report-2018</w:t>
        </w:r>
      </w:hyperlink>
    </w:p>
    <w:p w14:paraId="3B60BBCF" w14:textId="77777777" w:rsidR="006C5262" w:rsidRDefault="006C5262" w:rsidP="006C5262">
      <w:pPr>
        <w:spacing w:before="65" w:line="250" w:lineRule="auto"/>
        <w:ind w:left="1570" w:right="-34" w:hanging="720"/>
        <w:jc w:val="both"/>
        <w:rPr>
          <w:rStyle w:val="Hyperlink"/>
          <w:rFonts w:ascii="Calibri" w:hAnsi="Calibri" w:cs="Calibri"/>
          <w:sz w:val="18"/>
          <w:szCs w:val="18"/>
        </w:rPr>
      </w:pPr>
    </w:p>
    <w:p w14:paraId="0911BB29" w14:textId="77777777" w:rsidR="006C5262" w:rsidRPr="00791735" w:rsidRDefault="006C5262" w:rsidP="006C5262">
      <w:pPr>
        <w:spacing w:before="65" w:line="250" w:lineRule="auto"/>
        <w:ind w:left="1570" w:right="-34" w:hanging="720"/>
        <w:jc w:val="both"/>
        <w:rPr>
          <w:rFonts w:ascii="Calibri" w:eastAsia="Arial" w:hAnsi="Calibri" w:cs="Calibri"/>
          <w:sz w:val="18"/>
          <w:szCs w:val="18"/>
        </w:rPr>
      </w:pPr>
      <w:r w:rsidRPr="007B3E0D">
        <w:rPr>
          <w:rFonts w:ascii="Calibri" w:eastAsia="Arial" w:hAnsi="Calibri" w:cs="Calibri"/>
          <w:sz w:val="18"/>
          <w:szCs w:val="18"/>
        </w:rPr>
        <w:t xml:space="preserve">Ikrame, Belabbes &amp; El Moustafid, Said. (2015). </w:t>
      </w:r>
      <w:r w:rsidRPr="007B3E0D">
        <w:rPr>
          <w:rFonts w:ascii="Calibri" w:eastAsia="Arial" w:hAnsi="Calibri" w:cs="Calibri"/>
          <w:i/>
          <w:sz w:val="18"/>
          <w:szCs w:val="18"/>
        </w:rPr>
        <w:t>ICT Development Index (IDI) as a statistical tool for measuring ICT uptake and assessing ICT policy: Morocco case</w:t>
      </w:r>
      <w:r w:rsidRPr="007B3E0D">
        <w:rPr>
          <w:rFonts w:ascii="Calibri" w:eastAsia="Arial" w:hAnsi="Calibri" w:cs="Calibri"/>
          <w:sz w:val="18"/>
          <w:szCs w:val="18"/>
        </w:rPr>
        <w:t>.</w:t>
      </w:r>
      <w:r w:rsidRPr="007B3E0D">
        <w:t xml:space="preserve"> </w:t>
      </w:r>
    </w:p>
    <w:p w14:paraId="0845C7E6" w14:textId="77777777" w:rsidR="006C5262" w:rsidRPr="00791735" w:rsidRDefault="006C5262" w:rsidP="006C5262">
      <w:pPr>
        <w:spacing w:before="65" w:line="250" w:lineRule="auto"/>
        <w:ind w:left="1570" w:right="-34" w:hanging="720"/>
        <w:jc w:val="both"/>
        <w:rPr>
          <w:rFonts w:ascii="Calibri" w:eastAsia="Arial" w:hAnsi="Calibri" w:cs="Calibri"/>
          <w:sz w:val="18"/>
          <w:szCs w:val="18"/>
        </w:rPr>
      </w:pPr>
    </w:p>
    <w:p w14:paraId="78127846" w14:textId="77777777" w:rsidR="006C5262" w:rsidRDefault="006C5262" w:rsidP="006C5262">
      <w:pPr>
        <w:spacing w:before="64" w:line="250" w:lineRule="auto"/>
        <w:ind w:left="1570" w:right="-31" w:hanging="720"/>
        <w:jc w:val="both"/>
        <w:rPr>
          <w:rFonts w:ascii="Calibri" w:eastAsia="Arial" w:hAnsi="Calibri" w:cs="Calibri"/>
          <w:sz w:val="18"/>
        </w:rPr>
      </w:pPr>
      <w:r w:rsidRPr="00EE2098">
        <w:rPr>
          <w:rFonts w:ascii="Calibri" w:eastAsia="Arial" w:hAnsi="Calibri" w:cs="Calibri"/>
          <w:sz w:val="18"/>
        </w:rPr>
        <w:t>Lochner</w:t>
      </w:r>
      <w:r>
        <w:rPr>
          <w:rFonts w:ascii="Calibri" w:eastAsia="Arial" w:hAnsi="Calibri" w:cs="Calibri"/>
          <w:sz w:val="18"/>
        </w:rPr>
        <w:t>, M. (</w:t>
      </w:r>
      <w:r w:rsidRPr="00EE2098">
        <w:rPr>
          <w:rFonts w:ascii="Calibri" w:eastAsia="Arial" w:hAnsi="Calibri" w:cs="Calibri"/>
          <w:sz w:val="18"/>
        </w:rPr>
        <w:t>2005</w:t>
      </w:r>
      <w:r>
        <w:rPr>
          <w:rFonts w:ascii="Calibri" w:eastAsia="Arial" w:hAnsi="Calibri" w:cs="Calibri"/>
          <w:sz w:val="18"/>
        </w:rPr>
        <w:t>),</w:t>
      </w:r>
      <w:r w:rsidRPr="00EE2098">
        <w:rPr>
          <w:rFonts w:ascii="Calibri" w:eastAsia="Arial" w:hAnsi="Calibri" w:cs="Calibri"/>
          <w:sz w:val="18"/>
        </w:rPr>
        <w:t xml:space="preserve"> </w:t>
      </w:r>
      <w:r w:rsidRPr="00EE2098">
        <w:rPr>
          <w:rFonts w:ascii="Calibri" w:eastAsia="Arial" w:hAnsi="Calibri" w:cs="Calibri"/>
          <w:i/>
          <w:sz w:val="18"/>
        </w:rPr>
        <w:t>Are GDP/GNP appropriate measures of development?</w:t>
      </w:r>
      <w:r>
        <w:rPr>
          <w:rFonts w:ascii="Calibri" w:eastAsia="Arial" w:hAnsi="Calibri" w:cs="Calibri"/>
          <w:sz w:val="18"/>
        </w:rPr>
        <w:t xml:space="preserve"> </w:t>
      </w:r>
      <w:r w:rsidRPr="00EE2098">
        <w:rPr>
          <w:rFonts w:ascii="Calibri" w:eastAsia="Arial" w:hAnsi="Calibri" w:cs="Calibri"/>
          <w:sz w:val="18"/>
        </w:rPr>
        <w:t>Munich,</w:t>
      </w:r>
      <w:r>
        <w:rPr>
          <w:rFonts w:ascii="Calibri" w:eastAsia="Arial" w:hAnsi="Calibri" w:cs="Calibri"/>
          <w:sz w:val="18"/>
        </w:rPr>
        <w:t xml:space="preserve"> </w:t>
      </w:r>
      <w:r w:rsidRPr="00EE2098">
        <w:rPr>
          <w:rFonts w:ascii="Calibri" w:eastAsia="Arial" w:hAnsi="Calibri" w:cs="Calibri"/>
          <w:sz w:val="18"/>
        </w:rPr>
        <w:t xml:space="preserve">GRIN Verlag, </w:t>
      </w:r>
      <w:hyperlink r:id="rId16" w:history="1">
        <w:r w:rsidRPr="00FA4680">
          <w:rPr>
            <w:rStyle w:val="Hyperlink"/>
            <w:rFonts w:ascii="Calibri" w:eastAsia="Arial" w:hAnsi="Calibri" w:cs="Calibri"/>
            <w:sz w:val="18"/>
          </w:rPr>
          <w:t>https://www.grin.com/document/90290</w:t>
        </w:r>
      </w:hyperlink>
    </w:p>
    <w:p w14:paraId="779D1EB2" w14:textId="77777777" w:rsidR="006C5262" w:rsidRPr="009835CE" w:rsidRDefault="006C5262" w:rsidP="006C5262">
      <w:pPr>
        <w:spacing w:before="64" w:line="250" w:lineRule="auto"/>
        <w:ind w:left="1570" w:right="-31" w:hanging="720"/>
        <w:jc w:val="both"/>
        <w:rPr>
          <w:rFonts w:ascii="Calibri" w:eastAsia="Arial" w:hAnsi="Calibri" w:cs="Calibri"/>
          <w:sz w:val="18"/>
        </w:rPr>
      </w:pPr>
    </w:p>
    <w:p w14:paraId="61AF89E0" w14:textId="77777777" w:rsidR="006C5262" w:rsidRPr="00991740" w:rsidRDefault="006C5262" w:rsidP="006C5262">
      <w:pPr>
        <w:spacing w:before="65" w:line="250" w:lineRule="auto"/>
        <w:ind w:left="1570" w:right="-34" w:hanging="720"/>
        <w:jc w:val="both"/>
        <w:rPr>
          <w:rStyle w:val="Hyperlink"/>
          <w:iCs/>
          <w:sz w:val="20"/>
          <w:lang w:val="fr-CH"/>
        </w:rPr>
      </w:pPr>
      <w:hyperlink r:id="rId17" w:history="1">
        <w:r w:rsidRPr="00991740">
          <w:rPr>
            <w:rStyle w:val="Hyperlink"/>
            <w:iCs/>
            <w:sz w:val="20"/>
            <w:lang w:val="fr-CH"/>
          </w:rPr>
          <w:t>PP Resolution 213 (Dubai, 2018)</w:t>
        </w:r>
      </w:hyperlink>
    </w:p>
    <w:p w14:paraId="26492FEB" w14:textId="77777777" w:rsidR="006C5262" w:rsidRPr="00991740" w:rsidRDefault="006C5262" w:rsidP="006C5262">
      <w:pPr>
        <w:spacing w:before="65" w:line="250" w:lineRule="auto"/>
        <w:ind w:right="-34"/>
        <w:jc w:val="both"/>
        <w:rPr>
          <w:rFonts w:ascii="Calibri" w:eastAsia="Arial" w:hAnsi="Calibri" w:cs="Calibri"/>
          <w:sz w:val="14"/>
        </w:rPr>
      </w:pPr>
    </w:p>
    <w:p w14:paraId="60C0002B" w14:textId="77777777" w:rsidR="006C5262" w:rsidRDefault="006C5262" w:rsidP="006C5262">
      <w:pPr>
        <w:spacing w:before="65" w:line="250" w:lineRule="auto"/>
        <w:ind w:left="1570" w:right="-34" w:hanging="720"/>
        <w:jc w:val="both"/>
        <w:rPr>
          <w:rFonts w:ascii="Calibri" w:eastAsia="Arial" w:hAnsi="Calibri" w:cs="Calibri"/>
          <w:sz w:val="18"/>
        </w:rPr>
      </w:pPr>
      <w:r>
        <w:rPr>
          <w:rFonts w:ascii="Calibri" w:eastAsia="Arial" w:hAnsi="Calibri" w:cs="Calibri"/>
          <w:sz w:val="18"/>
        </w:rPr>
        <w:t>Schmid,P. et al. (June, 2019)</w:t>
      </w:r>
      <w:r>
        <w:t xml:space="preserve">, </w:t>
      </w:r>
      <w:hyperlink r:id="rId18" w:history="1">
        <w:r w:rsidRPr="007B3F61">
          <w:rPr>
            <w:rFonts w:ascii="Calibri" w:eastAsia="Arial" w:hAnsi="Calibri" w:cs="Calibri"/>
            <w:i/>
            <w:sz w:val="18"/>
          </w:rPr>
          <w:t>Caribbean Region Quarterly Bulletin: Volume 8 Issue 2: June 2019</w:t>
        </w:r>
      </w:hyperlink>
      <w:r>
        <w:rPr>
          <w:rFonts w:ascii="Calibri" w:eastAsia="Arial" w:hAnsi="Calibri" w:cs="Calibri"/>
          <w:i/>
          <w:sz w:val="18"/>
        </w:rPr>
        <w:t>.</w:t>
      </w:r>
      <w:r>
        <w:rPr>
          <w:rFonts w:ascii="Calibri" w:eastAsia="Arial" w:hAnsi="Calibri" w:cs="Calibri"/>
          <w:sz w:val="18"/>
        </w:rPr>
        <w:t xml:space="preserve"> Inter-American Development Bank (IDB). </w:t>
      </w:r>
    </w:p>
    <w:p w14:paraId="40D35B7F" w14:textId="77777777" w:rsidR="006C5262" w:rsidRPr="00D01A53" w:rsidRDefault="006C5262" w:rsidP="006C5262">
      <w:pPr>
        <w:spacing w:before="65" w:line="250" w:lineRule="auto"/>
        <w:ind w:left="1570" w:right="-34" w:hanging="720"/>
        <w:jc w:val="both"/>
        <w:rPr>
          <w:rFonts w:ascii="Calibri" w:eastAsia="Arial" w:hAnsi="Calibri" w:cs="Calibri"/>
          <w:sz w:val="18"/>
        </w:rPr>
      </w:pPr>
      <w:r>
        <w:rPr>
          <w:rFonts w:ascii="Calibri" w:eastAsia="Arial" w:hAnsi="Calibri" w:cs="Calibri"/>
          <w:sz w:val="18"/>
        </w:rPr>
        <w:t xml:space="preserve">         </w:t>
      </w:r>
      <w:hyperlink r:id="rId19" w:history="1">
        <w:r w:rsidRPr="00991740">
          <w:rPr>
            <w:rStyle w:val="Hyperlink"/>
            <w:rFonts w:ascii="Calibri" w:eastAsia="Arial" w:hAnsi="Calibri" w:cs="Calibri"/>
            <w:sz w:val="18"/>
          </w:rPr>
          <w:t>https://publications.iadb.org/en/caribbean-region-quarterly-bulletin-volume-8-issue-2-june-2019</w:t>
        </w:r>
      </w:hyperlink>
    </w:p>
    <w:p w14:paraId="0769E3DE" w14:textId="77777777" w:rsidR="006C5262" w:rsidRPr="007B3F61" w:rsidRDefault="006C5262" w:rsidP="006C5262">
      <w:pPr>
        <w:spacing w:before="65" w:line="250" w:lineRule="auto"/>
        <w:ind w:left="851" w:right="-34"/>
        <w:rPr>
          <w:rFonts w:ascii="Calibri" w:eastAsia="Arial" w:hAnsi="Calibri" w:cs="Calibri"/>
          <w:i/>
          <w:sz w:val="18"/>
        </w:rPr>
      </w:pPr>
      <w:bookmarkStart w:id="15" w:name="_Hlk17808140"/>
    </w:p>
    <w:bookmarkEnd w:id="11"/>
    <w:bookmarkEnd w:id="15"/>
    <w:p w14:paraId="04576F21" w14:textId="77777777" w:rsidR="006C5262" w:rsidRPr="00A46FFA" w:rsidRDefault="00A46FFA" w:rsidP="00A46FFA">
      <w:pPr>
        <w:spacing w:before="65" w:line="250" w:lineRule="auto"/>
        <w:ind w:left="851" w:right="-34"/>
        <w:jc w:val="right"/>
        <w:rPr>
          <w:rFonts w:ascii="Calibri" w:eastAsia="Arial" w:hAnsi="Calibri" w:cs="Calibri"/>
          <w:sz w:val="18"/>
          <w:lang w:val="en-US"/>
        </w:rPr>
      </w:pPr>
      <w:r>
        <w:rPr>
          <w:rFonts w:ascii="Calibri" w:eastAsia="Arial" w:hAnsi="Calibri" w:cs="Calibri"/>
          <w:sz w:val="18"/>
          <w:lang w:val="en-US"/>
        </w:rPr>
        <w:t>______________</w:t>
      </w:r>
    </w:p>
    <w:p w14:paraId="294EF04C" w14:textId="77777777" w:rsidR="006C5262" w:rsidRDefault="006C5262" w:rsidP="006C5262">
      <w:pPr>
        <w:spacing w:before="65" w:line="250" w:lineRule="auto"/>
        <w:ind w:right="-34"/>
        <w:rPr>
          <w:rFonts w:ascii="Calibri" w:eastAsia="Arial" w:hAnsi="Calibri" w:cs="Calibri"/>
          <w:sz w:val="18"/>
        </w:rPr>
      </w:pPr>
    </w:p>
    <w:sectPr w:rsidR="006C5262" w:rsidSect="006C5262">
      <w:type w:val="continuous"/>
      <w:pgSz w:w="11900" w:h="16840"/>
      <w:pgMar w:top="2540" w:right="380" w:bottom="280" w:left="0" w:header="864" w:footer="720" w:gutter="0"/>
      <w:cols w:num="2" w:space="720" w:equalWidth="0">
        <w:col w:w="5731" w:space="419"/>
        <w:col w:w="575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A78C" w14:textId="77777777" w:rsidR="00F23FD4" w:rsidRDefault="00F23FD4">
      <w:r>
        <w:separator/>
      </w:r>
    </w:p>
  </w:endnote>
  <w:endnote w:type="continuationSeparator" w:id="0">
    <w:p w14:paraId="7DFB3F1C" w14:textId="77777777" w:rsidR="00F23FD4" w:rsidRDefault="00F2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5E14" w14:textId="77777777" w:rsidR="006C5262" w:rsidRPr="00756E92" w:rsidRDefault="006C5262" w:rsidP="006C5262">
    <w:pPr>
      <w:jc w:val="center"/>
      <w:rPr>
        <w:rFonts w:ascii="Calibri" w:hAnsi="Calibri"/>
        <w:szCs w:val="22"/>
      </w:rPr>
    </w:pPr>
    <w:r w:rsidRPr="00756E92">
      <w:rPr>
        <w:rFonts w:ascii="Calibri" w:hAnsi="Calibri"/>
        <w:szCs w:val="22"/>
      </w:rPr>
      <w:t xml:space="preserve">• </w:t>
    </w:r>
    <w:hyperlink r:id="rId1" w:history="1">
      <w:r w:rsidRPr="00756E92">
        <w:rPr>
          <w:rStyle w:val="Hyperlink"/>
          <w:rFonts w:ascii="Calibri" w:hAnsi="Calibri"/>
          <w:szCs w:val="22"/>
        </w:rPr>
        <w:t>http://www.itu.int/council</w:t>
      </w:r>
    </w:hyperlink>
    <w:r w:rsidRPr="00756E92">
      <w:rPr>
        <w:rFonts w:ascii="Calibri" w:hAnsi="Calibri"/>
        <w:szCs w:val="22"/>
      </w:rPr>
      <w:t xml:space="preserve"> •</w:t>
    </w:r>
  </w:p>
  <w:p w14:paraId="2DFC0EC4" w14:textId="77777777" w:rsidR="006C5262" w:rsidRPr="00756E92" w:rsidRDefault="006C5262" w:rsidP="006C5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44DC" w14:textId="3C7CB99B" w:rsidR="006C5262" w:rsidRDefault="00317BAC">
    <w:pPr>
      <w:spacing w:line="200" w:lineRule="exact"/>
    </w:pPr>
    <w:r>
      <w:rPr>
        <w:noProof/>
      </w:rPr>
      <mc:AlternateContent>
        <mc:Choice Requires="wps">
          <w:drawing>
            <wp:anchor distT="0" distB="0" distL="114300" distR="114300" simplePos="0" relativeHeight="251657728" behindDoc="1" locked="0" layoutInCell="1" allowOverlap="1" wp14:anchorId="58CEEC2A" wp14:editId="445CF055">
              <wp:simplePos x="0" y="0"/>
              <wp:positionH relativeFrom="page">
                <wp:posOffset>461010</wp:posOffset>
              </wp:positionH>
              <wp:positionV relativeFrom="page">
                <wp:posOffset>10267315</wp:posOffset>
              </wp:positionV>
              <wp:extent cx="957580" cy="127000"/>
              <wp:effectExtent l="381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C602D" w14:textId="77777777" w:rsidR="006C5262" w:rsidRDefault="006C5262">
                          <w:pPr>
                            <w:spacing w:line="180" w:lineRule="exact"/>
                            <w:ind w:left="40" w:right="-24"/>
                            <w:rPr>
                              <w:rFonts w:ascii="Arial" w:eastAsia="Arial" w:hAnsi="Arial" w:cs="Arial"/>
                              <w:sz w:val="16"/>
                              <w:szCs w:val="16"/>
                            </w:rPr>
                          </w:pPr>
                          <w:r>
                            <w:fldChar w:fldCharType="begin"/>
                          </w:r>
                          <w:r>
                            <w:rPr>
                              <w:rFonts w:ascii="Arial" w:eastAsia="Arial" w:hAnsi="Arial" w:cs="Arial"/>
                              <w:b/>
                              <w:color w:val="FFFFFF"/>
                              <w:w w:val="99"/>
                              <w:sz w:val="16"/>
                              <w:szCs w:val="16"/>
                            </w:rPr>
                            <w:instrText xml:space="preserve"> PAGE </w:instrText>
                          </w:r>
                          <w:r>
                            <w:fldChar w:fldCharType="separate"/>
                          </w:r>
                          <w:r>
                            <w:rPr>
                              <w:rFonts w:ascii="Arial" w:eastAsia="Arial" w:hAnsi="Arial" w:cs="Arial"/>
                              <w:b/>
                              <w:noProof/>
                              <w:color w:val="FFFFFF"/>
                              <w:w w:val="99"/>
                              <w:sz w:val="16"/>
                              <w:szCs w:val="16"/>
                            </w:rPr>
                            <w:t>3</w:t>
                          </w:r>
                          <w:r>
                            <w:fldChar w:fldCharType="end"/>
                          </w:r>
                          <w:r>
                            <w:rPr>
                              <w:rFonts w:ascii="Arial" w:eastAsia="Arial" w:hAnsi="Arial" w:cs="Arial"/>
                              <w:b/>
                              <w:color w:val="FFFFFF"/>
                              <w:sz w:val="16"/>
                              <w:szCs w:val="16"/>
                            </w:rPr>
                            <w:t xml:space="preserve">    </w:t>
                          </w:r>
                          <w:r>
                            <w:rPr>
                              <w:rFonts w:ascii="Arial" w:eastAsia="Arial" w:hAnsi="Arial" w:cs="Arial"/>
                              <w:color w:val="FFFFFF"/>
                              <w:w w:val="99"/>
                              <w:sz w:val="16"/>
                              <w:szCs w:val="16"/>
                            </w:rPr>
                            <w:t>Briefing:</w:t>
                          </w:r>
                          <w:r>
                            <w:rPr>
                              <w:rFonts w:ascii="Arial" w:eastAsia="Arial" w:hAnsi="Arial" w:cs="Arial"/>
                              <w:color w:val="FFFFFF"/>
                              <w:sz w:val="16"/>
                              <w:szCs w:val="16"/>
                            </w:rPr>
                            <w:t xml:space="preserve"> </w:t>
                          </w:r>
                          <w:r>
                            <w:rPr>
                              <w:rFonts w:ascii="Arial" w:eastAsia="Arial" w:hAnsi="Arial" w:cs="Arial"/>
                              <w:color w:val="FFFFFF"/>
                              <w:w w:val="99"/>
                              <w:sz w:val="16"/>
                              <w:szCs w:val="16"/>
                            </w:rPr>
                            <w:t>15/3/04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EC2A" id="_x0000_t202" coordsize="21600,21600" o:spt="202" path="m,l,21600r21600,l21600,xe">
              <v:stroke joinstyle="miter"/>
              <v:path gradientshapeok="t" o:connecttype="rect"/>
            </v:shapetype>
            <v:shape id="Text Box 3" o:spid="_x0000_s1027" type="#_x0000_t202" style="position:absolute;margin-left:36.3pt;margin-top:808.45pt;width:75.4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" filled="f" stroked="f">
              <v:textbox inset="0,0,0,0">
                <w:txbxContent>
                  <w:p w14:paraId="523C602D" w14:textId="77777777" w:rsidR="006C5262" w:rsidRDefault="006C5262">
                    <w:pPr>
                      <w:spacing w:line="180" w:lineRule="exact"/>
                      <w:ind w:left="40" w:right="-24"/>
                      <w:rPr>
                        <w:rFonts w:ascii="Arial" w:eastAsia="Arial" w:hAnsi="Arial" w:cs="Arial"/>
                        <w:sz w:val="16"/>
                        <w:szCs w:val="16"/>
                      </w:rPr>
                    </w:pPr>
                    <w:r>
                      <w:fldChar w:fldCharType="begin"/>
                    </w:r>
                    <w:r>
                      <w:rPr>
                        <w:rFonts w:ascii="Arial" w:eastAsia="Arial" w:hAnsi="Arial" w:cs="Arial"/>
                        <w:b/>
                        <w:color w:val="FFFFFF"/>
                        <w:w w:val="99"/>
                        <w:sz w:val="16"/>
                        <w:szCs w:val="16"/>
                      </w:rPr>
                      <w:instrText xml:space="preserve"> PAGE </w:instrText>
                    </w:r>
                    <w:r>
                      <w:fldChar w:fldCharType="separate"/>
                    </w:r>
                    <w:r>
                      <w:rPr>
                        <w:rFonts w:ascii="Arial" w:eastAsia="Arial" w:hAnsi="Arial" w:cs="Arial"/>
                        <w:b/>
                        <w:noProof/>
                        <w:color w:val="FFFFFF"/>
                        <w:w w:val="99"/>
                        <w:sz w:val="16"/>
                        <w:szCs w:val="16"/>
                      </w:rPr>
                      <w:t>3</w:t>
                    </w:r>
                    <w:r>
                      <w:fldChar w:fldCharType="end"/>
                    </w:r>
                    <w:r>
                      <w:rPr>
                        <w:rFonts w:ascii="Arial" w:eastAsia="Arial" w:hAnsi="Arial" w:cs="Arial"/>
                        <w:b/>
                        <w:color w:val="FFFFFF"/>
                        <w:sz w:val="16"/>
                        <w:szCs w:val="16"/>
                      </w:rPr>
                      <w:t xml:space="preserve">    </w:t>
                    </w:r>
                    <w:r>
                      <w:rPr>
                        <w:rFonts w:ascii="Arial" w:eastAsia="Arial" w:hAnsi="Arial" w:cs="Arial"/>
                        <w:color w:val="FFFFFF"/>
                        <w:w w:val="99"/>
                        <w:sz w:val="16"/>
                        <w:szCs w:val="16"/>
                      </w:rPr>
                      <w:t>Briefing:</w:t>
                    </w:r>
                    <w:r>
                      <w:rPr>
                        <w:rFonts w:ascii="Arial" w:eastAsia="Arial" w:hAnsi="Arial" w:cs="Arial"/>
                        <w:color w:val="FFFFFF"/>
                        <w:sz w:val="16"/>
                        <w:szCs w:val="16"/>
                      </w:rPr>
                      <w:t xml:space="preserve"> </w:t>
                    </w:r>
                    <w:r>
                      <w:rPr>
                        <w:rFonts w:ascii="Arial" w:eastAsia="Arial" w:hAnsi="Arial" w:cs="Arial"/>
                        <w:color w:val="FFFFFF"/>
                        <w:w w:val="99"/>
                        <w:sz w:val="16"/>
                        <w:szCs w:val="16"/>
                      </w:rPr>
                      <w:t>15/3/04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E7D3" w14:textId="77777777" w:rsidR="00F23FD4" w:rsidRDefault="00F23FD4">
      <w:r>
        <w:separator/>
      </w:r>
    </w:p>
  </w:footnote>
  <w:footnote w:type="continuationSeparator" w:id="0">
    <w:p w14:paraId="5E46E25E" w14:textId="77777777" w:rsidR="00F23FD4" w:rsidRDefault="00F2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F5B1" w14:textId="77777777" w:rsidR="006C5262" w:rsidRPr="002A1458" w:rsidRDefault="006C5262" w:rsidP="006C5262">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Pr>
        <w:noProof/>
        <w:sz w:val="18"/>
        <w:szCs w:val="20"/>
      </w:rPr>
      <w:t>2</w:t>
    </w:r>
    <w:r w:rsidRPr="002A1458">
      <w:rPr>
        <w:noProof/>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3B38" w14:textId="50AC5C62" w:rsidR="006C5262" w:rsidRPr="001915C2" w:rsidRDefault="00317BAC" w:rsidP="001915C2">
    <w:pPr>
      <w:spacing w:line="200" w:lineRule="exact"/>
      <w:jc w:val="center"/>
      <w:rPr>
        <w:rFonts w:ascii="Calibri" w:hAnsi="Calibri" w:cs="Calibri"/>
        <w:lang w:val="en-US"/>
      </w:rPr>
    </w:pPr>
    <w:r w:rsidRPr="001915C2">
      <w:rPr>
        <w:rFonts w:ascii="Calibri" w:hAnsi="Calibri" w:cs="Calibri"/>
        <w:noProof/>
        <w:sz w:val="18"/>
        <w:lang w:val="en-GB" w:eastAsia="en-GB"/>
      </w:rPr>
      <w:drawing>
        <wp:anchor distT="0" distB="0" distL="114300" distR="114300" simplePos="0" relativeHeight="251658752" behindDoc="0" locked="0" layoutInCell="1" allowOverlap="1" wp14:anchorId="0BA47C6C" wp14:editId="1E16183B">
          <wp:simplePos x="0" y="0"/>
          <wp:positionH relativeFrom="column">
            <wp:posOffset>6047105</wp:posOffset>
          </wp:positionH>
          <wp:positionV relativeFrom="paragraph">
            <wp:posOffset>-62865</wp:posOffset>
          </wp:positionV>
          <wp:extent cx="1344295" cy="979170"/>
          <wp:effectExtent l="0" t="0" r="0" b="0"/>
          <wp:wrapSquare wrapText="bothSides"/>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44295" cy="979170"/>
                  </a:xfrm>
                  <a:prstGeom prst="rect">
                    <a:avLst/>
                  </a:prstGeom>
                  <a:noFill/>
                </pic:spPr>
              </pic:pic>
            </a:graphicData>
          </a:graphic>
          <wp14:sizeRelH relativeFrom="margin">
            <wp14:pctWidth>0</wp14:pctWidth>
          </wp14:sizeRelH>
          <wp14:sizeRelV relativeFrom="margin">
            <wp14:pctHeight>0</wp14:pctHeight>
          </wp14:sizeRelV>
        </wp:anchor>
      </w:drawing>
    </w:r>
    <w:r w:rsidRPr="001915C2">
      <w:rPr>
        <w:rFonts w:ascii="Calibri" w:hAnsi="Calibri" w:cs="Calibri"/>
        <w:noProof/>
      </w:rPr>
      <mc:AlternateContent>
        <mc:Choice Requires="wps">
          <w:drawing>
            <wp:anchor distT="0" distB="0" distL="114300" distR="114300" simplePos="0" relativeHeight="251656704" behindDoc="1" locked="0" layoutInCell="1" allowOverlap="1" wp14:anchorId="40460231" wp14:editId="2133596B">
              <wp:simplePos x="0" y="0"/>
              <wp:positionH relativeFrom="page">
                <wp:posOffset>500380</wp:posOffset>
              </wp:positionH>
              <wp:positionV relativeFrom="page">
                <wp:posOffset>1163320</wp:posOffset>
              </wp:positionV>
              <wp:extent cx="3587115" cy="261620"/>
              <wp:effectExtent l="0" t="127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E359" w14:textId="77777777" w:rsidR="006C5262" w:rsidRDefault="006C5262">
                          <w:pPr>
                            <w:spacing w:line="380" w:lineRule="exact"/>
                            <w:ind w:left="20" w:right="-54"/>
                            <w:rPr>
                              <w:rFonts w:ascii="Arial" w:eastAsia="Arial" w:hAnsi="Arial" w:cs="Arial"/>
                              <w:color w:val="E36C0A"/>
                              <w:sz w:val="36"/>
                              <w:szCs w:val="36"/>
                            </w:rPr>
                          </w:pPr>
                          <w:r w:rsidRPr="00C13060">
                            <w:rPr>
                              <w:rFonts w:ascii="Arial" w:eastAsia="Arial" w:hAnsi="Arial" w:cs="Arial"/>
                              <w:color w:val="E36C0A"/>
                              <w:sz w:val="36"/>
                              <w:szCs w:val="36"/>
                            </w:rPr>
                            <w:t>Briefing</w:t>
                          </w:r>
                          <w:r>
                            <w:rPr>
                              <w:rFonts w:ascii="Arial" w:eastAsia="Arial" w:hAnsi="Arial" w:cs="Arial"/>
                              <w:color w:val="E36C0A"/>
                              <w:sz w:val="36"/>
                              <w:szCs w:val="36"/>
                            </w:rPr>
                            <w:t xml:space="preserve"> on Improving Fellowships</w:t>
                          </w:r>
                        </w:p>
                        <w:p w14:paraId="5B8C89DF" w14:textId="77777777" w:rsidR="006C5262" w:rsidRDefault="006C5262">
                          <w:pPr>
                            <w:spacing w:line="380" w:lineRule="exact"/>
                            <w:ind w:left="20" w:right="-54"/>
                            <w:rPr>
                              <w:rFonts w:ascii="Arial" w:eastAsia="Arial" w:hAnsi="Arial" w:cs="Arial"/>
                              <w:color w:val="E36C0A"/>
                              <w:sz w:val="36"/>
                              <w:szCs w:val="36"/>
                            </w:rPr>
                          </w:pPr>
                        </w:p>
                        <w:p w14:paraId="39922739" w14:textId="77777777" w:rsidR="006C5262" w:rsidRPr="00C13060" w:rsidRDefault="006C5262">
                          <w:pPr>
                            <w:spacing w:line="380" w:lineRule="exact"/>
                            <w:ind w:left="20" w:right="-54"/>
                            <w:rPr>
                              <w:rFonts w:ascii="Arial" w:eastAsia="Arial" w:hAnsi="Arial" w:cs="Arial"/>
                              <w:color w:val="E36C0A"/>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0231" id="_x0000_t202" coordsize="21600,21600" o:spt="202" path="m,l,21600r21600,l21600,xe">
              <v:stroke joinstyle="miter"/>
              <v:path gradientshapeok="t" o:connecttype="rect"/>
            </v:shapetype>
            <v:shape id="Text Box 2" o:spid="_x0000_s1026" type="#_x0000_t202" style="position:absolute;left:0;text-align:left;margin-left:39.4pt;margin-top:91.6pt;width:282.45pt;height:20.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" filled="f" stroked="f">
              <v:textbox inset="0,0,0,0">
                <w:txbxContent>
                  <w:p w14:paraId="1546E359" w14:textId="77777777" w:rsidR="006C5262" w:rsidRDefault="006C5262">
                    <w:pPr>
                      <w:spacing w:line="380" w:lineRule="exact"/>
                      <w:ind w:left="20" w:right="-54"/>
                      <w:rPr>
                        <w:rFonts w:ascii="Arial" w:eastAsia="Arial" w:hAnsi="Arial" w:cs="Arial"/>
                        <w:color w:val="E36C0A"/>
                        <w:sz w:val="36"/>
                        <w:szCs w:val="36"/>
                      </w:rPr>
                    </w:pPr>
                    <w:r w:rsidRPr="00C13060">
                      <w:rPr>
                        <w:rFonts w:ascii="Arial" w:eastAsia="Arial" w:hAnsi="Arial" w:cs="Arial"/>
                        <w:color w:val="E36C0A"/>
                        <w:sz w:val="36"/>
                        <w:szCs w:val="36"/>
                      </w:rPr>
                      <w:t>Briefing</w:t>
                    </w:r>
                    <w:r>
                      <w:rPr>
                        <w:rFonts w:ascii="Arial" w:eastAsia="Arial" w:hAnsi="Arial" w:cs="Arial"/>
                        <w:color w:val="E36C0A"/>
                        <w:sz w:val="36"/>
                        <w:szCs w:val="36"/>
                      </w:rPr>
                      <w:t xml:space="preserve"> on Improving Fellowships</w:t>
                    </w:r>
                  </w:p>
                  <w:p w14:paraId="5B8C89DF" w14:textId="77777777" w:rsidR="006C5262" w:rsidRDefault="006C5262">
                    <w:pPr>
                      <w:spacing w:line="380" w:lineRule="exact"/>
                      <w:ind w:left="20" w:right="-54"/>
                      <w:rPr>
                        <w:rFonts w:ascii="Arial" w:eastAsia="Arial" w:hAnsi="Arial" w:cs="Arial"/>
                        <w:color w:val="E36C0A"/>
                        <w:sz w:val="36"/>
                        <w:szCs w:val="36"/>
                      </w:rPr>
                    </w:pPr>
                  </w:p>
                  <w:p w14:paraId="39922739" w14:textId="77777777" w:rsidR="006C5262" w:rsidRPr="00C13060" w:rsidRDefault="006C5262">
                    <w:pPr>
                      <w:spacing w:line="380" w:lineRule="exact"/>
                      <w:ind w:left="20" w:right="-54"/>
                      <w:rPr>
                        <w:rFonts w:ascii="Arial" w:eastAsia="Arial" w:hAnsi="Arial" w:cs="Arial"/>
                        <w:color w:val="E36C0A"/>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C40E2CC"/>
    <w:lvl w:ilvl="0">
      <w:start w:val="1"/>
      <w:numFmt w:val="decimal"/>
      <w:lvlText w:val="%1."/>
      <w:lvlJc w:val="left"/>
      <w:pPr>
        <w:ind w:left="1571" w:hanging="360"/>
      </w:pPr>
      <w:rPr>
        <w:rFonts w:ascii="Calibri" w:eastAsia="Arial" w:hAnsi="Calibri" w:cs="Calibri"/>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 w15:restartNumberingAfterBreak="0">
    <w:nsid w:val="00000002"/>
    <w:multiLevelType w:val="hybridMultilevel"/>
    <w:tmpl w:val="0E9CBFF0"/>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15:restartNumberingAfterBreak="0">
    <w:nsid w:val="00000003"/>
    <w:multiLevelType w:val="hybridMultilevel"/>
    <w:tmpl w:val="A0882AB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15C2"/>
    <w:rsid w:val="00317BAC"/>
    <w:rsid w:val="003B5445"/>
    <w:rsid w:val="003C7B5D"/>
    <w:rsid w:val="0046236F"/>
    <w:rsid w:val="00510559"/>
    <w:rsid w:val="00606403"/>
    <w:rsid w:val="00645C39"/>
    <w:rsid w:val="006C5262"/>
    <w:rsid w:val="00790192"/>
    <w:rsid w:val="0080133A"/>
    <w:rsid w:val="008724FA"/>
    <w:rsid w:val="00991740"/>
    <w:rsid w:val="00A2225E"/>
    <w:rsid w:val="00A46E8C"/>
    <w:rsid w:val="00A46FFA"/>
    <w:rsid w:val="00A833B1"/>
    <w:rsid w:val="00AE45F4"/>
    <w:rsid w:val="00B929B1"/>
    <w:rsid w:val="00BA17A5"/>
    <w:rsid w:val="00C93A3E"/>
    <w:rsid w:val="00D01434"/>
    <w:rsid w:val="00DE6D2D"/>
    <w:rsid w:val="00DF6055"/>
    <w:rsid w:val="00E434AC"/>
    <w:rsid w:val="00F23FD4"/>
    <w:rsid w:val="00F639B7"/>
    <w:rsid w:val="00F6460D"/>
    <w:rsid w:val="00FC593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1223AF4"/>
  <w15:chartTrackingRefBased/>
  <w15:docId w15:val="{C5E79E61-0AA1-434F-876C-ABEA4A28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703"/>
        <w:tab w:val="right" w:pos="9406"/>
      </w:tabs>
    </w:pPr>
  </w:style>
  <w:style w:type="character" w:styleId="Hyperlink">
    <w:name w:val="Hyperlink"/>
    <w:rsid w:val="006D70C6"/>
    <w:rPr>
      <w:color w:val="0000FF"/>
      <w:u w:val="single"/>
    </w:rPr>
  </w:style>
  <w:style w:type="paragraph" w:styleId="Footer">
    <w:name w:val="footer"/>
    <w:basedOn w:val="Normal"/>
    <w:pPr>
      <w:tabs>
        <w:tab w:val="center" w:pos="4703"/>
        <w:tab w:val="right" w:pos="9406"/>
      </w:tabs>
    </w:pPr>
  </w:style>
  <w:style w:type="paragraph" w:styleId="ListParagraph">
    <w:name w:val="List Paragraph"/>
    <w:basedOn w:val="Normal"/>
    <w:uiPriority w:val="34"/>
    <w:qFormat/>
    <w:rsid w:val="00202AAB"/>
    <w:pPr>
      <w:ind w:left="720"/>
      <w:contextualSpacing/>
    </w:pPr>
  </w:style>
  <w:style w:type="table" w:styleId="TableGrid">
    <w:name w:val="Table Grid"/>
    <w:basedOn w:val="TableNormal"/>
    <w:uiPriority w:val="39"/>
    <w:rsid w:val="00196E6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91740"/>
    <w:rPr>
      <w:color w:val="605E5C"/>
      <w:shd w:val="clear" w:color="auto" w:fill="E1DFDD"/>
    </w:rPr>
  </w:style>
  <w:style w:type="character" w:customStyle="1" w:styleId="HeaderChar">
    <w:name w:val="Header Char"/>
    <w:link w:val="Header"/>
    <w:uiPriority w:val="99"/>
    <w:rsid w:val="001915C2"/>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tect.mimecast-offshore.com/s/LRYyCW70qxhGmxUxZ7V8?domain=itu.int" TargetMode="External"/><Relationship Id="rId18" Type="http://schemas.openxmlformats.org/officeDocument/2006/relationships/hyperlink" Target="https://publications.iadb.org/en/caribbean-region-quarterly-bulletin-volume-8-issue-2-june-20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protect.mimecast-offshore.com/s/UDkWCVPjQwT9oXCGOgRP?domain=itu.int" TargetMode="External"/><Relationship Id="rId2" Type="http://schemas.openxmlformats.org/officeDocument/2006/relationships/styles" Target="styles.xml"/><Relationship Id="rId16" Type="http://schemas.openxmlformats.org/officeDocument/2006/relationships/hyperlink" Target="https://www.grin.com/document/902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eforum.org/reports/the-global-gender-gap-report-2018" TargetMode="External"/><Relationship Id="rId10" Type="http://schemas.openxmlformats.org/officeDocument/2006/relationships/header" Target="header2.xml"/><Relationship Id="rId19" Type="http://schemas.openxmlformats.org/officeDocument/2006/relationships/hyperlink" Target="https://publications.iadb.org/en/caribbean-region-quarterly-bulletin-volume-8-issue-2-june-20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tect.mimecast-offshore.com/s/lEl6C2vNWysOz6iXmZPl?domain=itu.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2556</Words>
  <Characters>14570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Links>
    <vt:vector size="48" baseType="variant">
      <vt:variant>
        <vt:i4>8257573</vt:i4>
      </vt:variant>
      <vt:variant>
        <vt:i4>18</vt:i4>
      </vt:variant>
      <vt:variant>
        <vt:i4>0</vt:i4>
      </vt:variant>
      <vt:variant>
        <vt:i4>5</vt:i4>
      </vt:variant>
      <vt:variant>
        <vt:lpwstr>https://publications.iadb.org/en/caribbean-region-quarterly-bulletin-volume-8-issue-2-june-2019</vt:lpwstr>
      </vt:variant>
      <vt:variant>
        <vt:lpwstr/>
      </vt:variant>
      <vt:variant>
        <vt:i4>8257573</vt:i4>
      </vt:variant>
      <vt:variant>
        <vt:i4>15</vt:i4>
      </vt:variant>
      <vt:variant>
        <vt:i4>0</vt:i4>
      </vt:variant>
      <vt:variant>
        <vt:i4>5</vt:i4>
      </vt:variant>
      <vt:variant>
        <vt:lpwstr>https://publications.iadb.org/en/caribbean-region-quarterly-bulletin-volume-8-issue-2-june-2019</vt:lpwstr>
      </vt:variant>
      <vt:variant>
        <vt:lpwstr/>
      </vt:variant>
      <vt:variant>
        <vt:i4>3211298</vt:i4>
      </vt:variant>
      <vt:variant>
        <vt:i4>12</vt:i4>
      </vt:variant>
      <vt:variant>
        <vt:i4>0</vt:i4>
      </vt:variant>
      <vt:variant>
        <vt:i4>5</vt:i4>
      </vt:variant>
      <vt:variant>
        <vt:lpwstr>https://protect.mimecast-offshore.com/s/UDkWCVPjQwT9oXCGOgRP?domain=itu.int</vt:lpwstr>
      </vt:variant>
      <vt:variant>
        <vt:lpwstr/>
      </vt:variant>
      <vt:variant>
        <vt:i4>7864352</vt:i4>
      </vt:variant>
      <vt:variant>
        <vt:i4>9</vt:i4>
      </vt:variant>
      <vt:variant>
        <vt:i4>0</vt:i4>
      </vt:variant>
      <vt:variant>
        <vt:i4>5</vt:i4>
      </vt:variant>
      <vt:variant>
        <vt:lpwstr>https://www.grin.com/document/90290</vt:lpwstr>
      </vt:variant>
      <vt:variant>
        <vt:lpwstr/>
      </vt:variant>
      <vt:variant>
        <vt:i4>4325401</vt:i4>
      </vt:variant>
      <vt:variant>
        <vt:i4>6</vt:i4>
      </vt:variant>
      <vt:variant>
        <vt:i4>0</vt:i4>
      </vt:variant>
      <vt:variant>
        <vt:i4>5</vt:i4>
      </vt:variant>
      <vt:variant>
        <vt:lpwstr>https://www.weforum.org/reports/the-global-gender-gap-report-2018</vt:lpwstr>
      </vt:variant>
      <vt:variant>
        <vt:lpwstr/>
      </vt:variant>
      <vt:variant>
        <vt:i4>3735588</vt:i4>
      </vt:variant>
      <vt:variant>
        <vt:i4>3</vt:i4>
      </vt:variant>
      <vt:variant>
        <vt:i4>0</vt:i4>
      </vt:variant>
      <vt:variant>
        <vt:i4>5</vt:i4>
      </vt:variant>
      <vt:variant>
        <vt:lpwstr>https://protect.mimecast-offshore.com/s/lEl6C2vNWysOz6iXmZPl?domain=itu.int</vt:lpwstr>
      </vt:variant>
      <vt:variant>
        <vt:lpwstr/>
      </vt:variant>
      <vt:variant>
        <vt:i4>2359415</vt:i4>
      </vt:variant>
      <vt:variant>
        <vt:i4>0</vt:i4>
      </vt:variant>
      <vt:variant>
        <vt:i4>0</vt:i4>
      </vt:variant>
      <vt:variant>
        <vt:i4>5</vt:i4>
      </vt:variant>
      <vt:variant>
        <vt:lpwstr>https://protect.mimecast-offshore.com/s/LRYyCW70qxhGmxUxZ7V8?domain=itu.int</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 Persaud</dc:creator>
  <cp:keywords/>
  <cp:lastModifiedBy>Janin, Patricia</cp:lastModifiedBy>
  <cp:revision>2</cp:revision>
  <cp:lastPrinted>1601-01-01T00:00:00Z</cp:lastPrinted>
  <dcterms:created xsi:type="dcterms:W3CDTF">2020-01-22T08:46:00Z</dcterms:created>
  <dcterms:modified xsi:type="dcterms:W3CDTF">2020-01-22T08:46:00Z</dcterms:modified>
</cp:coreProperties>
</file>