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2EEFC" w14:textId="77777777" w:rsidR="00B915C1" w:rsidRPr="00CA7CA8" w:rsidRDefault="00B915C1" w:rsidP="00B915C1">
      <w:pPr>
        <w:rPr>
          <w:rFonts w:cstheme="minorHAnsi"/>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CA7CA8" w14:paraId="46C2EF00" w14:textId="77777777" w:rsidTr="000F2E67">
        <w:trPr>
          <w:cantSplit/>
        </w:trPr>
        <w:tc>
          <w:tcPr>
            <w:tcW w:w="6521" w:type="dxa"/>
          </w:tcPr>
          <w:p w14:paraId="46C2EEFD" w14:textId="77777777" w:rsidR="004E5922" w:rsidRPr="00CA7CA8" w:rsidRDefault="000F2E67" w:rsidP="00815174">
            <w:pPr>
              <w:spacing w:before="240" w:after="48"/>
              <w:rPr>
                <w:rFonts w:cstheme="minorHAnsi"/>
                <w:b/>
                <w:position w:val="6"/>
                <w:sz w:val="30"/>
                <w:szCs w:val="30"/>
              </w:rPr>
            </w:pPr>
            <w:bookmarkStart w:id="0" w:name="dc06"/>
            <w:bookmarkEnd w:id="0"/>
            <w:r w:rsidRPr="00CA7CA8">
              <w:rPr>
                <w:rFonts w:cstheme="minorHAnsi"/>
                <w:b/>
                <w:position w:val="6"/>
                <w:sz w:val="30"/>
                <w:szCs w:val="30"/>
              </w:rPr>
              <w:t xml:space="preserve">Council Working Group on </w:t>
            </w:r>
            <w:r w:rsidR="00815174" w:rsidRPr="00CA7CA8">
              <w:rPr>
                <w:rFonts w:cstheme="minorHAnsi"/>
                <w:b/>
                <w:position w:val="6"/>
                <w:sz w:val="30"/>
                <w:szCs w:val="30"/>
              </w:rPr>
              <w:br/>
              <w:t>Financial and Human Resources</w:t>
            </w:r>
          </w:p>
          <w:p w14:paraId="46C2EEFE" w14:textId="77777777" w:rsidR="005F153A" w:rsidRPr="00CA7CA8" w:rsidRDefault="00B72B57" w:rsidP="00B72B57">
            <w:pPr>
              <w:spacing w:after="120"/>
              <w:rPr>
                <w:rFonts w:cstheme="minorHAnsi"/>
                <w:b/>
                <w:position w:val="6"/>
                <w:szCs w:val="22"/>
              </w:rPr>
            </w:pPr>
            <w:r w:rsidRPr="00CA7CA8">
              <w:rPr>
                <w:rFonts w:cstheme="minorHAnsi"/>
                <w:b/>
                <w:szCs w:val="22"/>
              </w:rPr>
              <w:t>Eleventh</w:t>
            </w:r>
            <w:r w:rsidR="001B506B" w:rsidRPr="00CA7CA8">
              <w:rPr>
                <w:rFonts w:cstheme="minorHAnsi"/>
                <w:b/>
                <w:szCs w:val="22"/>
              </w:rPr>
              <w:t xml:space="preserve"> meeting </w:t>
            </w:r>
            <w:r w:rsidR="001B506B" w:rsidRPr="00CA7CA8">
              <w:rPr>
                <w:rFonts w:eastAsia="Calibri" w:cstheme="minorHAnsi"/>
                <w:b/>
                <w:color w:val="000000"/>
                <w:szCs w:val="22"/>
              </w:rPr>
              <w:t>–</w:t>
            </w:r>
            <w:r w:rsidR="005F153A" w:rsidRPr="00CA7CA8">
              <w:rPr>
                <w:rFonts w:cstheme="minorHAnsi"/>
                <w:b/>
                <w:szCs w:val="22"/>
              </w:rPr>
              <w:t xml:space="preserve"> Geneva, </w:t>
            </w:r>
            <w:r w:rsidRPr="00CA7CA8">
              <w:rPr>
                <w:rFonts w:cstheme="minorHAnsi"/>
                <w:b/>
                <w:szCs w:val="22"/>
              </w:rPr>
              <w:t>3-4 February 2020</w:t>
            </w:r>
          </w:p>
        </w:tc>
        <w:tc>
          <w:tcPr>
            <w:tcW w:w="3793" w:type="dxa"/>
          </w:tcPr>
          <w:p w14:paraId="46C2EEFF" w14:textId="77777777" w:rsidR="005F153A" w:rsidRPr="00CA7CA8" w:rsidRDefault="002A1458" w:rsidP="001B506B">
            <w:pPr>
              <w:spacing w:line="240" w:lineRule="atLeast"/>
              <w:rPr>
                <w:rFonts w:cstheme="minorHAnsi"/>
              </w:rPr>
            </w:pPr>
            <w:bookmarkStart w:id="1" w:name="ditulogo"/>
            <w:bookmarkEnd w:id="1"/>
            <w:r w:rsidRPr="00CA7CA8">
              <w:rPr>
                <w:rFonts w:cstheme="minorHAnsi"/>
                <w:noProof/>
                <w:lang w:val="en-GB"/>
              </w:rPr>
              <w:drawing>
                <wp:inline distT="0" distB="0" distL="0" distR="0" wp14:anchorId="46C2EF11" wp14:editId="46C2EF12">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CA7CA8" w14:paraId="46C2EF03" w14:textId="77777777" w:rsidTr="000F2E67">
        <w:trPr>
          <w:cantSplit/>
        </w:trPr>
        <w:tc>
          <w:tcPr>
            <w:tcW w:w="6521" w:type="dxa"/>
            <w:tcBorders>
              <w:top w:val="single" w:sz="12" w:space="0" w:color="auto"/>
            </w:tcBorders>
          </w:tcPr>
          <w:p w14:paraId="46C2EF01" w14:textId="77777777" w:rsidR="005F153A" w:rsidRPr="00CA7CA8" w:rsidRDefault="005F153A" w:rsidP="00A172CD">
            <w:pPr>
              <w:snapToGrid w:val="0"/>
              <w:spacing w:before="0"/>
              <w:rPr>
                <w:rFonts w:cstheme="minorHAnsi"/>
                <w:b/>
                <w:smallCaps/>
              </w:rPr>
            </w:pPr>
          </w:p>
        </w:tc>
        <w:tc>
          <w:tcPr>
            <w:tcW w:w="3793" w:type="dxa"/>
            <w:tcBorders>
              <w:top w:val="single" w:sz="12" w:space="0" w:color="auto"/>
            </w:tcBorders>
          </w:tcPr>
          <w:p w14:paraId="46C2EF02" w14:textId="77777777" w:rsidR="005F153A" w:rsidRPr="00CA7CA8" w:rsidRDefault="005F153A" w:rsidP="00A172CD">
            <w:pPr>
              <w:snapToGrid w:val="0"/>
              <w:spacing w:before="0"/>
              <w:ind w:left="209"/>
              <w:rPr>
                <w:rFonts w:cstheme="minorHAnsi"/>
              </w:rPr>
            </w:pPr>
          </w:p>
        </w:tc>
      </w:tr>
      <w:tr w:rsidR="005F153A" w:rsidRPr="007C53FA" w14:paraId="46C2EF06" w14:textId="77777777" w:rsidTr="000F2E67">
        <w:trPr>
          <w:cantSplit/>
          <w:trHeight w:val="23"/>
        </w:trPr>
        <w:tc>
          <w:tcPr>
            <w:tcW w:w="6521" w:type="dxa"/>
            <w:vMerge w:val="restart"/>
          </w:tcPr>
          <w:p w14:paraId="46C2EF04" w14:textId="77777777" w:rsidR="005F153A" w:rsidRPr="00CA7CA8" w:rsidRDefault="005F153A" w:rsidP="00A172CD">
            <w:pPr>
              <w:snapToGrid w:val="0"/>
              <w:spacing w:before="0"/>
              <w:rPr>
                <w:rFonts w:cstheme="minorHAnsi"/>
                <w:b/>
              </w:rPr>
            </w:pPr>
            <w:bookmarkStart w:id="2" w:name="dmeeting" w:colFirst="0" w:colLast="0"/>
            <w:bookmarkStart w:id="3" w:name="dnum" w:colFirst="1" w:colLast="1"/>
          </w:p>
        </w:tc>
        <w:tc>
          <w:tcPr>
            <w:tcW w:w="3793" w:type="dxa"/>
          </w:tcPr>
          <w:p w14:paraId="46C2EF05" w14:textId="1B1D224C" w:rsidR="005F153A" w:rsidRPr="00CA7CA8" w:rsidRDefault="005F153A" w:rsidP="00A172CD">
            <w:pPr>
              <w:snapToGrid w:val="0"/>
              <w:spacing w:before="0"/>
              <w:ind w:left="57"/>
              <w:rPr>
                <w:rFonts w:cstheme="minorHAnsi"/>
                <w:b/>
                <w:spacing w:val="-4"/>
                <w:lang w:val="it-IT"/>
              </w:rPr>
            </w:pPr>
            <w:r w:rsidRPr="00CA7CA8">
              <w:rPr>
                <w:rFonts w:cstheme="minorHAnsi"/>
                <w:b/>
                <w:spacing w:val="-4"/>
                <w:lang w:val="it-IT"/>
              </w:rPr>
              <w:t xml:space="preserve">Document </w:t>
            </w:r>
            <w:r w:rsidR="00F45331" w:rsidRPr="00CA7CA8">
              <w:rPr>
                <w:rFonts w:cstheme="minorHAnsi"/>
                <w:b/>
                <w:spacing w:val="-4"/>
                <w:lang w:val="it-IT"/>
              </w:rPr>
              <w:t>C</w:t>
            </w:r>
            <w:r w:rsidRPr="00CA7CA8">
              <w:rPr>
                <w:rFonts w:cstheme="minorHAnsi"/>
                <w:b/>
                <w:spacing w:val="-4"/>
                <w:lang w:val="it-IT"/>
              </w:rPr>
              <w:t>WG-</w:t>
            </w:r>
            <w:r w:rsidR="00815174" w:rsidRPr="00CA7CA8">
              <w:rPr>
                <w:rFonts w:cstheme="minorHAnsi"/>
                <w:b/>
                <w:spacing w:val="-4"/>
                <w:lang w:val="it-IT"/>
              </w:rPr>
              <w:t>FHR-</w:t>
            </w:r>
            <w:r w:rsidR="00714D3B">
              <w:rPr>
                <w:rFonts w:cstheme="minorHAnsi"/>
                <w:b/>
                <w:spacing w:val="-4"/>
                <w:lang w:val="it-IT"/>
              </w:rPr>
              <w:t>11</w:t>
            </w:r>
            <w:r w:rsidRPr="00CA7CA8">
              <w:rPr>
                <w:rFonts w:cstheme="minorHAnsi"/>
                <w:b/>
                <w:spacing w:val="-4"/>
                <w:lang w:val="it-IT"/>
              </w:rPr>
              <w:t>/</w:t>
            </w:r>
            <w:r w:rsidR="005F5943">
              <w:rPr>
                <w:rFonts w:cstheme="minorHAnsi"/>
                <w:b/>
                <w:spacing w:val="-4"/>
                <w:lang w:val="it-IT"/>
              </w:rPr>
              <w:t>12</w:t>
            </w:r>
          </w:p>
        </w:tc>
      </w:tr>
      <w:tr w:rsidR="005F153A" w:rsidRPr="00CA7CA8" w14:paraId="46C2EF09" w14:textId="77777777" w:rsidTr="000F2E67">
        <w:trPr>
          <w:cantSplit/>
          <w:trHeight w:val="23"/>
        </w:trPr>
        <w:tc>
          <w:tcPr>
            <w:tcW w:w="6521" w:type="dxa"/>
            <w:vMerge/>
          </w:tcPr>
          <w:p w14:paraId="46C2EF07" w14:textId="77777777" w:rsidR="005F153A" w:rsidRPr="00CA7CA8" w:rsidRDefault="005F153A" w:rsidP="00A172CD">
            <w:pPr>
              <w:snapToGrid w:val="0"/>
              <w:spacing w:before="0"/>
              <w:rPr>
                <w:rFonts w:cstheme="minorHAnsi"/>
                <w:b/>
                <w:lang w:val="it-IT"/>
              </w:rPr>
            </w:pPr>
            <w:bookmarkStart w:id="4" w:name="ddate" w:colFirst="1" w:colLast="1"/>
            <w:bookmarkEnd w:id="2"/>
            <w:bookmarkEnd w:id="3"/>
          </w:p>
        </w:tc>
        <w:tc>
          <w:tcPr>
            <w:tcW w:w="3793" w:type="dxa"/>
          </w:tcPr>
          <w:p w14:paraId="46C2EF08" w14:textId="3514A0CD" w:rsidR="005F153A" w:rsidRPr="00CA7CA8" w:rsidRDefault="005F5943" w:rsidP="00A172CD">
            <w:pPr>
              <w:snapToGrid w:val="0"/>
              <w:spacing w:before="0"/>
              <w:ind w:left="57"/>
              <w:rPr>
                <w:rFonts w:cstheme="minorHAnsi"/>
                <w:b/>
              </w:rPr>
            </w:pPr>
            <w:r>
              <w:rPr>
                <w:rFonts w:cstheme="minorHAnsi"/>
                <w:b/>
                <w:lang w:val="fr-CA"/>
              </w:rPr>
              <w:t>10</w:t>
            </w:r>
            <w:r w:rsidR="006B7CBE" w:rsidRPr="002E15CB">
              <w:rPr>
                <w:rFonts w:cstheme="minorHAnsi"/>
                <w:b/>
                <w:lang w:val="fr-CA"/>
              </w:rPr>
              <w:t xml:space="preserve"> </w:t>
            </w:r>
            <w:r w:rsidR="00277E4A">
              <w:rPr>
                <w:rFonts w:cstheme="minorHAnsi"/>
                <w:b/>
              </w:rPr>
              <w:t>January 2020</w:t>
            </w:r>
          </w:p>
        </w:tc>
      </w:tr>
      <w:tr w:rsidR="005F153A" w:rsidRPr="00CA7CA8" w14:paraId="46C2EF0C" w14:textId="77777777" w:rsidTr="000F2E67">
        <w:trPr>
          <w:cantSplit/>
          <w:trHeight w:val="80"/>
        </w:trPr>
        <w:tc>
          <w:tcPr>
            <w:tcW w:w="6521" w:type="dxa"/>
            <w:vMerge/>
          </w:tcPr>
          <w:p w14:paraId="46C2EF0A" w14:textId="77777777" w:rsidR="005F153A" w:rsidRPr="00CA7CA8" w:rsidRDefault="005F153A" w:rsidP="00A172CD">
            <w:pPr>
              <w:snapToGrid w:val="0"/>
              <w:spacing w:before="0"/>
              <w:rPr>
                <w:rFonts w:cstheme="minorHAnsi"/>
                <w:b/>
              </w:rPr>
            </w:pPr>
            <w:bookmarkStart w:id="5" w:name="dorlang" w:colFirst="1" w:colLast="1"/>
            <w:bookmarkEnd w:id="4"/>
          </w:p>
        </w:tc>
        <w:tc>
          <w:tcPr>
            <w:tcW w:w="3793" w:type="dxa"/>
          </w:tcPr>
          <w:p w14:paraId="46C2EF0B" w14:textId="77777777" w:rsidR="005F153A" w:rsidRPr="00CA7CA8" w:rsidRDefault="005F153A" w:rsidP="00A172CD">
            <w:pPr>
              <w:snapToGrid w:val="0"/>
              <w:spacing w:before="0"/>
              <w:ind w:left="57"/>
              <w:rPr>
                <w:rFonts w:cstheme="minorHAnsi"/>
                <w:b/>
              </w:rPr>
            </w:pPr>
            <w:r w:rsidRPr="00CA7CA8">
              <w:rPr>
                <w:rFonts w:cstheme="minorHAnsi"/>
                <w:b/>
              </w:rPr>
              <w:t>English only</w:t>
            </w:r>
          </w:p>
        </w:tc>
      </w:tr>
    </w:tbl>
    <w:bookmarkEnd w:id="5"/>
    <w:p w14:paraId="518A3BAD" w14:textId="711B1242" w:rsidR="00284552" w:rsidRPr="00CA7CA8" w:rsidRDefault="00CC597D" w:rsidP="004C45D3">
      <w:pPr>
        <w:spacing w:before="840" w:after="360"/>
        <w:jc w:val="center"/>
        <w:rPr>
          <w:rFonts w:cstheme="minorHAnsi"/>
          <w:bCs/>
          <w:sz w:val="28"/>
          <w:szCs w:val="32"/>
          <w:lang w:val="en-GB"/>
        </w:rPr>
      </w:pPr>
      <w:r w:rsidRPr="00CA7CA8">
        <w:rPr>
          <w:rFonts w:cstheme="minorHAnsi"/>
          <w:b/>
          <w:sz w:val="28"/>
          <w:szCs w:val="32"/>
        </w:rPr>
        <w:t xml:space="preserve">Contribution </w:t>
      </w:r>
      <w:r w:rsidR="00073F35" w:rsidRPr="00CA7CA8">
        <w:rPr>
          <w:rFonts w:cstheme="minorHAnsi"/>
          <w:b/>
          <w:sz w:val="28"/>
          <w:szCs w:val="32"/>
        </w:rPr>
        <w:t>by</w:t>
      </w:r>
      <w:r w:rsidRPr="00CA7CA8">
        <w:rPr>
          <w:rFonts w:cstheme="minorHAnsi"/>
          <w:b/>
          <w:sz w:val="28"/>
          <w:szCs w:val="32"/>
        </w:rPr>
        <w:t xml:space="preserve"> </w:t>
      </w:r>
      <w:r w:rsidR="00284552" w:rsidRPr="00CA7CA8">
        <w:rPr>
          <w:rFonts w:cstheme="minorHAnsi"/>
          <w:b/>
          <w:sz w:val="28"/>
          <w:szCs w:val="32"/>
        </w:rPr>
        <w:t>the Secretariat</w:t>
      </w:r>
    </w:p>
    <w:p w14:paraId="6A0C9951" w14:textId="03460E6F" w:rsidR="002D3F92" w:rsidRPr="00CA7CA8" w:rsidRDefault="00C142BE" w:rsidP="00EA1C21">
      <w:pPr>
        <w:autoSpaceDE w:val="0"/>
        <w:autoSpaceDN w:val="0"/>
        <w:adjustRightInd w:val="0"/>
        <w:spacing w:before="240" w:after="480"/>
        <w:jc w:val="center"/>
        <w:rPr>
          <w:rFonts w:cstheme="minorHAnsi"/>
          <w:sz w:val="28"/>
          <w:szCs w:val="28"/>
          <w:lang w:val="en-GB" w:eastAsia="ja-JP"/>
        </w:rPr>
      </w:pPr>
      <w:r w:rsidRPr="00CA7CA8">
        <w:rPr>
          <w:rFonts w:cstheme="minorHAnsi"/>
          <w:sz w:val="28"/>
          <w:szCs w:val="28"/>
          <w:lang w:val="en-GB" w:eastAsia="ja-JP"/>
        </w:rPr>
        <w:t xml:space="preserve">PROGRESS </w:t>
      </w:r>
      <w:r w:rsidR="002D3F92" w:rsidRPr="00CA7CA8">
        <w:rPr>
          <w:rFonts w:cstheme="minorHAnsi"/>
          <w:sz w:val="28"/>
          <w:szCs w:val="28"/>
          <w:lang w:val="en-GB" w:eastAsia="ja-JP"/>
        </w:rPr>
        <w:t>REPORT ON</w:t>
      </w:r>
      <w:r w:rsidR="00EA1C21">
        <w:rPr>
          <w:rFonts w:cstheme="minorHAnsi"/>
          <w:sz w:val="28"/>
          <w:szCs w:val="28"/>
          <w:lang w:val="en-GB" w:eastAsia="ja-JP"/>
        </w:rPr>
        <w:br/>
      </w:r>
      <w:r w:rsidR="00E53D0A">
        <w:rPr>
          <w:rFonts w:cstheme="minorHAnsi"/>
          <w:sz w:val="28"/>
          <w:szCs w:val="28"/>
          <w:lang w:val="en-GB" w:eastAsia="ja-JP" w:bidi="he-IL"/>
        </w:rPr>
        <w:t>STRENGTHENING ITU RISK MANAGEMENT FRAMEWORK: ACTION PLAN</w:t>
      </w:r>
    </w:p>
    <w:tbl>
      <w:tblPr>
        <w:tblStyle w:val="TableGrid"/>
        <w:tblW w:w="0" w:type="auto"/>
        <w:tblInd w:w="9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30"/>
      </w:tblGrid>
      <w:tr w:rsidR="00340D47" w:rsidRPr="00CA7CA8" w14:paraId="28A5BA01" w14:textId="77777777" w:rsidTr="00CA15C6">
        <w:tc>
          <w:tcPr>
            <w:tcW w:w="7730" w:type="dxa"/>
          </w:tcPr>
          <w:p w14:paraId="1DBB1DE8" w14:textId="6342704C" w:rsidR="00F22B5D" w:rsidRPr="00CA7CA8" w:rsidRDefault="00F22B5D" w:rsidP="008837A7">
            <w:pPr>
              <w:pStyle w:val="Headingb"/>
              <w:numPr>
                <w:ilvl w:val="0"/>
                <w:numId w:val="0"/>
              </w:numPr>
              <w:ind w:left="567" w:hanging="567"/>
              <w:jc w:val="both"/>
              <w:rPr>
                <w:rFonts w:asciiTheme="minorHAnsi" w:hAnsiTheme="minorHAnsi" w:cstheme="minorHAnsi"/>
                <w:szCs w:val="24"/>
              </w:rPr>
            </w:pPr>
            <w:r w:rsidRPr="00CA7CA8">
              <w:rPr>
                <w:rFonts w:asciiTheme="minorHAnsi" w:hAnsiTheme="minorHAnsi" w:cstheme="minorHAnsi"/>
                <w:szCs w:val="24"/>
              </w:rPr>
              <w:t>Summary</w:t>
            </w:r>
          </w:p>
          <w:p w14:paraId="2E771A02" w14:textId="123F7A3C" w:rsidR="00F22B5D" w:rsidRPr="00CA7CA8" w:rsidRDefault="00F87A58" w:rsidP="00F22B5D">
            <w:pPr>
              <w:jc w:val="both"/>
              <w:rPr>
                <w:rFonts w:cstheme="minorHAnsi"/>
              </w:rPr>
            </w:pPr>
            <w:r>
              <w:rPr>
                <w:rFonts w:cstheme="minorHAnsi"/>
              </w:rPr>
              <w:t xml:space="preserve">This document </w:t>
            </w:r>
            <w:r w:rsidR="00F22B5D" w:rsidRPr="00CA7CA8">
              <w:rPr>
                <w:rFonts w:cstheme="minorHAnsi"/>
              </w:rPr>
              <w:t>provide</w:t>
            </w:r>
            <w:r>
              <w:rPr>
                <w:rFonts w:cstheme="minorHAnsi"/>
              </w:rPr>
              <w:t>s</w:t>
            </w:r>
            <w:r w:rsidR="00F22B5D" w:rsidRPr="00CA7CA8">
              <w:rPr>
                <w:rFonts w:cstheme="minorHAnsi"/>
              </w:rPr>
              <w:t xml:space="preserve"> </w:t>
            </w:r>
            <w:r w:rsidR="00E53D0A">
              <w:rPr>
                <w:rFonts w:cstheme="minorHAnsi"/>
              </w:rPr>
              <w:t>a</w:t>
            </w:r>
            <w:r>
              <w:rPr>
                <w:rFonts w:cstheme="minorHAnsi"/>
              </w:rPr>
              <w:t xml:space="preserve"> detailed a</w:t>
            </w:r>
            <w:r w:rsidR="00E53D0A">
              <w:rPr>
                <w:rFonts w:cstheme="minorHAnsi"/>
              </w:rPr>
              <w:t xml:space="preserve">ction </w:t>
            </w:r>
            <w:r>
              <w:rPr>
                <w:rFonts w:cstheme="minorHAnsi"/>
              </w:rPr>
              <w:t>p</w:t>
            </w:r>
            <w:r w:rsidR="00E53D0A">
              <w:rPr>
                <w:rFonts w:cstheme="minorHAnsi"/>
              </w:rPr>
              <w:t>lan</w:t>
            </w:r>
            <w:r>
              <w:rPr>
                <w:rFonts w:cstheme="minorHAnsi"/>
              </w:rPr>
              <w:t xml:space="preserve"> on ITU secretariat efforts to strengthen the ITU Risk Management framework, as requested in </w:t>
            </w:r>
            <w:r w:rsidRPr="00F87A58">
              <w:rPr>
                <w:rFonts w:cstheme="minorHAnsi"/>
              </w:rPr>
              <w:t>document CWG-FHR 10/9.</w:t>
            </w:r>
          </w:p>
          <w:p w14:paraId="2A2D9891" w14:textId="18FE4D92" w:rsidR="00F22B5D" w:rsidRPr="00CA7CA8" w:rsidRDefault="00F22B5D" w:rsidP="008837A7">
            <w:pPr>
              <w:pStyle w:val="Headingb"/>
              <w:numPr>
                <w:ilvl w:val="0"/>
                <w:numId w:val="0"/>
              </w:numPr>
              <w:ind w:left="567" w:hanging="567"/>
              <w:jc w:val="both"/>
              <w:rPr>
                <w:rFonts w:asciiTheme="minorHAnsi" w:hAnsiTheme="minorHAnsi" w:cstheme="minorHAnsi"/>
                <w:szCs w:val="24"/>
              </w:rPr>
            </w:pPr>
            <w:r w:rsidRPr="00CA7CA8">
              <w:rPr>
                <w:rFonts w:asciiTheme="minorHAnsi" w:hAnsiTheme="minorHAnsi" w:cstheme="minorHAnsi"/>
                <w:szCs w:val="24"/>
              </w:rPr>
              <w:t>Action required</w:t>
            </w:r>
          </w:p>
          <w:p w14:paraId="3242C459" w14:textId="44FA92DF" w:rsidR="00F22B5D" w:rsidRPr="00CA7CA8" w:rsidRDefault="00F22B5D" w:rsidP="00F22B5D">
            <w:pPr>
              <w:jc w:val="both"/>
              <w:rPr>
                <w:rFonts w:cstheme="minorHAnsi"/>
              </w:rPr>
            </w:pPr>
            <w:r w:rsidRPr="00CA7CA8">
              <w:rPr>
                <w:rFonts w:cstheme="minorHAnsi"/>
              </w:rPr>
              <w:t>The Council</w:t>
            </w:r>
            <w:r w:rsidR="005817AC" w:rsidRPr="00CA7CA8">
              <w:rPr>
                <w:rFonts w:cstheme="minorHAnsi"/>
              </w:rPr>
              <w:t xml:space="preserve"> Working Group</w:t>
            </w:r>
            <w:r w:rsidRPr="00CA7CA8">
              <w:rPr>
                <w:rFonts w:cstheme="minorHAnsi"/>
              </w:rPr>
              <w:t xml:space="preserve"> is invited </w:t>
            </w:r>
            <w:r w:rsidRPr="00EA1C21">
              <w:rPr>
                <w:rFonts w:cstheme="minorHAnsi"/>
                <w:b/>
                <w:bCs/>
              </w:rPr>
              <w:t xml:space="preserve">to </w:t>
            </w:r>
            <w:r w:rsidR="00830034" w:rsidRPr="00EA1C21">
              <w:rPr>
                <w:rFonts w:cstheme="minorHAnsi"/>
                <w:b/>
                <w:bCs/>
              </w:rPr>
              <w:t>take note</w:t>
            </w:r>
            <w:r w:rsidR="00830034" w:rsidRPr="00CA7CA8">
              <w:rPr>
                <w:rFonts w:cstheme="minorHAnsi"/>
              </w:rPr>
              <w:t xml:space="preserve"> of the progress made</w:t>
            </w:r>
            <w:r w:rsidRPr="00CA7CA8">
              <w:rPr>
                <w:rFonts w:cstheme="minorHAnsi"/>
              </w:rPr>
              <w:t xml:space="preserve">. </w:t>
            </w:r>
          </w:p>
          <w:p w14:paraId="467363B9" w14:textId="77777777" w:rsidR="00F22B5D" w:rsidRPr="00CA7CA8" w:rsidRDefault="00F22B5D" w:rsidP="008837A7">
            <w:pPr>
              <w:pStyle w:val="Headingb"/>
              <w:numPr>
                <w:ilvl w:val="0"/>
                <w:numId w:val="0"/>
              </w:numPr>
              <w:ind w:left="567" w:hanging="567"/>
              <w:jc w:val="both"/>
              <w:rPr>
                <w:rFonts w:asciiTheme="minorHAnsi" w:hAnsiTheme="minorHAnsi" w:cstheme="minorHAnsi"/>
                <w:szCs w:val="24"/>
              </w:rPr>
            </w:pPr>
            <w:r w:rsidRPr="00CA7CA8">
              <w:rPr>
                <w:rFonts w:asciiTheme="minorHAnsi" w:hAnsiTheme="minorHAnsi" w:cstheme="minorHAnsi"/>
                <w:szCs w:val="24"/>
              </w:rPr>
              <w:t>References</w:t>
            </w:r>
          </w:p>
          <w:p w14:paraId="14700613" w14:textId="0AB92DD7" w:rsidR="003126FD" w:rsidRPr="003126FD" w:rsidRDefault="00B04853" w:rsidP="00EA1C21">
            <w:pPr>
              <w:spacing w:after="120"/>
              <w:jc w:val="both"/>
              <w:rPr>
                <w:rFonts w:cstheme="minorHAnsi"/>
                <w:i/>
                <w:iCs/>
              </w:rPr>
            </w:pPr>
            <w:hyperlink r:id="rId13" w:history="1">
              <w:r w:rsidR="003126FD" w:rsidRPr="003126FD">
                <w:rPr>
                  <w:rStyle w:val="Hyperlink"/>
                  <w:rFonts w:cstheme="minorHAnsi"/>
                  <w:i/>
                  <w:iCs/>
                </w:rPr>
                <w:t>CWG-FHR 10/8</w:t>
              </w:r>
            </w:hyperlink>
            <w:r w:rsidR="003126FD" w:rsidRPr="003126FD">
              <w:rPr>
                <w:rFonts w:cstheme="minorHAnsi"/>
                <w:i/>
                <w:iCs/>
              </w:rPr>
              <w:t xml:space="preserve"> (Strengthening ITU Risk management framework), </w:t>
            </w:r>
            <w:hyperlink r:id="rId14" w:history="1">
              <w:r w:rsidR="003126FD" w:rsidRPr="003126FD">
                <w:rPr>
                  <w:rStyle w:val="Hyperlink"/>
                  <w:rFonts w:cstheme="minorHAnsi"/>
                  <w:i/>
                  <w:iCs/>
                </w:rPr>
                <w:t>C17/74</w:t>
              </w:r>
            </w:hyperlink>
            <w:r w:rsidR="003126FD" w:rsidRPr="003126FD">
              <w:rPr>
                <w:rFonts w:cstheme="minorHAnsi"/>
                <w:i/>
                <w:iCs/>
              </w:rPr>
              <w:t xml:space="preserve"> (ITU Risk management policy), </w:t>
            </w:r>
            <w:hyperlink r:id="rId15" w:history="1">
              <w:r w:rsidR="003126FD" w:rsidRPr="003126FD">
                <w:rPr>
                  <w:rStyle w:val="Hyperlink"/>
                  <w:rFonts w:cstheme="minorHAnsi"/>
                  <w:i/>
                  <w:iCs/>
                </w:rPr>
                <w:t>C17/73</w:t>
              </w:r>
            </w:hyperlink>
            <w:r w:rsidR="003126FD" w:rsidRPr="003126FD">
              <w:rPr>
                <w:rFonts w:cstheme="minorHAnsi"/>
                <w:i/>
                <w:iCs/>
              </w:rPr>
              <w:t xml:space="preserve"> (ITU risk appetite statement)</w:t>
            </w:r>
          </w:p>
        </w:tc>
      </w:tr>
    </w:tbl>
    <w:p w14:paraId="1E552B39" w14:textId="77777777" w:rsidR="00A172CD" w:rsidRPr="00A172CD" w:rsidRDefault="00A172CD" w:rsidP="00A172CD"/>
    <w:p w14:paraId="70573824" w14:textId="1FD2E60E" w:rsidR="003760DB" w:rsidRPr="008837A7" w:rsidRDefault="000A780C" w:rsidP="00B04853">
      <w:pPr>
        <w:pStyle w:val="Heading1"/>
        <w:snapToGrid w:val="0"/>
        <w:ind w:left="0" w:firstLine="0"/>
      </w:pPr>
      <w:r w:rsidRPr="008837A7">
        <w:lastRenderedPageBreak/>
        <w:t>Introduction</w:t>
      </w:r>
    </w:p>
    <w:p w14:paraId="12DDFA95" w14:textId="369FC283" w:rsidR="00A92633" w:rsidRPr="00EF7637" w:rsidRDefault="00A25464" w:rsidP="00B04853">
      <w:pPr>
        <w:pStyle w:val="ListParagraph"/>
        <w:snapToGrid w:val="0"/>
        <w:spacing w:after="120"/>
        <w:ind w:left="0"/>
        <w:jc w:val="both"/>
      </w:pPr>
      <w:r w:rsidRPr="008837A7">
        <w:rPr>
          <w:rFonts w:cstheme="minorHAnsi"/>
        </w:rPr>
        <w:t xml:space="preserve">The 2017 Session of Council </w:t>
      </w:r>
      <w:r w:rsidR="00382464" w:rsidRPr="008837A7">
        <w:rPr>
          <w:rFonts w:cstheme="minorHAnsi"/>
        </w:rPr>
        <w:t xml:space="preserve">adopted </w:t>
      </w:r>
      <w:r w:rsidRPr="008837A7">
        <w:rPr>
          <w:rFonts w:cstheme="minorHAnsi"/>
        </w:rPr>
        <w:t xml:space="preserve">documents </w:t>
      </w:r>
      <w:hyperlink r:id="rId16" w:history="1">
        <w:r w:rsidRPr="008837A7">
          <w:rPr>
            <w:rStyle w:val="Hyperlink"/>
            <w:rFonts w:cstheme="minorHAnsi"/>
          </w:rPr>
          <w:t>C17/74</w:t>
        </w:r>
      </w:hyperlink>
      <w:r w:rsidRPr="008837A7">
        <w:rPr>
          <w:rFonts w:cstheme="minorHAnsi"/>
        </w:rPr>
        <w:t xml:space="preserve"> (ITU Risk management policy) and </w:t>
      </w:r>
      <w:hyperlink r:id="rId17" w:history="1">
        <w:r w:rsidRPr="008837A7">
          <w:rPr>
            <w:rStyle w:val="Hyperlink"/>
            <w:rFonts w:cstheme="minorHAnsi"/>
          </w:rPr>
          <w:t>C17/73</w:t>
        </w:r>
      </w:hyperlink>
      <w:r w:rsidRPr="008837A7">
        <w:rPr>
          <w:rFonts w:cstheme="minorHAnsi"/>
        </w:rPr>
        <w:t xml:space="preserve"> (ITU risk appetite statement).</w:t>
      </w:r>
      <w:r w:rsidR="00A92633">
        <w:rPr>
          <w:rFonts w:cstheme="minorHAnsi"/>
        </w:rPr>
        <w:t xml:space="preserve"> </w:t>
      </w:r>
      <w:r w:rsidR="008837A7" w:rsidRPr="008837A7">
        <w:t xml:space="preserve">The </w:t>
      </w:r>
      <w:r w:rsidR="008837A7" w:rsidRPr="00A92633">
        <w:rPr>
          <w:i/>
          <w:iCs/>
        </w:rPr>
        <w:t>ITU Risk Management Policy</w:t>
      </w:r>
      <w:r w:rsidR="008837A7" w:rsidRPr="008837A7">
        <w:t xml:space="preserve"> outlines the ITU approach towards strategic and operational risks, and defines principles, risk categorization and assessment, monitoring and reviewing</w:t>
      </w:r>
      <w:r w:rsidR="00A172CD">
        <w:t>,</w:t>
      </w:r>
      <w:r w:rsidR="008837A7" w:rsidRPr="008837A7">
        <w:t xml:space="preserve"> and roles and responsibilities</w:t>
      </w:r>
      <w:r w:rsidR="00EF7637">
        <w:t xml:space="preserve"> in the risk management arrangement in the organization</w:t>
      </w:r>
      <w:r w:rsidR="008837A7" w:rsidRPr="008837A7">
        <w:t>.</w:t>
      </w:r>
      <w:r w:rsidR="00A92633">
        <w:t xml:space="preserve"> </w:t>
      </w:r>
      <w:r w:rsidR="008837A7" w:rsidRPr="008837A7">
        <w:rPr>
          <w:rFonts w:cstheme="minorHAnsi"/>
        </w:rPr>
        <w:t xml:space="preserve">The </w:t>
      </w:r>
      <w:r w:rsidR="008837A7" w:rsidRPr="00A92633">
        <w:rPr>
          <w:rFonts w:cstheme="minorHAnsi"/>
          <w:i/>
          <w:iCs/>
        </w:rPr>
        <w:t xml:space="preserve">ITU </w:t>
      </w:r>
      <w:r w:rsidR="008837A7" w:rsidRPr="008837A7">
        <w:rPr>
          <w:rFonts w:cstheme="minorHAnsi"/>
          <w:i/>
          <w:iCs/>
        </w:rPr>
        <w:t>Risk Appetite Statement</w:t>
      </w:r>
      <w:r w:rsidR="008837A7" w:rsidRPr="008837A7">
        <w:rPr>
          <w:rFonts w:cstheme="minorHAnsi"/>
        </w:rPr>
        <w:t xml:space="preserve"> illustrates the amount of risk ITU is willing to take to attain its goals and objective (e.g.: high appetite for risks related to innovation and technological advancement / no appetite</w:t>
      </w:r>
      <w:r w:rsidR="00EF7637">
        <w:rPr>
          <w:rFonts w:cstheme="minorHAnsi"/>
        </w:rPr>
        <w:t xml:space="preserve"> -i.e. </w:t>
      </w:r>
      <w:r w:rsidR="008837A7" w:rsidRPr="008837A7">
        <w:rPr>
          <w:rFonts w:cstheme="minorHAnsi"/>
        </w:rPr>
        <w:t>zero tolerance in the areas of fraud, corruption, illegal acts, and misconduct</w:t>
      </w:r>
      <w:r w:rsidR="00EF7637">
        <w:rPr>
          <w:rFonts w:cstheme="minorHAnsi"/>
        </w:rPr>
        <w:t>)</w:t>
      </w:r>
      <w:r w:rsidR="008837A7" w:rsidRPr="008837A7">
        <w:rPr>
          <w:rFonts w:cstheme="minorHAnsi"/>
        </w:rPr>
        <w:t>.</w:t>
      </w:r>
    </w:p>
    <w:p w14:paraId="38D1EDC2" w14:textId="42A579A9" w:rsidR="00EF7637" w:rsidRDefault="008837A7" w:rsidP="00B04853">
      <w:pPr>
        <w:pStyle w:val="ListParagraph"/>
        <w:snapToGrid w:val="0"/>
        <w:spacing w:after="120"/>
        <w:ind w:left="0"/>
        <w:jc w:val="both"/>
        <w:rPr>
          <w:rFonts w:cstheme="minorHAnsi"/>
        </w:rPr>
      </w:pPr>
      <w:r w:rsidRPr="008837A7">
        <w:rPr>
          <w:rFonts w:cstheme="minorHAnsi"/>
        </w:rPr>
        <w:t>The ITU Risk Management Policy states that it will be reviewed and updated to draw from emerging best practices and lessons learned every two years after its inception.</w:t>
      </w:r>
      <w:r w:rsidR="00EF7637">
        <w:rPr>
          <w:rFonts w:cstheme="minorHAnsi"/>
        </w:rPr>
        <w:t xml:space="preserve"> Following the 2019 Session of Council, the secretariat initiated a process to review and strengthen the risk management framework.</w:t>
      </w:r>
    </w:p>
    <w:p w14:paraId="233A3423" w14:textId="3FB9C38D" w:rsidR="00A25464" w:rsidRPr="008837A7" w:rsidRDefault="00A25464" w:rsidP="00B04853">
      <w:pPr>
        <w:pStyle w:val="Heading1"/>
        <w:snapToGrid w:val="0"/>
        <w:ind w:left="0" w:firstLine="0"/>
      </w:pPr>
      <w:r w:rsidRPr="008837A7">
        <w:t>Background</w:t>
      </w:r>
      <w:r w:rsidR="008837A7" w:rsidRPr="008837A7">
        <w:t xml:space="preserve"> – Developments at the UN level on Risk Management</w:t>
      </w:r>
    </w:p>
    <w:p w14:paraId="1AACC5B3" w14:textId="653A3A49" w:rsidR="00A25464" w:rsidRPr="00A172CD" w:rsidRDefault="00A25464" w:rsidP="00B04853">
      <w:pPr>
        <w:keepNext/>
        <w:keepLines/>
        <w:snapToGrid w:val="0"/>
        <w:spacing w:after="120"/>
        <w:jc w:val="both"/>
        <w:rPr>
          <w:rFonts w:cstheme="minorHAnsi"/>
        </w:rPr>
      </w:pPr>
      <w:r w:rsidRPr="00A172CD">
        <w:rPr>
          <w:rFonts w:cstheme="minorHAnsi"/>
        </w:rPr>
        <w:t xml:space="preserve">The High-Level Committee on Management (HLCM), at its </w:t>
      </w:r>
      <w:r w:rsidR="00A172CD">
        <w:rPr>
          <w:rFonts w:cstheme="minorHAnsi"/>
        </w:rPr>
        <w:t>37</w:t>
      </w:r>
      <w:r w:rsidR="00A172CD" w:rsidRPr="00B04853">
        <w:rPr>
          <w:rFonts w:cstheme="minorHAnsi"/>
        </w:rPr>
        <w:t>th</w:t>
      </w:r>
      <w:r w:rsidR="00EF7637">
        <w:rPr>
          <w:rFonts w:cstheme="minorHAnsi"/>
        </w:rPr>
        <w:t xml:space="preserve"> </w:t>
      </w:r>
      <w:r w:rsidRPr="00A172CD">
        <w:rPr>
          <w:rFonts w:cstheme="minorHAnsi"/>
        </w:rPr>
        <w:t xml:space="preserve">session, mandated a Cross-Functional Task Force on Risk Management to develop guidance for UN </w:t>
      </w:r>
      <w:r w:rsidR="009A704C" w:rsidRPr="00A172CD">
        <w:rPr>
          <w:rFonts w:cstheme="minorHAnsi"/>
        </w:rPr>
        <w:t>organizations</w:t>
      </w:r>
      <w:r w:rsidRPr="00A172CD">
        <w:rPr>
          <w:rFonts w:cstheme="minorHAnsi"/>
        </w:rPr>
        <w:t xml:space="preserve"> to truly embed risk management into their respective </w:t>
      </w:r>
      <w:r w:rsidR="009A704C" w:rsidRPr="00A172CD">
        <w:rPr>
          <w:rFonts w:cstheme="minorHAnsi"/>
        </w:rPr>
        <w:t>organization</w:t>
      </w:r>
      <w:r w:rsidRPr="00A172CD">
        <w:rPr>
          <w:rFonts w:cstheme="minorHAnsi"/>
        </w:rPr>
        <w:t xml:space="preserve">, including the benefits and practicalities of integrating with the </w:t>
      </w:r>
      <w:proofErr w:type="spellStart"/>
      <w:r w:rsidRPr="00A172CD">
        <w:rPr>
          <w:rFonts w:cstheme="minorHAnsi"/>
        </w:rPr>
        <w:t>programme</w:t>
      </w:r>
      <w:proofErr w:type="spellEnd"/>
      <w:r w:rsidR="00471063">
        <w:rPr>
          <w:rFonts w:cstheme="minorHAnsi"/>
        </w:rPr>
        <w:t xml:space="preserve">/project </w:t>
      </w:r>
      <w:r w:rsidRPr="00A172CD">
        <w:rPr>
          <w:rFonts w:cstheme="minorHAnsi"/>
        </w:rPr>
        <w:t>management cycle.</w:t>
      </w:r>
    </w:p>
    <w:p w14:paraId="0ED1DA97" w14:textId="07A17AB8" w:rsidR="00A172CD" w:rsidRPr="00A172CD" w:rsidRDefault="00A172CD" w:rsidP="00B04853">
      <w:pPr>
        <w:pStyle w:val="Heading2"/>
        <w:snapToGrid w:val="0"/>
        <w:spacing w:before="240" w:after="120"/>
        <w:ind w:left="0" w:firstLine="0"/>
      </w:pPr>
      <w:r w:rsidRPr="00A172CD">
        <w:lastRenderedPageBreak/>
        <w:t>Reference Maturity Model for Risk Management</w:t>
      </w:r>
    </w:p>
    <w:p w14:paraId="23BB885B" w14:textId="518A7CB3" w:rsidR="00A172CD" w:rsidRDefault="00A172CD" w:rsidP="00B04853">
      <w:pPr>
        <w:snapToGrid w:val="0"/>
        <w:spacing w:after="120"/>
        <w:jc w:val="both"/>
        <w:rPr>
          <w:rFonts w:cstheme="minorHAnsi"/>
        </w:rPr>
      </w:pPr>
      <w:r w:rsidRPr="00A172CD">
        <w:rPr>
          <w:rFonts w:cstheme="minorHAnsi"/>
        </w:rPr>
        <w:t xml:space="preserve">The HLCM endorsed </w:t>
      </w:r>
      <w:r>
        <w:rPr>
          <w:rFonts w:cstheme="minorHAnsi"/>
        </w:rPr>
        <w:t>a</w:t>
      </w:r>
      <w:r w:rsidRPr="00A172CD">
        <w:rPr>
          <w:rFonts w:cstheme="minorHAnsi"/>
        </w:rPr>
        <w:t xml:space="preserve"> R</w:t>
      </w:r>
      <w:r>
        <w:rPr>
          <w:rFonts w:cstheme="minorHAnsi"/>
        </w:rPr>
        <w:t xml:space="preserve">eference </w:t>
      </w:r>
      <w:r w:rsidRPr="00A172CD">
        <w:rPr>
          <w:rFonts w:cstheme="minorHAnsi"/>
        </w:rPr>
        <w:t>M</w:t>
      </w:r>
      <w:r>
        <w:rPr>
          <w:rFonts w:cstheme="minorHAnsi"/>
        </w:rPr>
        <w:t xml:space="preserve">aturity </w:t>
      </w:r>
      <w:r w:rsidRPr="00A172CD">
        <w:rPr>
          <w:rFonts w:cstheme="minorHAnsi"/>
        </w:rPr>
        <w:t>M</w:t>
      </w:r>
      <w:r>
        <w:rPr>
          <w:rFonts w:cstheme="minorHAnsi"/>
        </w:rPr>
        <w:t xml:space="preserve">odel for Risk Management </w:t>
      </w:r>
      <w:r w:rsidRPr="00A172CD">
        <w:rPr>
          <w:rFonts w:cstheme="minorHAnsi"/>
        </w:rPr>
        <w:t xml:space="preserve">at its </w:t>
      </w:r>
      <w:r>
        <w:rPr>
          <w:rFonts w:cstheme="minorHAnsi"/>
        </w:rPr>
        <w:t>38</w:t>
      </w:r>
      <w:r w:rsidRPr="00A172CD">
        <w:rPr>
          <w:rFonts w:cstheme="minorHAnsi"/>
          <w:vertAlign w:val="superscript"/>
        </w:rPr>
        <w:t>th</w:t>
      </w:r>
      <w:r>
        <w:rPr>
          <w:rFonts w:cstheme="minorHAnsi"/>
        </w:rPr>
        <w:t xml:space="preserve"> </w:t>
      </w:r>
      <w:r w:rsidRPr="00A172CD">
        <w:rPr>
          <w:rFonts w:cstheme="minorHAnsi"/>
        </w:rPr>
        <w:t>session, which identified six dimensions of risk maturity (</w:t>
      </w:r>
      <w:r w:rsidR="00A92633">
        <w:rPr>
          <w:rFonts w:cstheme="minorHAnsi"/>
        </w:rPr>
        <w:t>Enterprise Risk Management</w:t>
      </w:r>
      <w:r w:rsidRPr="00A172CD">
        <w:rPr>
          <w:rFonts w:cstheme="minorHAnsi"/>
        </w:rPr>
        <w:t xml:space="preserve"> Framework and Policy, Governance and </w:t>
      </w:r>
      <w:r w:rsidR="009A704C" w:rsidRPr="00A172CD">
        <w:rPr>
          <w:rFonts w:cstheme="minorHAnsi"/>
        </w:rPr>
        <w:t>Organizational</w:t>
      </w:r>
      <w:r w:rsidRPr="00A172CD">
        <w:rPr>
          <w:rFonts w:cstheme="minorHAnsi"/>
        </w:rPr>
        <w:t xml:space="preserve"> Structure, Process and Integration, Systems and Tools, Risk Capabilities, and Risk Culture) each of which could be rated against a five </w:t>
      </w:r>
      <w:r w:rsidR="00A92633">
        <w:rPr>
          <w:rFonts w:cstheme="minorHAnsi"/>
        </w:rPr>
        <w:t>level</w:t>
      </w:r>
      <w:r w:rsidRPr="00A172CD">
        <w:rPr>
          <w:rFonts w:cstheme="minorHAnsi"/>
        </w:rPr>
        <w:t xml:space="preserve"> maturity scale (Initial, Developing, Established, Advanced or Leading).</w:t>
      </w:r>
    </w:p>
    <w:p w14:paraId="7D7075C6" w14:textId="78360C9F" w:rsidR="00A92633" w:rsidRDefault="00A92633" w:rsidP="00B04853">
      <w:pPr>
        <w:snapToGrid w:val="0"/>
        <w:spacing w:after="120"/>
        <w:jc w:val="both"/>
        <w:rPr>
          <w:rFonts w:cstheme="minorHAnsi"/>
        </w:rPr>
      </w:pPr>
      <w:r>
        <w:rPr>
          <w:rFonts w:cstheme="minorHAnsi"/>
        </w:rPr>
        <w:t>The dimensions of the Risk Maturity Model</w:t>
      </w:r>
      <w:r w:rsidR="00B04853">
        <w:rPr>
          <w:rFonts w:cstheme="minorHAnsi"/>
        </w:rPr>
        <w:t xml:space="preserve"> (RMM)</w:t>
      </w:r>
      <w:bookmarkStart w:id="6" w:name="_GoBack"/>
      <w:bookmarkEnd w:id="6"/>
      <w:r>
        <w:rPr>
          <w:rFonts w:cstheme="minorHAnsi"/>
        </w:rPr>
        <w:t xml:space="preserve"> include:</w:t>
      </w:r>
    </w:p>
    <w:p w14:paraId="6ACB86E2" w14:textId="4DFC0B91" w:rsidR="00A92633" w:rsidRDefault="00A92633" w:rsidP="00B04853">
      <w:pPr>
        <w:pStyle w:val="ListParagraph"/>
        <w:numPr>
          <w:ilvl w:val="0"/>
          <w:numId w:val="18"/>
        </w:numPr>
        <w:snapToGrid w:val="0"/>
        <w:spacing w:after="120"/>
        <w:jc w:val="both"/>
        <w:rPr>
          <w:rFonts w:cstheme="minorHAnsi"/>
        </w:rPr>
      </w:pPr>
      <w:r w:rsidRPr="00A92633">
        <w:rPr>
          <w:rFonts w:cstheme="minorHAnsi"/>
          <w:b/>
          <w:bCs/>
        </w:rPr>
        <w:t>Enterprise Risk Management (ERM) Framework and Policy</w:t>
      </w:r>
      <w:r w:rsidRPr="00A92633">
        <w:rPr>
          <w:rFonts w:cstheme="minorHAnsi"/>
        </w:rPr>
        <w:t xml:space="preserve">: the collection of policies, procedures and other documents that together describe how the </w:t>
      </w:r>
      <w:r w:rsidR="009A704C" w:rsidRPr="00A92633">
        <w:rPr>
          <w:rFonts w:cstheme="minorHAnsi"/>
        </w:rPr>
        <w:t>organization</w:t>
      </w:r>
      <w:r w:rsidRPr="00A92633">
        <w:rPr>
          <w:rFonts w:cstheme="minorHAnsi"/>
        </w:rPr>
        <w:t xml:space="preserve"> undertakes its risk management</w:t>
      </w:r>
      <w:r w:rsidR="009A704C">
        <w:rPr>
          <w:rFonts w:cstheme="minorHAnsi"/>
        </w:rPr>
        <w:t>;</w:t>
      </w:r>
    </w:p>
    <w:p w14:paraId="62FBB876" w14:textId="665FDF2B" w:rsidR="00A92633" w:rsidRDefault="00A92633" w:rsidP="00B04853">
      <w:pPr>
        <w:pStyle w:val="ListParagraph"/>
        <w:numPr>
          <w:ilvl w:val="0"/>
          <w:numId w:val="18"/>
        </w:numPr>
        <w:snapToGrid w:val="0"/>
        <w:spacing w:after="120"/>
        <w:jc w:val="both"/>
        <w:rPr>
          <w:rFonts w:cstheme="minorHAnsi"/>
        </w:rPr>
      </w:pPr>
      <w:r w:rsidRPr="00A92633">
        <w:rPr>
          <w:rFonts w:cstheme="minorHAnsi"/>
          <w:b/>
          <w:bCs/>
        </w:rPr>
        <w:t xml:space="preserve">Governance and </w:t>
      </w:r>
      <w:r w:rsidR="009A704C">
        <w:rPr>
          <w:rFonts w:cstheme="minorHAnsi"/>
          <w:b/>
          <w:bCs/>
        </w:rPr>
        <w:t>O</w:t>
      </w:r>
      <w:r w:rsidR="009A704C" w:rsidRPr="00A92633">
        <w:rPr>
          <w:rFonts w:cstheme="minorHAnsi"/>
          <w:b/>
          <w:bCs/>
        </w:rPr>
        <w:t>rganizational</w:t>
      </w:r>
      <w:r w:rsidRPr="00A92633">
        <w:rPr>
          <w:rFonts w:cstheme="minorHAnsi"/>
          <w:b/>
          <w:bCs/>
        </w:rPr>
        <w:t xml:space="preserve"> Structure</w:t>
      </w:r>
      <w:r w:rsidRPr="00A92633">
        <w:rPr>
          <w:rFonts w:cstheme="minorHAnsi"/>
        </w:rPr>
        <w:t xml:space="preserve">: the internal risk governance structure, the appropriate delegated authority, roles and responsibilities, and </w:t>
      </w:r>
      <w:r w:rsidR="009A704C" w:rsidRPr="00A92633">
        <w:rPr>
          <w:rFonts w:cstheme="minorHAnsi"/>
        </w:rPr>
        <w:t>organizational</w:t>
      </w:r>
      <w:r w:rsidRPr="00A92633">
        <w:rPr>
          <w:rFonts w:cstheme="minorHAnsi"/>
        </w:rPr>
        <w:t xml:space="preserve"> entities to assure the effective management of risk</w:t>
      </w:r>
      <w:r w:rsidR="009A704C">
        <w:rPr>
          <w:rFonts w:cstheme="minorHAnsi"/>
        </w:rPr>
        <w:t>;</w:t>
      </w:r>
    </w:p>
    <w:p w14:paraId="7238F549" w14:textId="48D82553" w:rsidR="00A92633" w:rsidRDefault="00A92633" w:rsidP="00B04853">
      <w:pPr>
        <w:pStyle w:val="ListParagraph"/>
        <w:numPr>
          <w:ilvl w:val="0"/>
          <w:numId w:val="18"/>
        </w:numPr>
        <w:snapToGrid w:val="0"/>
        <w:spacing w:after="120"/>
        <w:jc w:val="both"/>
        <w:rPr>
          <w:rFonts w:cstheme="minorHAnsi"/>
        </w:rPr>
      </w:pPr>
      <w:r w:rsidRPr="00A92633">
        <w:rPr>
          <w:rFonts w:cstheme="minorHAnsi"/>
          <w:b/>
          <w:bCs/>
        </w:rPr>
        <w:t>Process and Integration</w:t>
      </w:r>
      <w:r w:rsidRPr="00A92633">
        <w:rPr>
          <w:rFonts w:cstheme="minorHAnsi"/>
        </w:rPr>
        <w:t xml:space="preserve">: Process ensures that risks and opportunities that may affect the delivery of </w:t>
      </w:r>
      <w:r w:rsidR="009A704C" w:rsidRPr="00A92633">
        <w:rPr>
          <w:rFonts w:cstheme="minorHAnsi"/>
        </w:rPr>
        <w:t>organizational</w:t>
      </w:r>
      <w:r w:rsidRPr="00A92633">
        <w:rPr>
          <w:rFonts w:cstheme="minorHAnsi"/>
        </w:rPr>
        <w:t xml:space="preserve"> results are effectively identified, assessed, responded to, communi</w:t>
      </w:r>
      <w:r w:rsidRPr="00A92633">
        <w:rPr>
          <w:rFonts w:cstheme="minorHAnsi"/>
        </w:rPr>
        <w:lastRenderedPageBreak/>
        <w:t xml:space="preserve">cated and monitored as per the ERM framework. Integration ensures that the interaction/interlinkages with related risk sub-processes or other </w:t>
      </w:r>
      <w:r w:rsidR="009A704C" w:rsidRPr="00A92633">
        <w:rPr>
          <w:rFonts w:cstheme="minorHAnsi"/>
        </w:rPr>
        <w:t>organizational</w:t>
      </w:r>
      <w:r w:rsidRPr="00A92633">
        <w:rPr>
          <w:rFonts w:cstheme="minorHAnsi"/>
        </w:rPr>
        <w:t xml:space="preserve"> processes are clearly established</w:t>
      </w:r>
      <w:r w:rsidR="009A704C">
        <w:rPr>
          <w:rFonts w:cstheme="minorHAnsi"/>
        </w:rPr>
        <w:t>;</w:t>
      </w:r>
    </w:p>
    <w:p w14:paraId="537AE8B1" w14:textId="700B76BB" w:rsidR="00A92633" w:rsidRDefault="00A92633" w:rsidP="00B04853">
      <w:pPr>
        <w:pStyle w:val="ListParagraph"/>
        <w:numPr>
          <w:ilvl w:val="0"/>
          <w:numId w:val="18"/>
        </w:numPr>
        <w:snapToGrid w:val="0"/>
        <w:spacing w:after="120"/>
        <w:jc w:val="both"/>
        <w:rPr>
          <w:rFonts w:cstheme="minorHAnsi"/>
        </w:rPr>
      </w:pPr>
      <w:r w:rsidRPr="00A92633">
        <w:rPr>
          <w:rFonts w:cstheme="minorHAnsi"/>
          <w:b/>
          <w:bCs/>
        </w:rPr>
        <w:t>Systems and Tools</w:t>
      </w:r>
      <w:r w:rsidRPr="00A92633">
        <w:rPr>
          <w:rFonts w:cstheme="minorHAnsi"/>
        </w:rPr>
        <w:t xml:space="preserve">: the IT components used to record, </w:t>
      </w:r>
      <w:r w:rsidR="009A704C" w:rsidRPr="00A92633">
        <w:rPr>
          <w:rFonts w:cstheme="minorHAnsi"/>
        </w:rPr>
        <w:t>analyze</w:t>
      </w:r>
      <w:r w:rsidRPr="00A92633">
        <w:rPr>
          <w:rFonts w:cstheme="minorHAnsi"/>
        </w:rPr>
        <w:t>, integrate and communicate/report on risk information</w:t>
      </w:r>
      <w:r w:rsidR="00A17A99">
        <w:rPr>
          <w:rFonts w:cstheme="minorHAnsi"/>
        </w:rPr>
        <w:t>;</w:t>
      </w:r>
    </w:p>
    <w:p w14:paraId="2E5C5C58" w14:textId="2D96A7AF" w:rsidR="00A92633" w:rsidRDefault="00A92633" w:rsidP="00B04853">
      <w:pPr>
        <w:pStyle w:val="ListParagraph"/>
        <w:numPr>
          <w:ilvl w:val="0"/>
          <w:numId w:val="18"/>
        </w:numPr>
        <w:snapToGrid w:val="0"/>
        <w:spacing w:after="120"/>
        <w:jc w:val="both"/>
        <w:rPr>
          <w:rFonts w:cstheme="minorHAnsi"/>
        </w:rPr>
      </w:pPr>
      <w:r w:rsidRPr="00A92633">
        <w:rPr>
          <w:rFonts w:cstheme="minorHAnsi"/>
          <w:b/>
          <w:bCs/>
        </w:rPr>
        <w:t>Risk Capabilities</w:t>
      </w:r>
      <w:r w:rsidRPr="00A92633">
        <w:rPr>
          <w:rFonts w:cstheme="minorHAnsi"/>
        </w:rPr>
        <w:t xml:space="preserve">: the skills, ability, knowledge and capacity that an </w:t>
      </w:r>
      <w:r w:rsidR="009A704C" w:rsidRPr="00A92633">
        <w:rPr>
          <w:rFonts w:cstheme="minorHAnsi"/>
        </w:rPr>
        <w:t>organization</w:t>
      </w:r>
      <w:r w:rsidRPr="00A92633">
        <w:rPr>
          <w:rFonts w:cstheme="minorHAnsi"/>
        </w:rPr>
        <w:t xml:space="preserve"> has to effectively manage risks to delivery of its results</w:t>
      </w:r>
      <w:r w:rsidR="00A17A99">
        <w:rPr>
          <w:rFonts w:cstheme="minorHAnsi"/>
        </w:rPr>
        <w:t>;</w:t>
      </w:r>
    </w:p>
    <w:p w14:paraId="37A6E1C4" w14:textId="07ABB6E9" w:rsidR="00A92633" w:rsidRPr="00A92633" w:rsidRDefault="00A92633" w:rsidP="00B04853">
      <w:pPr>
        <w:pStyle w:val="ListParagraph"/>
        <w:numPr>
          <w:ilvl w:val="0"/>
          <w:numId w:val="18"/>
        </w:numPr>
        <w:snapToGrid w:val="0"/>
        <w:spacing w:after="120"/>
        <w:jc w:val="both"/>
        <w:rPr>
          <w:rFonts w:cstheme="minorHAnsi"/>
        </w:rPr>
      </w:pPr>
      <w:r w:rsidRPr="00A92633">
        <w:rPr>
          <w:rFonts w:cstheme="minorHAnsi"/>
          <w:b/>
          <w:bCs/>
        </w:rPr>
        <w:t>Risk Culture</w:t>
      </w:r>
      <w:r w:rsidRPr="00A92633">
        <w:rPr>
          <w:rFonts w:cstheme="minorHAnsi"/>
        </w:rPr>
        <w:t xml:space="preserve">: evidenced by the shared values, beliefs, and </w:t>
      </w:r>
      <w:r w:rsidR="009A704C" w:rsidRPr="00A92633">
        <w:rPr>
          <w:rFonts w:cstheme="minorHAnsi"/>
        </w:rPr>
        <w:t>behaviors</w:t>
      </w:r>
      <w:r w:rsidRPr="00A92633">
        <w:rPr>
          <w:rFonts w:cstheme="minorHAnsi"/>
        </w:rPr>
        <w:t xml:space="preserve"> of the staff and senior management, together with the </w:t>
      </w:r>
      <w:r w:rsidR="009A704C" w:rsidRPr="00A92633">
        <w:rPr>
          <w:rFonts w:cstheme="minorHAnsi"/>
        </w:rPr>
        <w:t>organization’s</w:t>
      </w:r>
      <w:r w:rsidRPr="00A92633">
        <w:rPr>
          <w:rFonts w:cstheme="minorHAnsi"/>
        </w:rPr>
        <w:t xml:space="preserve"> demonstrated attitude to risk</w:t>
      </w:r>
      <w:r>
        <w:rPr>
          <w:rFonts w:cstheme="minorHAnsi"/>
        </w:rPr>
        <w:t>.</w:t>
      </w:r>
    </w:p>
    <w:p w14:paraId="747C14E9" w14:textId="4480F486" w:rsidR="00A172CD" w:rsidRDefault="00A92633" w:rsidP="00B04853">
      <w:pPr>
        <w:snapToGrid w:val="0"/>
        <w:spacing w:after="120"/>
        <w:jc w:val="both"/>
        <w:rPr>
          <w:rFonts w:cstheme="minorHAnsi"/>
        </w:rPr>
      </w:pPr>
      <w:r>
        <w:rPr>
          <w:rFonts w:cstheme="minorHAnsi"/>
        </w:rPr>
        <w:t>T</w:t>
      </w:r>
      <w:r w:rsidR="00A172CD" w:rsidRPr="00A172CD">
        <w:rPr>
          <w:rFonts w:cstheme="minorHAnsi"/>
        </w:rPr>
        <w:t xml:space="preserve">he RMM provides a framework for evidence-based self-assessment. Through a gap analysis, </w:t>
      </w:r>
      <w:r w:rsidR="009A704C" w:rsidRPr="00A172CD">
        <w:rPr>
          <w:rFonts w:cstheme="minorHAnsi"/>
        </w:rPr>
        <w:t>organizations</w:t>
      </w:r>
      <w:r w:rsidR="00A172CD" w:rsidRPr="00A172CD">
        <w:rPr>
          <w:rFonts w:cstheme="minorHAnsi"/>
        </w:rPr>
        <w:t xml:space="preserve"> can then develop a roadmap to reach their target state. The approaches described in this document necessarily have dependencies on other elements from the RMM, such as culture, capacity (tools/knowledge, expertise, time), tone at the top, learning and continuous improvement.</w:t>
      </w:r>
    </w:p>
    <w:p w14:paraId="6B9C108E" w14:textId="69A4F41E" w:rsidR="00A92633" w:rsidRPr="00A172CD" w:rsidRDefault="00B04853" w:rsidP="00B04853">
      <w:pPr>
        <w:pStyle w:val="Heading2"/>
        <w:snapToGrid w:val="0"/>
        <w:spacing w:before="240" w:after="120"/>
        <w:ind w:left="0" w:firstLine="0"/>
      </w:pPr>
      <w:r>
        <w:t>Self-assessment</w:t>
      </w:r>
      <w:r w:rsidR="00A92633">
        <w:t xml:space="preserve"> and roadmap</w:t>
      </w:r>
    </w:p>
    <w:p w14:paraId="5D33FB9D" w14:textId="5E09E392" w:rsidR="00A92633" w:rsidRDefault="00A92633" w:rsidP="00B04853">
      <w:pPr>
        <w:snapToGrid w:val="0"/>
        <w:spacing w:after="120"/>
        <w:jc w:val="both"/>
        <w:rPr>
          <w:rFonts w:cstheme="minorHAnsi"/>
        </w:rPr>
      </w:pPr>
      <w:r>
        <w:rPr>
          <w:rFonts w:cstheme="minorHAnsi"/>
        </w:rPr>
        <w:t xml:space="preserve">The Secretariat presented in </w:t>
      </w:r>
      <w:hyperlink r:id="rId18" w:history="1">
        <w:r w:rsidRPr="00A92633">
          <w:rPr>
            <w:rStyle w:val="Hyperlink"/>
            <w:rFonts w:cstheme="minorHAnsi"/>
          </w:rPr>
          <w:t>CWG-FHR 10/8</w:t>
        </w:r>
      </w:hyperlink>
      <w:r>
        <w:rPr>
          <w:rFonts w:cstheme="minorHAnsi"/>
          <w:u w:val="single"/>
        </w:rPr>
        <w:t xml:space="preserve"> </w:t>
      </w:r>
      <w:r>
        <w:rPr>
          <w:rFonts w:cstheme="minorHAnsi"/>
        </w:rPr>
        <w:t>the recommended actions and high level roadmap to be implemented at the ITU, in order to advance in the RMM and improve the risk management arrangements in the organization (see figure below).</w:t>
      </w:r>
    </w:p>
    <w:p w14:paraId="2E48A2C2" w14:textId="6194BD21" w:rsidR="00A92633" w:rsidRDefault="00A92633" w:rsidP="00A92633">
      <w:pPr>
        <w:spacing w:after="120"/>
        <w:jc w:val="both"/>
        <w:rPr>
          <w:rFonts w:cstheme="minorHAnsi"/>
        </w:rPr>
      </w:pPr>
      <w:r w:rsidRPr="00A25464">
        <w:rPr>
          <w:noProof/>
          <w:lang w:val="en-GB"/>
        </w:rPr>
        <w:lastRenderedPageBreak/>
        <w:drawing>
          <wp:inline distT="0" distB="0" distL="0" distR="0" wp14:anchorId="04762033" wp14:editId="1A14F122">
            <wp:extent cx="6189345" cy="3019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3555" b="2490"/>
                    <a:stretch/>
                  </pic:blipFill>
                  <pic:spPr bwMode="auto">
                    <a:xfrm>
                      <a:off x="0" y="0"/>
                      <a:ext cx="6189345" cy="3019425"/>
                    </a:xfrm>
                    <a:prstGeom prst="rect">
                      <a:avLst/>
                    </a:prstGeom>
                    <a:noFill/>
                    <a:ln>
                      <a:noFill/>
                    </a:ln>
                    <a:extLst>
                      <a:ext uri="{53640926-AAD7-44D8-BBD7-CCE9431645EC}">
                        <a14:shadowObscured xmlns:a14="http://schemas.microsoft.com/office/drawing/2010/main"/>
                      </a:ext>
                    </a:extLst>
                  </pic:spPr>
                </pic:pic>
              </a:graphicData>
            </a:graphic>
          </wp:inline>
        </w:drawing>
      </w:r>
    </w:p>
    <w:p w14:paraId="400FC0E6" w14:textId="2EA1EA54" w:rsidR="00420B01" w:rsidRDefault="00A25464" w:rsidP="00B04853">
      <w:pPr>
        <w:pStyle w:val="Heading1"/>
        <w:spacing w:before="360"/>
        <w:ind w:left="0" w:firstLine="0"/>
      </w:pPr>
      <w:r w:rsidRPr="00A92633">
        <w:t>Action plan to strengthen ITU risk management framework</w:t>
      </w:r>
    </w:p>
    <w:p w14:paraId="679CE90D" w14:textId="54E705E4" w:rsidR="00A17A99" w:rsidRDefault="00A17A99" w:rsidP="00A17A99">
      <w:pPr>
        <w:spacing w:after="120"/>
        <w:jc w:val="both"/>
        <w:rPr>
          <w:rFonts w:cstheme="minorHAnsi"/>
        </w:rPr>
      </w:pPr>
      <w:r>
        <w:rPr>
          <w:rFonts w:cstheme="minorHAnsi"/>
        </w:rPr>
        <w:t xml:space="preserve">Based on the document presented to CWG-FHR and </w:t>
      </w:r>
      <w:r w:rsidR="00B37350">
        <w:rPr>
          <w:rFonts w:cstheme="minorHAnsi"/>
        </w:rPr>
        <w:t>considering</w:t>
      </w:r>
      <w:r>
        <w:rPr>
          <w:rFonts w:cstheme="minorHAnsi"/>
        </w:rPr>
        <w:t xml:space="preserve"> the contribution</w:t>
      </w:r>
      <w:r w:rsidR="00471063">
        <w:rPr>
          <w:rFonts w:cstheme="minorHAnsi"/>
        </w:rPr>
        <w:t xml:space="preserve">s and feedback </w:t>
      </w:r>
      <w:r>
        <w:rPr>
          <w:rFonts w:cstheme="minorHAnsi"/>
        </w:rPr>
        <w:t xml:space="preserve">from Member States, the following </w:t>
      </w:r>
      <w:r w:rsidR="00570622">
        <w:rPr>
          <w:rFonts w:cstheme="minorHAnsi"/>
        </w:rPr>
        <w:t xml:space="preserve">detailed </w:t>
      </w:r>
      <w:r>
        <w:rPr>
          <w:rFonts w:cstheme="minorHAnsi"/>
        </w:rPr>
        <w:t>action plan has been developed</w:t>
      </w:r>
      <w:r w:rsidR="00CD4665">
        <w:rPr>
          <w:rFonts w:cstheme="minorHAnsi"/>
        </w:rPr>
        <w:t>.</w:t>
      </w:r>
    </w:p>
    <w:tbl>
      <w:tblPr>
        <w:tblStyle w:val="ListTable1Light-Accent1"/>
        <w:tblW w:w="0" w:type="auto"/>
        <w:tblLook w:val="04A0" w:firstRow="1" w:lastRow="0" w:firstColumn="1" w:lastColumn="0" w:noHBand="0" w:noVBand="1"/>
      </w:tblPr>
      <w:tblGrid>
        <w:gridCol w:w="7830"/>
        <w:gridCol w:w="1907"/>
      </w:tblGrid>
      <w:tr w:rsidR="00A92633" w14:paraId="29F66C76" w14:textId="77777777" w:rsidTr="00293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22797CF8" w14:textId="0A98E4EB" w:rsidR="00A92633" w:rsidRDefault="00293ADB" w:rsidP="001A6185">
            <w:pPr>
              <w:jc w:val="both"/>
              <w:rPr>
                <w:rFonts w:cstheme="minorHAnsi"/>
              </w:rPr>
            </w:pPr>
            <w:r>
              <w:rPr>
                <w:rFonts w:cstheme="minorHAnsi"/>
              </w:rPr>
              <w:t>Action item / proposed approach</w:t>
            </w:r>
          </w:p>
        </w:tc>
        <w:tc>
          <w:tcPr>
            <w:tcW w:w="1907" w:type="dxa"/>
          </w:tcPr>
          <w:p w14:paraId="29BBF017" w14:textId="16E721BD" w:rsidR="00A92633" w:rsidRDefault="00293ADB" w:rsidP="001A6185">
            <w:pPr>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Timeline</w:t>
            </w:r>
          </w:p>
        </w:tc>
      </w:tr>
      <w:tr w:rsidR="00A92633" w14:paraId="39A0EE12" w14:textId="77777777" w:rsidTr="0029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4D4CB42C" w14:textId="0F4E2B4C" w:rsidR="00293ADB" w:rsidRPr="00293ADB" w:rsidRDefault="00D02AE5" w:rsidP="00293ADB">
            <w:pPr>
              <w:numPr>
                <w:ilvl w:val="0"/>
                <w:numId w:val="20"/>
              </w:numPr>
              <w:spacing w:before="0"/>
              <w:ind w:left="360"/>
              <w:textAlignment w:val="center"/>
              <w:rPr>
                <w:rFonts w:ascii="Calibri" w:eastAsia="Times New Roman" w:hAnsi="Calibri" w:cs="Calibri"/>
                <w:lang w:eastAsia="en-US"/>
              </w:rPr>
            </w:pPr>
            <w:r>
              <w:rPr>
                <w:rFonts w:ascii="Calibri" w:eastAsia="Times New Roman" w:hAnsi="Calibri" w:cs="Calibri"/>
                <w:color w:val="000000"/>
                <w:lang w:eastAsia="en-US"/>
              </w:rPr>
              <w:t>A</w:t>
            </w:r>
            <w:r w:rsidR="00293ADB">
              <w:rPr>
                <w:rFonts w:ascii="Calibri" w:eastAsia="Times New Roman" w:hAnsi="Calibri" w:cs="Calibri"/>
                <w:color w:val="000000"/>
                <w:lang w:eastAsia="en-US"/>
              </w:rPr>
              <w:t>ll</w:t>
            </w:r>
            <w:r w:rsidR="00293ADB" w:rsidRPr="00293ADB">
              <w:rPr>
                <w:rFonts w:ascii="Calibri" w:eastAsia="Times New Roman" w:hAnsi="Calibri" w:cs="Calibri"/>
                <w:color w:val="000000"/>
                <w:lang w:val="en-GB" w:eastAsia="en-US"/>
              </w:rPr>
              <w:t xml:space="preserve"> or</w:t>
            </w:r>
            <w:r w:rsidR="00293ADB">
              <w:rPr>
                <w:rFonts w:ascii="Calibri" w:eastAsia="Times New Roman" w:hAnsi="Calibri" w:cs="Calibri"/>
                <w:color w:val="000000"/>
                <w:lang w:val="en-GB" w:eastAsia="en-US"/>
              </w:rPr>
              <w:t>ganizational and</w:t>
            </w:r>
            <w:r w:rsidR="00293ADB" w:rsidRPr="00293ADB">
              <w:rPr>
                <w:rFonts w:ascii="Calibri" w:eastAsia="Times New Roman" w:hAnsi="Calibri" w:cs="Calibri"/>
                <w:color w:val="000000"/>
                <w:lang w:val="en-GB" w:eastAsia="en-US"/>
              </w:rPr>
              <w:t xml:space="preserve"> operational entities </w:t>
            </w:r>
            <w:r>
              <w:rPr>
                <w:rFonts w:ascii="Calibri" w:eastAsia="Times New Roman" w:hAnsi="Calibri" w:cs="Calibri"/>
                <w:color w:val="000000"/>
                <w:lang w:val="en-GB" w:eastAsia="en-US"/>
              </w:rPr>
              <w:t xml:space="preserve">to be </w:t>
            </w:r>
            <w:r w:rsidR="00293ADB" w:rsidRPr="00293ADB">
              <w:rPr>
                <w:rFonts w:ascii="Calibri" w:eastAsia="Times New Roman" w:hAnsi="Calibri" w:cs="Calibri"/>
                <w:color w:val="000000"/>
                <w:lang w:val="en-GB" w:eastAsia="en-US"/>
              </w:rPr>
              <w:t>involved in Risk Management</w:t>
            </w:r>
          </w:p>
          <w:p w14:paraId="12A8E0D7" w14:textId="437794C9" w:rsidR="00293ADB" w:rsidRPr="00293ADB" w:rsidRDefault="00293ADB" w:rsidP="00293ADB">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Risk management will be integrated in the business processes of al</w:t>
            </w:r>
            <w:r w:rsidRPr="00293ADB">
              <w:rPr>
                <w:rFonts w:ascii="Calibri" w:eastAsia="Times New Roman" w:hAnsi="Calibri" w:cs="Calibri"/>
                <w:b w:val="0"/>
                <w:bCs w:val="0"/>
                <w:lang w:val="en-GB" w:eastAsia="en-US"/>
              </w:rPr>
              <w:t xml:space="preserve">l </w:t>
            </w:r>
            <w:r>
              <w:rPr>
                <w:rFonts w:ascii="Calibri" w:eastAsia="Times New Roman" w:hAnsi="Calibri" w:cs="Calibri"/>
                <w:b w:val="0"/>
                <w:bCs w:val="0"/>
                <w:lang w:val="en-GB" w:eastAsia="en-US"/>
              </w:rPr>
              <w:t xml:space="preserve">organizational entities, including </w:t>
            </w:r>
            <w:r w:rsidR="00570622">
              <w:rPr>
                <w:rFonts w:ascii="Calibri" w:eastAsia="Times New Roman" w:hAnsi="Calibri" w:cs="Calibri"/>
                <w:b w:val="0"/>
                <w:bCs w:val="0"/>
                <w:lang w:val="en-GB" w:eastAsia="en-US"/>
              </w:rPr>
              <w:t xml:space="preserve">the 3 </w:t>
            </w:r>
            <w:r>
              <w:rPr>
                <w:rFonts w:ascii="Calibri" w:eastAsia="Times New Roman" w:hAnsi="Calibri" w:cs="Calibri"/>
                <w:b w:val="0"/>
                <w:bCs w:val="0"/>
                <w:lang w:val="en-GB" w:eastAsia="en-US"/>
              </w:rPr>
              <w:t xml:space="preserve">Bureaux and </w:t>
            </w:r>
            <w:r w:rsidR="00570622">
              <w:rPr>
                <w:rFonts w:ascii="Calibri" w:eastAsia="Times New Roman" w:hAnsi="Calibri" w:cs="Calibri"/>
                <w:b w:val="0"/>
                <w:bCs w:val="0"/>
                <w:lang w:val="en-GB" w:eastAsia="en-US"/>
              </w:rPr>
              <w:t xml:space="preserve">the </w:t>
            </w:r>
            <w:r>
              <w:rPr>
                <w:rFonts w:ascii="Calibri" w:eastAsia="Times New Roman" w:hAnsi="Calibri" w:cs="Calibri"/>
                <w:b w:val="0"/>
                <w:bCs w:val="0"/>
                <w:lang w:val="en-GB" w:eastAsia="en-US"/>
              </w:rPr>
              <w:t xml:space="preserve">General Secretariat, </w:t>
            </w:r>
            <w:r w:rsidR="00570622">
              <w:rPr>
                <w:rFonts w:ascii="Calibri" w:eastAsia="Times New Roman" w:hAnsi="Calibri" w:cs="Calibri"/>
                <w:b w:val="0"/>
                <w:bCs w:val="0"/>
                <w:lang w:val="en-GB" w:eastAsia="en-US"/>
              </w:rPr>
              <w:t xml:space="preserve">the </w:t>
            </w:r>
            <w:r w:rsidRPr="00293ADB">
              <w:rPr>
                <w:rFonts w:ascii="Calibri" w:eastAsia="Times New Roman" w:hAnsi="Calibri" w:cs="Calibri"/>
                <w:b w:val="0"/>
                <w:bCs w:val="0"/>
                <w:lang w:val="en-GB" w:eastAsia="en-US"/>
              </w:rPr>
              <w:t xml:space="preserve">programmes and projects, </w:t>
            </w:r>
            <w:r w:rsidR="00A17A99">
              <w:rPr>
                <w:rFonts w:ascii="Calibri" w:eastAsia="Times New Roman" w:hAnsi="Calibri" w:cs="Calibri"/>
                <w:b w:val="0"/>
                <w:bCs w:val="0"/>
                <w:lang w:val="en-GB" w:eastAsia="en-US"/>
              </w:rPr>
              <w:t xml:space="preserve">ITU Headquarters </w:t>
            </w:r>
            <w:r>
              <w:rPr>
                <w:rFonts w:ascii="Calibri" w:eastAsia="Times New Roman" w:hAnsi="Calibri" w:cs="Calibri"/>
                <w:b w:val="0"/>
                <w:bCs w:val="0"/>
                <w:lang w:val="en-GB" w:eastAsia="en-US"/>
              </w:rPr>
              <w:t>and Regional</w:t>
            </w:r>
            <w:r w:rsidR="00570622">
              <w:rPr>
                <w:rFonts w:ascii="Calibri" w:eastAsia="Times New Roman" w:hAnsi="Calibri" w:cs="Calibri"/>
                <w:b w:val="0"/>
                <w:bCs w:val="0"/>
                <w:lang w:val="en-GB" w:eastAsia="en-US"/>
              </w:rPr>
              <w:t xml:space="preserve">/Area </w:t>
            </w:r>
            <w:r>
              <w:rPr>
                <w:rFonts w:ascii="Calibri" w:eastAsia="Times New Roman" w:hAnsi="Calibri" w:cs="Calibri"/>
                <w:b w:val="0"/>
                <w:bCs w:val="0"/>
                <w:lang w:val="en-GB" w:eastAsia="en-US"/>
              </w:rPr>
              <w:t>Offices.</w:t>
            </w:r>
          </w:p>
          <w:p w14:paraId="5B2EE331" w14:textId="1032FA62" w:rsidR="00A92633" w:rsidRPr="00293ADB" w:rsidRDefault="00293ADB" w:rsidP="00293ADB">
            <w:pPr>
              <w:pStyle w:val="ListParagraph"/>
              <w:numPr>
                <w:ilvl w:val="0"/>
                <w:numId w:val="18"/>
              </w:numPr>
              <w:spacing w:before="0"/>
              <w:textAlignment w:val="center"/>
              <w:rPr>
                <w:rFonts w:cstheme="minorHAnsi"/>
              </w:rPr>
            </w:pPr>
            <w:r>
              <w:rPr>
                <w:rFonts w:ascii="Calibri" w:eastAsia="Times New Roman" w:hAnsi="Calibri" w:cs="Calibri"/>
                <w:b w:val="0"/>
                <w:bCs w:val="0"/>
                <w:lang w:val="en-GB" w:eastAsia="en-US"/>
              </w:rPr>
              <w:lastRenderedPageBreak/>
              <w:t xml:space="preserve">All focal points from respective organizational entities </w:t>
            </w:r>
            <w:r w:rsidR="00570622">
              <w:rPr>
                <w:rFonts w:ascii="Calibri" w:eastAsia="Times New Roman" w:hAnsi="Calibri" w:cs="Calibri"/>
                <w:b w:val="0"/>
                <w:bCs w:val="0"/>
                <w:lang w:val="en-GB" w:eastAsia="en-US"/>
              </w:rPr>
              <w:t>to</w:t>
            </w:r>
            <w:r>
              <w:rPr>
                <w:rFonts w:ascii="Calibri" w:eastAsia="Times New Roman" w:hAnsi="Calibri" w:cs="Calibri"/>
                <w:b w:val="0"/>
                <w:bCs w:val="0"/>
                <w:lang w:val="en-GB" w:eastAsia="en-US"/>
              </w:rPr>
              <w:t xml:space="preserve"> be involved.</w:t>
            </w:r>
          </w:p>
          <w:p w14:paraId="6DABB6FE" w14:textId="2890EF09" w:rsidR="00293ADB" w:rsidRPr="00293ADB" w:rsidRDefault="00293ADB" w:rsidP="00293ADB">
            <w:pPr>
              <w:spacing w:before="0"/>
              <w:textAlignment w:val="center"/>
              <w:rPr>
                <w:rFonts w:cstheme="minorHAnsi"/>
              </w:rPr>
            </w:pPr>
          </w:p>
        </w:tc>
        <w:tc>
          <w:tcPr>
            <w:tcW w:w="1907" w:type="dxa"/>
          </w:tcPr>
          <w:p w14:paraId="6F981D17" w14:textId="0FC53B63" w:rsidR="00A92633" w:rsidRDefault="00293ADB" w:rsidP="00293A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By end of 2020</w:t>
            </w:r>
          </w:p>
        </w:tc>
      </w:tr>
      <w:tr w:rsidR="00A92633" w14:paraId="6254E2EF" w14:textId="77777777" w:rsidTr="00293ADB">
        <w:tc>
          <w:tcPr>
            <w:cnfStyle w:val="001000000000" w:firstRow="0" w:lastRow="0" w:firstColumn="1" w:lastColumn="0" w:oddVBand="0" w:evenVBand="0" w:oddHBand="0" w:evenHBand="0" w:firstRowFirstColumn="0" w:firstRowLastColumn="0" w:lastRowFirstColumn="0" w:lastRowLastColumn="0"/>
            <w:tcW w:w="7830" w:type="dxa"/>
          </w:tcPr>
          <w:p w14:paraId="6417AB8D" w14:textId="62CF4A42" w:rsidR="00293ADB" w:rsidRPr="00293ADB" w:rsidRDefault="00D02AE5" w:rsidP="00293ADB">
            <w:pPr>
              <w:numPr>
                <w:ilvl w:val="0"/>
                <w:numId w:val="20"/>
              </w:numPr>
              <w:spacing w:before="0"/>
              <w:ind w:left="360"/>
              <w:textAlignment w:val="center"/>
              <w:rPr>
                <w:rFonts w:ascii="Calibri" w:eastAsia="Times New Roman" w:hAnsi="Calibri" w:cs="Calibri"/>
                <w:color w:val="000000"/>
                <w:lang w:eastAsia="en-US"/>
              </w:rPr>
            </w:pPr>
            <w:r>
              <w:rPr>
                <w:rFonts w:ascii="Calibri" w:eastAsia="Times New Roman" w:hAnsi="Calibri" w:cs="Calibri"/>
                <w:color w:val="000000"/>
                <w:lang w:eastAsia="en-US"/>
              </w:rPr>
              <w:t>R</w:t>
            </w:r>
            <w:r w:rsidR="00293ADB" w:rsidRPr="00293ADB">
              <w:rPr>
                <w:rFonts w:ascii="Calibri" w:eastAsia="Times New Roman" w:hAnsi="Calibri" w:cs="Calibri"/>
                <w:color w:val="000000"/>
                <w:lang w:eastAsia="en-US"/>
              </w:rPr>
              <w:t xml:space="preserve">isk registers </w:t>
            </w:r>
            <w:r>
              <w:rPr>
                <w:rFonts w:ascii="Calibri" w:eastAsia="Times New Roman" w:hAnsi="Calibri" w:cs="Calibri"/>
                <w:color w:val="000000"/>
                <w:lang w:eastAsia="en-US"/>
              </w:rPr>
              <w:t xml:space="preserve">to be developed </w:t>
            </w:r>
            <w:r w:rsidR="00293ADB" w:rsidRPr="00293ADB">
              <w:rPr>
                <w:rFonts w:ascii="Calibri" w:eastAsia="Times New Roman" w:hAnsi="Calibri" w:cs="Calibri"/>
                <w:color w:val="000000"/>
                <w:lang w:eastAsia="en-US"/>
              </w:rPr>
              <w:t xml:space="preserve">for the whole organization and have those risks assessed </w:t>
            </w:r>
            <w:r w:rsidR="00293ADB">
              <w:rPr>
                <w:rFonts w:ascii="Calibri" w:eastAsia="Times New Roman" w:hAnsi="Calibri" w:cs="Calibri"/>
                <w:color w:val="000000"/>
                <w:lang w:eastAsia="en-US"/>
              </w:rPr>
              <w:t>and</w:t>
            </w:r>
            <w:r w:rsidR="00293ADB" w:rsidRPr="00293ADB">
              <w:rPr>
                <w:rFonts w:ascii="Calibri" w:eastAsia="Times New Roman" w:hAnsi="Calibri" w:cs="Calibri"/>
                <w:color w:val="000000"/>
                <w:lang w:eastAsia="en-US"/>
              </w:rPr>
              <w:t xml:space="preserve"> rated</w:t>
            </w:r>
          </w:p>
          <w:p w14:paraId="546E8AE7" w14:textId="76ACECDB" w:rsidR="00293ADB" w:rsidRPr="00293ADB" w:rsidRDefault="00293ADB" w:rsidP="00293ADB">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 xml:space="preserve">Risk registers will be </w:t>
            </w:r>
            <w:r w:rsidR="00D02AE5">
              <w:rPr>
                <w:rFonts w:ascii="Calibri" w:eastAsia="Times New Roman" w:hAnsi="Calibri" w:cs="Calibri"/>
                <w:b w:val="0"/>
                <w:bCs w:val="0"/>
                <w:lang w:val="en-GB" w:eastAsia="en-US"/>
              </w:rPr>
              <w:t>developed for all the organizational entities</w:t>
            </w:r>
            <w:r w:rsidR="00B37350">
              <w:rPr>
                <w:rFonts w:ascii="Calibri" w:eastAsia="Times New Roman" w:hAnsi="Calibri" w:cs="Calibri"/>
                <w:b w:val="0"/>
                <w:bCs w:val="0"/>
                <w:lang w:val="en-GB" w:eastAsia="en-US"/>
              </w:rPr>
              <w:t>,</w:t>
            </w:r>
            <w:r w:rsidR="00D02AE5">
              <w:rPr>
                <w:rFonts w:ascii="Calibri" w:eastAsia="Times New Roman" w:hAnsi="Calibri" w:cs="Calibri"/>
                <w:b w:val="0"/>
                <w:bCs w:val="0"/>
                <w:lang w:val="en-GB" w:eastAsia="en-US"/>
              </w:rPr>
              <w:t xml:space="preserve"> and </w:t>
            </w:r>
            <w:r w:rsidR="00B37350">
              <w:rPr>
                <w:rFonts w:ascii="Calibri" w:eastAsia="Times New Roman" w:hAnsi="Calibri" w:cs="Calibri"/>
                <w:b w:val="0"/>
                <w:bCs w:val="0"/>
                <w:lang w:val="en-GB" w:eastAsia="en-US"/>
              </w:rPr>
              <w:t xml:space="preserve">risk </w:t>
            </w:r>
            <w:r w:rsidR="00D02AE5">
              <w:rPr>
                <w:rFonts w:ascii="Calibri" w:eastAsia="Times New Roman" w:hAnsi="Calibri" w:cs="Calibri"/>
                <w:b w:val="0"/>
                <w:bCs w:val="0"/>
                <w:lang w:val="en-GB" w:eastAsia="en-US"/>
              </w:rPr>
              <w:t xml:space="preserve">will be </w:t>
            </w:r>
            <w:r w:rsidR="00B37350">
              <w:rPr>
                <w:rFonts w:ascii="Calibri" w:eastAsia="Times New Roman" w:hAnsi="Calibri" w:cs="Calibri"/>
                <w:b w:val="0"/>
                <w:bCs w:val="0"/>
                <w:lang w:val="en-GB" w:eastAsia="en-US"/>
              </w:rPr>
              <w:t xml:space="preserve">identified and assessed </w:t>
            </w:r>
            <w:r>
              <w:rPr>
                <w:rFonts w:ascii="Calibri" w:eastAsia="Times New Roman" w:hAnsi="Calibri" w:cs="Calibri"/>
                <w:b w:val="0"/>
                <w:bCs w:val="0"/>
                <w:lang w:val="en-GB" w:eastAsia="en-US"/>
              </w:rPr>
              <w:t>as part of the development of the</w:t>
            </w:r>
            <w:r w:rsidR="000A24B2">
              <w:rPr>
                <w:rFonts w:ascii="Calibri" w:eastAsia="Times New Roman" w:hAnsi="Calibri" w:cs="Calibri"/>
                <w:b w:val="0"/>
                <w:bCs w:val="0"/>
                <w:lang w:val="en-GB" w:eastAsia="en-US"/>
              </w:rPr>
              <w:t xml:space="preserve"> ITU</w:t>
            </w:r>
            <w:r>
              <w:rPr>
                <w:rFonts w:ascii="Calibri" w:eastAsia="Times New Roman" w:hAnsi="Calibri" w:cs="Calibri"/>
                <w:b w:val="0"/>
                <w:bCs w:val="0"/>
                <w:lang w:val="en-GB" w:eastAsia="en-US"/>
              </w:rPr>
              <w:t xml:space="preserve"> Operational Plans for 2021.</w:t>
            </w:r>
          </w:p>
          <w:p w14:paraId="6DDA05F9" w14:textId="77777777" w:rsidR="00A92633" w:rsidRPr="00293ADB" w:rsidRDefault="00A92633" w:rsidP="00293ADB">
            <w:pPr>
              <w:spacing w:before="0"/>
              <w:textAlignment w:val="center"/>
              <w:rPr>
                <w:rFonts w:cstheme="minorHAnsi"/>
                <w:lang w:val="en-GB"/>
              </w:rPr>
            </w:pPr>
          </w:p>
        </w:tc>
        <w:tc>
          <w:tcPr>
            <w:tcW w:w="1907" w:type="dxa"/>
          </w:tcPr>
          <w:p w14:paraId="60240EB3" w14:textId="67FD41B2" w:rsidR="00A92633" w:rsidRDefault="00293ADB" w:rsidP="00293A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Council 2020</w:t>
            </w:r>
          </w:p>
        </w:tc>
      </w:tr>
      <w:tr w:rsidR="00A92633" w14:paraId="02A290CD" w14:textId="77777777" w:rsidTr="0029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063A72F1" w14:textId="77777777" w:rsidR="00293ADB" w:rsidRPr="00293ADB" w:rsidRDefault="00293ADB" w:rsidP="00293ADB">
            <w:pPr>
              <w:numPr>
                <w:ilvl w:val="0"/>
                <w:numId w:val="20"/>
              </w:numPr>
              <w:spacing w:before="0"/>
              <w:ind w:left="360"/>
              <w:textAlignment w:val="center"/>
              <w:rPr>
                <w:rFonts w:ascii="Calibri" w:eastAsia="Times New Roman" w:hAnsi="Calibri" w:cs="Calibri"/>
                <w:color w:val="000000"/>
                <w:lang w:eastAsia="en-US"/>
              </w:rPr>
            </w:pPr>
            <w:r w:rsidRPr="00293ADB">
              <w:rPr>
                <w:rFonts w:ascii="Calibri" w:eastAsia="Times New Roman" w:hAnsi="Calibri" w:cs="Calibri"/>
                <w:color w:val="000000"/>
                <w:lang w:eastAsia="en-US"/>
              </w:rPr>
              <w:t>Set up an internal risk governance structure</w:t>
            </w:r>
          </w:p>
          <w:p w14:paraId="31F16614" w14:textId="5C190813" w:rsidR="00293ADB" w:rsidRPr="00896CC4" w:rsidRDefault="00A17A99" w:rsidP="00293ADB">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Currently, t</w:t>
            </w:r>
            <w:r w:rsidR="00293ADB">
              <w:rPr>
                <w:rFonts w:ascii="Calibri" w:eastAsia="Times New Roman" w:hAnsi="Calibri" w:cs="Calibri"/>
                <w:b w:val="0"/>
                <w:bCs w:val="0"/>
                <w:lang w:val="en-GB" w:eastAsia="en-US"/>
              </w:rPr>
              <w:t>he Inter-Sectoral Coordination Task Force (</w:t>
            </w:r>
            <w:r w:rsidR="00293ADB" w:rsidRPr="00293ADB">
              <w:rPr>
                <w:rFonts w:ascii="Calibri" w:eastAsia="Times New Roman" w:hAnsi="Calibri" w:cs="Calibri"/>
                <w:b w:val="0"/>
                <w:bCs w:val="0"/>
                <w:lang w:val="en-GB" w:eastAsia="en-US"/>
              </w:rPr>
              <w:t>ISC-TF</w:t>
            </w:r>
            <w:r w:rsidR="00293ADB">
              <w:rPr>
                <w:rFonts w:ascii="Calibri" w:eastAsia="Times New Roman" w:hAnsi="Calibri" w:cs="Calibri"/>
                <w:b w:val="0"/>
                <w:bCs w:val="0"/>
                <w:lang w:val="en-GB" w:eastAsia="en-US"/>
              </w:rPr>
              <w:t>) is following issues related to Risk Management</w:t>
            </w:r>
            <w:r w:rsidR="00896CC4">
              <w:rPr>
                <w:rFonts w:ascii="Calibri" w:eastAsia="Times New Roman" w:hAnsi="Calibri" w:cs="Calibri"/>
                <w:b w:val="0"/>
                <w:bCs w:val="0"/>
                <w:lang w:val="en-GB" w:eastAsia="en-US"/>
              </w:rPr>
              <w:t>.</w:t>
            </w:r>
            <w:r>
              <w:rPr>
                <w:rFonts w:ascii="Calibri" w:eastAsia="Times New Roman" w:hAnsi="Calibri" w:cs="Calibri"/>
                <w:b w:val="0"/>
                <w:bCs w:val="0"/>
                <w:lang w:val="en-GB" w:eastAsia="en-US"/>
              </w:rPr>
              <w:t xml:space="preserve"> Arrangements related to a</w:t>
            </w:r>
            <w:r w:rsidR="00B37350">
              <w:rPr>
                <w:rFonts w:ascii="Calibri" w:eastAsia="Times New Roman" w:hAnsi="Calibri" w:cs="Calibri"/>
                <w:b w:val="0"/>
                <w:bCs w:val="0"/>
                <w:lang w:val="en-GB" w:eastAsia="en-US"/>
              </w:rPr>
              <w:t xml:space="preserve"> more</w:t>
            </w:r>
            <w:r>
              <w:rPr>
                <w:rFonts w:ascii="Calibri" w:eastAsia="Times New Roman" w:hAnsi="Calibri" w:cs="Calibri"/>
                <w:b w:val="0"/>
                <w:bCs w:val="0"/>
                <w:lang w:val="en-GB" w:eastAsia="en-US"/>
              </w:rPr>
              <w:t xml:space="preserve"> formal risk governance structure, and </w:t>
            </w:r>
            <w:r w:rsidR="00B37350">
              <w:rPr>
                <w:rFonts w:ascii="Calibri" w:eastAsia="Times New Roman" w:hAnsi="Calibri" w:cs="Calibri"/>
                <w:b w:val="0"/>
                <w:bCs w:val="0"/>
                <w:lang w:val="en-GB" w:eastAsia="en-US"/>
              </w:rPr>
              <w:t xml:space="preserve">respective </w:t>
            </w:r>
            <w:r>
              <w:rPr>
                <w:rFonts w:ascii="Calibri" w:eastAsia="Times New Roman" w:hAnsi="Calibri" w:cs="Calibri"/>
                <w:b w:val="0"/>
                <w:bCs w:val="0"/>
                <w:lang w:val="en-GB" w:eastAsia="en-US"/>
              </w:rPr>
              <w:t xml:space="preserve">roles and responsibilities will be further elaborated </w:t>
            </w:r>
            <w:r w:rsidR="00B37350">
              <w:rPr>
                <w:rFonts w:ascii="Calibri" w:eastAsia="Times New Roman" w:hAnsi="Calibri" w:cs="Calibri"/>
                <w:b w:val="0"/>
                <w:bCs w:val="0"/>
                <w:lang w:val="en-GB" w:eastAsia="en-US"/>
              </w:rPr>
              <w:t xml:space="preserve">and discussed internally via </w:t>
            </w:r>
            <w:r>
              <w:rPr>
                <w:rFonts w:ascii="Calibri" w:eastAsia="Times New Roman" w:hAnsi="Calibri" w:cs="Calibri"/>
                <w:b w:val="0"/>
                <w:bCs w:val="0"/>
                <w:lang w:val="en-GB" w:eastAsia="en-US"/>
              </w:rPr>
              <w:t>the ISC-TF.</w:t>
            </w:r>
          </w:p>
          <w:p w14:paraId="6D92D8F7" w14:textId="77777777" w:rsidR="00A92633" w:rsidRPr="00A17A99" w:rsidRDefault="00A92633" w:rsidP="00A17A99">
            <w:pPr>
              <w:spacing w:before="0"/>
              <w:textAlignment w:val="center"/>
              <w:rPr>
                <w:rFonts w:cstheme="minorHAnsi"/>
                <w:lang w:val="en-GB"/>
              </w:rPr>
            </w:pPr>
          </w:p>
        </w:tc>
        <w:tc>
          <w:tcPr>
            <w:tcW w:w="1907" w:type="dxa"/>
          </w:tcPr>
          <w:p w14:paraId="359A7C62" w14:textId="4F05D4D7" w:rsidR="00A92633" w:rsidRDefault="00293ADB" w:rsidP="00293A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By Council 2020</w:t>
            </w:r>
          </w:p>
        </w:tc>
      </w:tr>
      <w:tr w:rsidR="00A92633" w14:paraId="13C2193E" w14:textId="77777777" w:rsidTr="00293ADB">
        <w:tc>
          <w:tcPr>
            <w:cnfStyle w:val="001000000000" w:firstRow="0" w:lastRow="0" w:firstColumn="1" w:lastColumn="0" w:oddVBand="0" w:evenVBand="0" w:oddHBand="0" w:evenHBand="0" w:firstRowFirstColumn="0" w:firstRowLastColumn="0" w:lastRowFirstColumn="0" w:lastRowLastColumn="0"/>
            <w:tcW w:w="7830" w:type="dxa"/>
          </w:tcPr>
          <w:p w14:paraId="3B2AF464" w14:textId="77777777" w:rsidR="00A17A99" w:rsidRPr="00A17A99" w:rsidRDefault="00A17A99" w:rsidP="00A17A99">
            <w:pPr>
              <w:numPr>
                <w:ilvl w:val="0"/>
                <w:numId w:val="20"/>
              </w:numPr>
              <w:spacing w:before="0"/>
              <w:ind w:left="360"/>
              <w:textAlignment w:val="center"/>
              <w:rPr>
                <w:rFonts w:ascii="Calibri" w:eastAsia="Times New Roman" w:hAnsi="Calibri" w:cs="Calibri"/>
                <w:color w:val="000000"/>
                <w:lang w:eastAsia="en-US"/>
              </w:rPr>
            </w:pPr>
            <w:r w:rsidRPr="00A17A99">
              <w:rPr>
                <w:rFonts w:ascii="Calibri" w:eastAsia="Times New Roman" w:hAnsi="Calibri" w:cs="Calibri"/>
                <w:color w:val="000000"/>
                <w:lang w:eastAsia="en-US"/>
              </w:rPr>
              <w:t>Aim to improve staff accountability at all levels for managing risks</w:t>
            </w:r>
          </w:p>
          <w:p w14:paraId="4DE133FD" w14:textId="3B836E35" w:rsidR="00A17A99" w:rsidRPr="00A17A99" w:rsidRDefault="00A17A99" w:rsidP="00A17A99">
            <w:pPr>
              <w:pStyle w:val="ListParagraph"/>
              <w:numPr>
                <w:ilvl w:val="0"/>
                <w:numId w:val="18"/>
              </w:numPr>
              <w:spacing w:before="0"/>
              <w:textAlignment w:val="center"/>
              <w:rPr>
                <w:rFonts w:ascii="Calibri" w:eastAsia="Times New Roman" w:hAnsi="Calibri" w:cs="Calibri"/>
                <w:lang w:val="en-GB" w:eastAsia="en-US"/>
              </w:rPr>
            </w:pPr>
            <w:r>
              <w:rPr>
                <w:rFonts w:ascii="Calibri" w:eastAsia="Times New Roman" w:hAnsi="Calibri" w:cs="Calibri"/>
                <w:b w:val="0"/>
                <w:bCs w:val="0"/>
                <w:lang w:eastAsia="en-US"/>
              </w:rPr>
              <w:t>Training</w:t>
            </w:r>
            <w:r w:rsidR="000011D7">
              <w:rPr>
                <w:rFonts w:ascii="Calibri" w:eastAsia="Times New Roman" w:hAnsi="Calibri" w:cs="Calibri"/>
                <w:b w:val="0"/>
                <w:bCs w:val="0"/>
                <w:lang w:eastAsia="en-US"/>
              </w:rPr>
              <w:t xml:space="preserve">s and risk management </w:t>
            </w:r>
            <w:r>
              <w:rPr>
                <w:rFonts w:ascii="Calibri" w:eastAsia="Times New Roman" w:hAnsi="Calibri" w:cs="Calibri"/>
                <w:b w:val="0"/>
                <w:bCs w:val="0"/>
                <w:lang w:eastAsia="en-US"/>
              </w:rPr>
              <w:t>workshops on how to integrate risk management in the business processes of the organization will be conducted.</w:t>
            </w:r>
          </w:p>
          <w:p w14:paraId="3199A9BE" w14:textId="77777777" w:rsidR="00A92633" w:rsidRDefault="00A92633" w:rsidP="001A6185">
            <w:pPr>
              <w:jc w:val="both"/>
              <w:rPr>
                <w:rFonts w:cstheme="minorHAnsi"/>
              </w:rPr>
            </w:pPr>
          </w:p>
        </w:tc>
        <w:tc>
          <w:tcPr>
            <w:tcW w:w="1907" w:type="dxa"/>
          </w:tcPr>
          <w:p w14:paraId="6F11AA60" w14:textId="7008C195" w:rsidR="00A92633" w:rsidRDefault="00A17A99" w:rsidP="00293A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end of 2020</w:t>
            </w:r>
          </w:p>
        </w:tc>
      </w:tr>
      <w:tr w:rsidR="00A92633" w14:paraId="4A987ED8" w14:textId="77777777" w:rsidTr="0029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5CB96931" w14:textId="5CC6BA14" w:rsidR="00A17A99" w:rsidRPr="00A17A99" w:rsidRDefault="00D02AE5" w:rsidP="000212C1">
            <w:pPr>
              <w:keepNext/>
              <w:numPr>
                <w:ilvl w:val="0"/>
                <w:numId w:val="20"/>
              </w:numPr>
              <w:spacing w:before="0"/>
              <w:ind w:left="360"/>
              <w:textAlignment w:val="center"/>
              <w:rPr>
                <w:rFonts w:ascii="Calibri" w:eastAsia="Times New Roman" w:hAnsi="Calibri" w:cs="Calibri"/>
                <w:color w:val="000000"/>
                <w:lang w:eastAsia="en-US"/>
              </w:rPr>
            </w:pPr>
            <w:r>
              <w:rPr>
                <w:rFonts w:ascii="Calibri" w:eastAsia="Times New Roman" w:hAnsi="Calibri" w:cs="Calibri"/>
                <w:color w:val="000000"/>
                <w:lang w:eastAsia="en-US"/>
              </w:rPr>
              <w:t>Establish a</w:t>
            </w:r>
            <w:r w:rsidR="00A17A99" w:rsidRPr="00A17A99">
              <w:rPr>
                <w:rFonts w:ascii="Calibri" w:eastAsia="Times New Roman" w:hAnsi="Calibri" w:cs="Calibri"/>
                <w:color w:val="000000"/>
                <w:lang w:eastAsia="en-US"/>
              </w:rPr>
              <w:t xml:space="preserve"> more systematic risk management process</w:t>
            </w:r>
          </w:p>
          <w:p w14:paraId="50055C09" w14:textId="658DDF0C" w:rsidR="00A17A99" w:rsidRPr="00A17A99" w:rsidRDefault="000212C1" w:rsidP="00A17A99">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 xml:space="preserve">The Risk Management </w:t>
            </w:r>
            <w:r w:rsidR="00A17A99" w:rsidRPr="00A17A99">
              <w:rPr>
                <w:rFonts w:ascii="Calibri" w:eastAsia="Times New Roman" w:hAnsi="Calibri" w:cs="Calibri"/>
                <w:b w:val="0"/>
                <w:bCs w:val="0"/>
                <w:lang w:val="en-GB" w:eastAsia="en-US"/>
              </w:rPr>
              <w:t>Policy and Risk Appetite Statement</w:t>
            </w:r>
            <w:r>
              <w:rPr>
                <w:rFonts w:ascii="Calibri" w:eastAsia="Times New Roman" w:hAnsi="Calibri" w:cs="Calibri"/>
                <w:b w:val="0"/>
                <w:bCs w:val="0"/>
                <w:lang w:val="en-GB" w:eastAsia="en-US"/>
              </w:rPr>
              <w:t xml:space="preserve"> will be reviewed to ensure a more systematic process to identify, assess and manage risks.</w:t>
            </w:r>
          </w:p>
          <w:p w14:paraId="184F1673" w14:textId="77777777" w:rsidR="00A92633" w:rsidRDefault="00A92633" w:rsidP="001A6185">
            <w:pPr>
              <w:jc w:val="both"/>
              <w:rPr>
                <w:rFonts w:cstheme="minorHAnsi"/>
              </w:rPr>
            </w:pPr>
          </w:p>
        </w:tc>
        <w:tc>
          <w:tcPr>
            <w:tcW w:w="1907" w:type="dxa"/>
          </w:tcPr>
          <w:p w14:paraId="2D1CF2B9" w14:textId="3FC43DF1" w:rsidR="00A92633" w:rsidRDefault="000212C1" w:rsidP="00293A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By Council 2020</w:t>
            </w:r>
          </w:p>
        </w:tc>
      </w:tr>
      <w:tr w:rsidR="00A17A99" w14:paraId="0B1E3D05" w14:textId="77777777" w:rsidTr="00293ADB">
        <w:tc>
          <w:tcPr>
            <w:cnfStyle w:val="001000000000" w:firstRow="0" w:lastRow="0" w:firstColumn="1" w:lastColumn="0" w:oddVBand="0" w:evenVBand="0" w:oddHBand="0" w:evenHBand="0" w:firstRowFirstColumn="0" w:firstRowLastColumn="0" w:lastRowFirstColumn="0" w:lastRowLastColumn="0"/>
            <w:tcW w:w="7830" w:type="dxa"/>
          </w:tcPr>
          <w:p w14:paraId="3F803A4A" w14:textId="77777777" w:rsidR="00A17A99" w:rsidRPr="00A17A99" w:rsidRDefault="00A17A99" w:rsidP="00A17A99">
            <w:pPr>
              <w:numPr>
                <w:ilvl w:val="0"/>
                <w:numId w:val="20"/>
              </w:numPr>
              <w:spacing w:before="0"/>
              <w:ind w:left="360"/>
              <w:textAlignment w:val="center"/>
              <w:rPr>
                <w:rFonts w:ascii="Calibri" w:eastAsia="Times New Roman" w:hAnsi="Calibri" w:cs="Calibri"/>
                <w:color w:val="000000"/>
                <w:lang w:eastAsia="en-US"/>
              </w:rPr>
            </w:pPr>
            <w:r w:rsidRPr="00A17A99">
              <w:rPr>
                <w:rFonts w:ascii="Calibri" w:eastAsia="Times New Roman" w:hAnsi="Calibri" w:cs="Calibri"/>
                <w:color w:val="000000"/>
                <w:lang w:eastAsia="en-US"/>
              </w:rPr>
              <w:t>Review the effectiveness of the internal controls</w:t>
            </w:r>
          </w:p>
          <w:p w14:paraId="4DADA72C" w14:textId="71992E6D" w:rsidR="00AE2F16" w:rsidRPr="00AE2F16" w:rsidRDefault="000212C1" w:rsidP="00AE2F16">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As an ongoing process, Internal Controls are being reviewed and remedial actions being undertaken to strengthen organization’s resilience to risk exposure.</w:t>
            </w:r>
          </w:p>
          <w:p w14:paraId="67F8F409" w14:textId="77777777" w:rsidR="00A17A99" w:rsidRDefault="00A17A99" w:rsidP="001A6185">
            <w:pPr>
              <w:jc w:val="both"/>
              <w:rPr>
                <w:rFonts w:cstheme="minorHAnsi"/>
              </w:rPr>
            </w:pPr>
          </w:p>
        </w:tc>
        <w:tc>
          <w:tcPr>
            <w:tcW w:w="1907" w:type="dxa"/>
          </w:tcPr>
          <w:p w14:paraId="54B6FD3F" w14:textId="47D9B3E5" w:rsidR="00A17A99" w:rsidRDefault="000212C1" w:rsidP="00293A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Council 2020</w:t>
            </w:r>
          </w:p>
        </w:tc>
      </w:tr>
      <w:tr w:rsidR="00A17A99" w14:paraId="4EDE354C" w14:textId="77777777" w:rsidTr="0029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64084AD3" w14:textId="77777777" w:rsidR="00A17A99" w:rsidRPr="00A17A99" w:rsidRDefault="00A17A99" w:rsidP="00A17A99">
            <w:pPr>
              <w:numPr>
                <w:ilvl w:val="0"/>
                <w:numId w:val="20"/>
              </w:numPr>
              <w:spacing w:before="0"/>
              <w:ind w:left="360"/>
              <w:textAlignment w:val="center"/>
              <w:rPr>
                <w:rFonts w:ascii="Calibri" w:eastAsia="Times New Roman" w:hAnsi="Calibri" w:cs="Calibri"/>
                <w:color w:val="000000"/>
                <w:lang w:eastAsia="en-US"/>
              </w:rPr>
            </w:pPr>
            <w:r w:rsidRPr="00A17A99">
              <w:rPr>
                <w:rFonts w:ascii="Calibri" w:eastAsia="Times New Roman" w:hAnsi="Calibri" w:cs="Calibri"/>
                <w:color w:val="000000"/>
                <w:lang w:eastAsia="en-US"/>
              </w:rPr>
              <w:lastRenderedPageBreak/>
              <w:t>Develop a risk management dashboard utilizing the new risk register</w:t>
            </w:r>
          </w:p>
          <w:p w14:paraId="2D2B6DF9" w14:textId="5EAA8275" w:rsidR="00A17A99" w:rsidRPr="00A17A99" w:rsidRDefault="000212C1" w:rsidP="000212C1">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A risk management dashboard will be implemented (using business intelligence tools) to monitor and communicate information related to risk management</w:t>
            </w:r>
            <w:r w:rsidR="00CD4665">
              <w:rPr>
                <w:rFonts w:ascii="Calibri" w:eastAsia="Times New Roman" w:hAnsi="Calibri" w:cs="Calibri"/>
                <w:b w:val="0"/>
                <w:bCs w:val="0"/>
                <w:lang w:val="en-GB" w:eastAsia="en-US"/>
              </w:rPr>
              <w:t>, providing a visual interface to navigate the risk registers of the organization.</w:t>
            </w:r>
          </w:p>
          <w:p w14:paraId="14130862" w14:textId="77777777" w:rsidR="00A17A99" w:rsidRDefault="00A17A99" w:rsidP="001A6185">
            <w:pPr>
              <w:jc w:val="both"/>
              <w:rPr>
                <w:rFonts w:cstheme="minorHAnsi"/>
              </w:rPr>
            </w:pPr>
          </w:p>
        </w:tc>
        <w:tc>
          <w:tcPr>
            <w:tcW w:w="1907" w:type="dxa"/>
          </w:tcPr>
          <w:p w14:paraId="39355A83" w14:textId="044DCE76" w:rsidR="00A17A99" w:rsidRDefault="000212C1" w:rsidP="00293A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By Q3 2020</w:t>
            </w:r>
          </w:p>
        </w:tc>
      </w:tr>
      <w:tr w:rsidR="00A17A99" w14:paraId="54D2F3CC" w14:textId="77777777" w:rsidTr="00293ADB">
        <w:tc>
          <w:tcPr>
            <w:cnfStyle w:val="001000000000" w:firstRow="0" w:lastRow="0" w:firstColumn="1" w:lastColumn="0" w:oddVBand="0" w:evenVBand="0" w:oddHBand="0" w:evenHBand="0" w:firstRowFirstColumn="0" w:firstRowLastColumn="0" w:lastRowFirstColumn="0" w:lastRowLastColumn="0"/>
            <w:tcW w:w="7830" w:type="dxa"/>
          </w:tcPr>
          <w:p w14:paraId="46A3E8D3" w14:textId="77777777" w:rsidR="00A17A99" w:rsidRPr="00A17A99" w:rsidRDefault="00A17A99" w:rsidP="00A17A99">
            <w:pPr>
              <w:numPr>
                <w:ilvl w:val="0"/>
                <w:numId w:val="20"/>
              </w:numPr>
              <w:spacing w:before="0"/>
              <w:ind w:left="360"/>
              <w:textAlignment w:val="center"/>
              <w:rPr>
                <w:rFonts w:ascii="Calibri" w:eastAsia="Times New Roman" w:hAnsi="Calibri" w:cs="Calibri"/>
                <w:color w:val="000000"/>
                <w:lang w:eastAsia="en-US"/>
              </w:rPr>
            </w:pPr>
            <w:r w:rsidRPr="00A17A99">
              <w:rPr>
                <w:rFonts w:ascii="Calibri" w:eastAsia="Times New Roman" w:hAnsi="Calibri" w:cs="Calibri"/>
                <w:color w:val="000000"/>
                <w:lang w:eastAsia="en-US"/>
              </w:rPr>
              <w:t>Strengthen the capacity of staff to manage risks</w:t>
            </w:r>
          </w:p>
          <w:p w14:paraId="1927BE3F" w14:textId="517BE995" w:rsidR="00A17A99" w:rsidRPr="00A17A99" w:rsidRDefault="00CD4665" w:rsidP="000212C1">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 xml:space="preserve">Action item </w:t>
            </w:r>
            <w:r w:rsidR="00CA1904">
              <w:rPr>
                <w:rFonts w:ascii="Calibri" w:eastAsia="Times New Roman" w:hAnsi="Calibri" w:cs="Calibri"/>
                <w:b w:val="0"/>
                <w:bCs w:val="0"/>
                <w:lang w:val="en-GB" w:eastAsia="en-US"/>
              </w:rPr>
              <w:t xml:space="preserve">will be implemented </w:t>
            </w:r>
            <w:r>
              <w:rPr>
                <w:rFonts w:ascii="Calibri" w:eastAsia="Times New Roman" w:hAnsi="Calibri" w:cs="Calibri"/>
                <w:b w:val="0"/>
                <w:bCs w:val="0"/>
                <w:lang w:val="en-GB" w:eastAsia="en-US"/>
              </w:rPr>
              <w:t>in combination with point 4 above, leveraging t</w:t>
            </w:r>
            <w:r w:rsidRPr="00CD4665">
              <w:rPr>
                <w:rFonts w:ascii="Calibri" w:eastAsia="Times New Roman" w:hAnsi="Calibri" w:cs="Calibri"/>
                <w:b w:val="0"/>
                <w:bCs w:val="0"/>
                <w:lang w:val="en-GB" w:eastAsia="en-US"/>
              </w:rPr>
              <w:t xml:space="preserve">raining </w:t>
            </w:r>
            <w:r>
              <w:rPr>
                <w:rFonts w:ascii="Calibri" w:eastAsia="Times New Roman" w:hAnsi="Calibri" w:cs="Calibri"/>
                <w:b w:val="0"/>
                <w:bCs w:val="0"/>
                <w:lang w:val="en-GB" w:eastAsia="en-US"/>
              </w:rPr>
              <w:t>and</w:t>
            </w:r>
            <w:r w:rsidRPr="00CD4665">
              <w:rPr>
                <w:rFonts w:ascii="Calibri" w:eastAsia="Times New Roman" w:hAnsi="Calibri" w:cs="Calibri"/>
                <w:b w:val="0"/>
                <w:bCs w:val="0"/>
                <w:lang w:val="en-GB" w:eastAsia="en-US"/>
              </w:rPr>
              <w:t xml:space="preserve"> </w:t>
            </w:r>
            <w:r w:rsidR="00D02AE5">
              <w:rPr>
                <w:rFonts w:ascii="Calibri" w:eastAsia="Times New Roman" w:hAnsi="Calibri" w:cs="Calibri"/>
                <w:b w:val="0"/>
                <w:bCs w:val="0"/>
                <w:lang w:val="en-GB" w:eastAsia="en-US"/>
              </w:rPr>
              <w:t xml:space="preserve">risk management </w:t>
            </w:r>
            <w:r w:rsidRPr="00CD4665">
              <w:rPr>
                <w:rFonts w:ascii="Calibri" w:eastAsia="Times New Roman" w:hAnsi="Calibri" w:cs="Calibri"/>
                <w:b w:val="0"/>
                <w:bCs w:val="0"/>
                <w:lang w:val="en-GB" w:eastAsia="en-US"/>
              </w:rPr>
              <w:t>workshops to</w:t>
            </w:r>
            <w:r w:rsidR="00D02AE5">
              <w:rPr>
                <w:rFonts w:ascii="Calibri" w:eastAsia="Times New Roman" w:hAnsi="Calibri" w:cs="Calibri"/>
                <w:b w:val="0"/>
                <w:bCs w:val="0"/>
                <w:lang w:val="en-GB" w:eastAsia="en-US"/>
              </w:rPr>
              <w:t xml:space="preserve"> raise awareness and </w:t>
            </w:r>
            <w:r>
              <w:rPr>
                <w:rFonts w:ascii="Calibri" w:eastAsia="Times New Roman" w:hAnsi="Calibri" w:cs="Calibri"/>
                <w:b w:val="0"/>
                <w:bCs w:val="0"/>
                <w:lang w:val="en-GB" w:eastAsia="en-US"/>
              </w:rPr>
              <w:t xml:space="preserve">strengthen the capacity of </w:t>
            </w:r>
            <w:r w:rsidR="00D02AE5">
              <w:rPr>
                <w:rFonts w:ascii="Calibri" w:eastAsia="Times New Roman" w:hAnsi="Calibri" w:cs="Calibri"/>
                <w:b w:val="0"/>
                <w:bCs w:val="0"/>
                <w:lang w:val="en-GB" w:eastAsia="en-US"/>
              </w:rPr>
              <w:t xml:space="preserve">managers </w:t>
            </w:r>
            <w:r>
              <w:rPr>
                <w:rFonts w:ascii="Calibri" w:eastAsia="Times New Roman" w:hAnsi="Calibri" w:cs="Calibri"/>
                <w:b w:val="0"/>
                <w:bCs w:val="0"/>
                <w:lang w:val="en-GB" w:eastAsia="en-US"/>
              </w:rPr>
              <w:t>to manage risks.</w:t>
            </w:r>
          </w:p>
          <w:p w14:paraId="1D16ED13" w14:textId="77777777" w:rsidR="00A17A99" w:rsidRDefault="00A17A99" w:rsidP="001A6185">
            <w:pPr>
              <w:jc w:val="both"/>
              <w:rPr>
                <w:rFonts w:cstheme="minorHAnsi"/>
              </w:rPr>
            </w:pPr>
          </w:p>
        </w:tc>
        <w:tc>
          <w:tcPr>
            <w:tcW w:w="1907" w:type="dxa"/>
          </w:tcPr>
          <w:p w14:paraId="1391A0CF" w14:textId="4FEC24DE" w:rsidR="00A17A99" w:rsidRDefault="00CD4665" w:rsidP="00293A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By end </w:t>
            </w:r>
            <w:r w:rsidR="007C53FA">
              <w:rPr>
                <w:rFonts w:cstheme="minorHAnsi"/>
              </w:rPr>
              <w:t>of</w:t>
            </w:r>
            <w:r>
              <w:rPr>
                <w:rFonts w:cstheme="minorHAnsi"/>
              </w:rPr>
              <w:t xml:space="preserve"> 2020</w:t>
            </w:r>
          </w:p>
        </w:tc>
      </w:tr>
      <w:tr w:rsidR="00A17A99" w14:paraId="5D9D4D68" w14:textId="77777777" w:rsidTr="00293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34A631FC" w14:textId="437AED1F" w:rsidR="00A17A99" w:rsidRPr="00A17A99" w:rsidRDefault="00CD4665" w:rsidP="00A17A99">
            <w:pPr>
              <w:numPr>
                <w:ilvl w:val="0"/>
                <w:numId w:val="20"/>
              </w:numPr>
              <w:spacing w:before="0"/>
              <w:ind w:left="360"/>
              <w:textAlignment w:val="center"/>
              <w:rPr>
                <w:rFonts w:ascii="Calibri" w:eastAsia="Times New Roman" w:hAnsi="Calibri" w:cs="Calibri"/>
                <w:color w:val="000000"/>
                <w:lang w:eastAsia="en-US"/>
              </w:rPr>
            </w:pPr>
            <w:r>
              <w:rPr>
                <w:rFonts w:ascii="Calibri" w:eastAsia="Times New Roman" w:hAnsi="Calibri" w:cs="Calibri"/>
                <w:color w:val="000000"/>
                <w:lang w:eastAsia="en-US"/>
              </w:rPr>
              <w:t xml:space="preserve">Aim </w:t>
            </w:r>
            <w:r w:rsidR="00A17A99" w:rsidRPr="00A17A99">
              <w:rPr>
                <w:rFonts w:ascii="Calibri" w:eastAsia="Times New Roman" w:hAnsi="Calibri" w:cs="Calibri"/>
                <w:color w:val="000000"/>
                <w:lang w:eastAsia="en-US"/>
              </w:rPr>
              <w:t xml:space="preserve">to </w:t>
            </w:r>
            <w:r w:rsidR="007C53FA">
              <w:rPr>
                <w:rFonts w:ascii="Calibri" w:eastAsia="Times New Roman" w:hAnsi="Calibri" w:cs="Calibri"/>
                <w:color w:val="000000"/>
                <w:lang w:eastAsia="en-US"/>
              </w:rPr>
              <w:t xml:space="preserve">embed </w:t>
            </w:r>
            <w:r w:rsidR="00A17A99" w:rsidRPr="00A17A99">
              <w:rPr>
                <w:rFonts w:ascii="Calibri" w:eastAsia="Times New Roman" w:hAnsi="Calibri" w:cs="Calibri"/>
                <w:color w:val="000000"/>
                <w:lang w:eastAsia="en-US"/>
              </w:rPr>
              <w:t xml:space="preserve">risk management in the </w:t>
            </w:r>
            <w:r>
              <w:rPr>
                <w:rFonts w:ascii="Calibri" w:eastAsia="Times New Roman" w:hAnsi="Calibri" w:cs="Calibri"/>
                <w:color w:val="000000"/>
                <w:lang w:eastAsia="en-US"/>
              </w:rPr>
              <w:t>s</w:t>
            </w:r>
            <w:r w:rsidR="00A17A99" w:rsidRPr="00A17A99">
              <w:rPr>
                <w:rFonts w:ascii="Calibri" w:eastAsia="Times New Roman" w:hAnsi="Calibri" w:cs="Calibri"/>
                <w:color w:val="000000"/>
                <w:lang w:eastAsia="en-US"/>
              </w:rPr>
              <w:t xml:space="preserve">taff </w:t>
            </w:r>
            <w:r>
              <w:rPr>
                <w:rFonts w:ascii="Calibri" w:eastAsia="Times New Roman" w:hAnsi="Calibri" w:cs="Calibri"/>
                <w:color w:val="000000"/>
                <w:lang w:eastAsia="en-US"/>
              </w:rPr>
              <w:t>p</w:t>
            </w:r>
            <w:r w:rsidR="00A17A99" w:rsidRPr="00A17A99">
              <w:rPr>
                <w:rFonts w:ascii="Calibri" w:eastAsia="Times New Roman" w:hAnsi="Calibri" w:cs="Calibri"/>
                <w:color w:val="000000"/>
                <w:lang w:eastAsia="en-US"/>
              </w:rPr>
              <w:t xml:space="preserve">erformance </w:t>
            </w:r>
            <w:r>
              <w:rPr>
                <w:rFonts w:ascii="Calibri" w:eastAsia="Times New Roman" w:hAnsi="Calibri" w:cs="Calibri"/>
                <w:color w:val="000000"/>
                <w:lang w:eastAsia="en-US"/>
              </w:rPr>
              <w:t>m</w:t>
            </w:r>
            <w:r w:rsidR="00A17A99" w:rsidRPr="00A17A99">
              <w:rPr>
                <w:rFonts w:ascii="Calibri" w:eastAsia="Times New Roman" w:hAnsi="Calibri" w:cs="Calibri"/>
                <w:color w:val="000000"/>
                <w:lang w:eastAsia="en-US"/>
              </w:rPr>
              <w:t xml:space="preserve">anagement </w:t>
            </w:r>
            <w:r>
              <w:rPr>
                <w:rFonts w:ascii="Calibri" w:eastAsia="Times New Roman" w:hAnsi="Calibri" w:cs="Calibri"/>
                <w:color w:val="000000"/>
                <w:lang w:eastAsia="en-US"/>
              </w:rPr>
              <w:t>s</w:t>
            </w:r>
            <w:r w:rsidR="00A17A99" w:rsidRPr="00A17A99">
              <w:rPr>
                <w:rFonts w:ascii="Calibri" w:eastAsia="Times New Roman" w:hAnsi="Calibri" w:cs="Calibri"/>
                <w:color w:val="000000"/>
                <w:lang w:eastAsia="en-US"/>
              </w:rPr>
              <w:t>ystem</w:t>
            </w:r>
          </w:p>
          <w:p w14:paraId="62E0EC78" w14:textId="77777777" w:rsidR="00CA1904" w:rsidRPr="00CA1904" w:rsidRDefault="00D9181A" w:rsidP="00D9181A">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D</w:t>
            </w:r>
            <w:r w:rsidRPr="00D9181A">
              <w:rPr>
                <w:rFonts w:ascii="Calibri" w:eastAsia="Times New Roman" w:hAnsi="Calibri" w:cs="Calibri"/>
                <w:b w:val="0"/>
                <w:bCs w:val="0"/>
                <w:lang w:val="en-GB" w:eastAsia="en-US"/>
              </w:rPr>
              <w:t xml:space="preserve">eveloping integrated processes, systems and tools that enable the operational teams to feel empowered and in control of their risks will support embedding risk </w:t>
            </w:r>
            <w:r>
              <w:rPr>
                <w:rFonts w:ascii="Calibri" w:eastAsia="Times New Roman" w:hAnsi="Calibri" w:cs="Calibri"/>
                <w:b w:val="0"/>
                <w:bCs w:val="0"/>
                <w:lang w:val="en-GB" w:eastAsia="en-US"/>
              </w:rPr>
              <w:t xml:space="preserve">management </w:t>
            </w:r>
            <w:r w:rsidRPr="00D9181A">
              <w:rPr>
                <w:rFonts w:ascii="Calibri" w:eastAsia="Times New Roman" w:hAnsi="Calibri" w:cs="Calibri"/>
                <w:b w:val="0"/>
                <w:bCs w:val="0"/>
                <w:lang w:val="en-GB" w:eastAsia="en-US"/>
              </w:rPr>
              <w:t>into the organisation</w:t>
            </w:r>
            <w:r>
              <w:rPr>
                <w:rFonts w:ascii="Calibri" w:eastAsia="Times New Roman" w:hAnsi="Calibri" w:cs="Calibri"/>
                <w:b w:val="0"/>
                <w:bCs w:val="0"/>
                <w:lang w:val="en-GB" w:eastAsia="en-US"/>
              </w:rPr>
              <w:t>.</w:t>
            </w:r>
          </w:p>
          <w:p w14:paraId="46476856" w14:textId="7D4F363E" w:rsidR="00D9181A" w:rsidRPr="00D9181A" w:rsidRDefault="00D9181A" w:rsidP="00D9181A">
            <w:pPr>
              <w:pStyle w:val="ListParagraph"/>
              <w:numPr>
                <w:ilvl w:val="0"/>
                <w:numId w:val="18"/>
              </w:numPr>
              <w:spacing w:before="0"/>
              <w:textAlignment w:val="center"/>
              <w:rPr>
                <w:rFonts w:ascii="Calibri" w:eastAsia="Times New Roman" w:hAnsi="Calibri" w:cs="Calibri"/>
                <w:b w:val="0"/>
                <w:bCs w:val="0"/>
                <w:lang w:val="en-GB" w:eastAsia="en-US"/>
              </w:rPr>
            </w:pPr>
            <w:r w:rsidRPr="00D9181A">
              <w:rPr>
                <w:rFonts w:ascii="Calibri" w:eastAsia="Times New Roman" w:hAnsi="Calibri" w:cs="Calibri"/>
                <w:b w:val="0"/>
                <w:bCs w:val="0"/>
                <w:lang w:val="en-GB" w:eastAsia="en-US"/>
              </w:rPr>
              <w:t>Risk accountability and the ability to factor risk management into day-to-day decision-making in operations</w:t>
            </w:r>
            <w:r>
              <w:rPr>
                <w:rFonts w:ascii="Calibri" w:eastAsia="Times New Roman" w:hAnsi="Calibri" w:cs="Calibri"/>
                <w:b w:val="0"/>
                <w:bCs w:val="0"/>
                <w:lang w:val="en-GB" w:eastAsia="en-US"/>
              </w:rPr>
              <w:t>,</w:t>
            </w:r>
            <w:r w:rsidRPr="00D9181A">
              <w:rPr>
                <w:rFonts w:ascii="Calibri" w:eastAsia="Times New Roman" w:hAnsi="Calibri" w:cs="Calibri"/>
                <w:b w:val="0"/>
                <w:bCs w:val="0"/>
                <w:lang w:val="en-GB" w:eastAsia="en-US"/>
              </w:rPr>
              <w:t xml:space="preserve"> should be a core aspect of all individual performance management processes</w:t>
            </w:r>
            <w:r>
              <w:rPr>
                <w:rFonts w:ascii="Calibri" w:eastAsia="Times New Roman" w:hAnsi="Calibri" w:cs="Calibri"/>
                <w:b w:val="0"/>
                <w:bCs w:val="0"/>
                <w:lang w:val="en-GB" w:eastAsia="en-US"/>
              </w:rPr>
              <w:t>.</w:t>
            </w:r>
          </w:p>
          <w:p w14:paraId="583D2B6F" w14:textId="77777777" w:rsidR="00A17A99" w:rsidRDefault="00A17A99" w:rsidP="001A6185">
            <w:pPr>
              <w:jc w:val="both"/>
              <w:rPr>
                <w:rFonts w:cstheme="minorHAnsi"/>
              </w:rPr>
            </w:pPr>
          </w:p>
        </w:tc>
        <w:tc>
          <w:tcPr>
            <w:tcW w:w="1907" w:type="dxa"/>
          </w:tcPr>
          <w:p w14:paraId="3DB82CD9" w14:textId="13E03F61" w:rsidR="00A17A99" w:rsidRDefault="007C53FA" w:rsidP="00293A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By end of 2020</w:t>
            </w:r>
          </w:p>
        </w:tc>
      </w:tr>
      <w:tr w:rsidR="00A17A99" w14:paraId="5DDD988A" w14:textId="77777777" w:rsidTr="00293ADB">
        <w:tc>
          <w:tcPr>
            <w:cnfStyle w:val="001000000000" w:firstRow="0" w:lastRow="0" w:firstColumn="1" w:lastColumn="0" w:oddVBand="0" w:evenVBand="0" w:oddHBand="0" w:evenHBand="0" w:firstRowFirstColumn="0" w:firstRowLastColumn="0" w:lastRowFirstColumn="0" w:lastRowLastColumn="0"/>
            <w:tcW w:w="7830" w:type="dxa"/>
          </w:tcPr>
          <w:p w14:paraId="4A033FBD" w14:textId="77777777" w:rsidR="00A17A99" w:rsidRPr="00A17A99" w:rsidRDefault="00A17A99" w:rsidP="00A17A99">
            <w:pPr>
              <w:numPr>
                <w:ilvl w:val="0"/>
                <w:numId w:val="20"/>
              </w:numPr>
              <w:spacing w:before="0"/>
              <w:ind w:left="360"/>
              <w:textAlignment w:val="center"/>
              <w:rPr>
                <w:rFonts w:ascii="Calibri" w:eastAsia="Times New Roman" w:hAnsi="Calibri" w:cs="Calibri"/>
                <w:color w:val="000000"/>
                <w:lang w:eastAsia="en-US"/>
              </w:rPr>
            </w:pPr>
            <w:r w:rsidRPr="00A17A99">
              <w:rPr>
                <w:rFonts w:ascii="Calibri" w:eastAsia="Times New Roman" w:hAnsi="Calibri" w:cs="Calibri"/>
                <w:color w:val="000000"/>
                <w:lang w:eastAsia="en-US"/>
              </w:rPr>
              <w:t>Systematically communicate and report on risk information to membership</w:t>
            </w:r>
          </w:p>
          <w:p w14:paraId="79B111BE" w14:textId="2D872774" w:rsidR="00A17A99" w:rsidRPr="00A17A99" w:rsidRDefault="002A41E9" w:rsidP="000212C1">
            <w:pPr>
              <w:pStyle w:val="ListParagraph"/>
              <w:numPr>
                <w:ilvl w:val="0"/>
                <w:numId w:val="18"/>
              </w:numPr>
              <w:spacing w:before="0"/>
              <w:textAlignment w:val="center"/>
              <w:rPr>
                <w:rFonts w:ascii="Calibri" w:eastAsia="Times New Roman" w:hAnsi="Calibri" w:cs="Calibri"/>
                <w:b w:val="0"/>
                <w:bCs w:val="0"/>
                <w:lang w:val="en-GB" w:eastAsia="en-US"/>
              </w:rPr>
            </w:pPr>
            <w:r>
              <w:rPr>
                <w:rFonts w:ascii="Calibri" w:eastAsia="Times New Roman" w:hAnsi="Calibri" w:cs="Calibri"/>
                <w:b w:val="0"/>
                <w:bCs w:val="0"/>
                <w:lang w:val="en-GB" w:eastAsia="en-US"/>
              </w:rPr>
              <w:t>The secretariat will continue r</w:t>
            </w:r>
            <w:r w:rsidR="00A17A99" w:rsidRPr="00A17A99">
              <w:rPr>
                <w:rFonts w:ascii="Calibri" w:eastAsia="Times New Roman" w:hAnsi="Calibri" w:cs="Calibri"/>
                <w:b w:val="0"/>
                <w:bCs w:val="0"/>
                <w:lang w:val="en-GB" w:eastAsia="en-US"/>
              </w:rPr>
              <w:t xml:space="preserve">eporting </w:t>
            </w:r>
            <w:r>
              <w:rPr>
                <w:rFonts w:ascii="Calibri" w:eastAsia="Times New Roman" w:hAnsi="Calibri" w:cs="Calibri"/>
                <w:b w:val="0"/>
                <w:bCs w:val="0"/>
                <w:lang w:val="en-GB" w:eastAsia="en-US"/>
              </w:rPr>
              <w:t xml:space="preserve">on risk management arrangements </w:t>
            </w:r>
            <w:r w:rsidR="00A17A99" w:rsidRPr="00A17A99">
              <w:rPr>
                <w:rFonts w:ascii="Calibri" w:eastAsia="Times New Roman" w:hAnsi="Calibri" w:cs="Calibri"/>
                <w:b w:val="0"/>
                <w:bCs w:val="0"/>
                <w:lang w:val="en-GB" w:eastAsia="en-US"/>
              </w:rPr>
              <w:t>to CWG-FHR</w:t>
            </w:r>
            <w:r>
              <w:rPr>
                <w:rFonts w:ascii="Calibri" w:eastAsia="Times New Roman" w:hAnsi="Calibri" w:cs="Calibri"/>
                <w:b w:val="0"/>
                <w:bCs w:val="0"/>
                <w:lang w:val="en-GB" w:eastAsia="en-US"/>
              </w:rPr>
              <w:t xml:space="preserve">, while reports on the updated </w:t>
            </w:r>
            <w:r w:rsidR="00A17A99" w:rsidRPr="00A17A99">
              <w:rPr>
                <w:rFonts w:ascii="Calibri" w:eastAsia="Times New Roman" w:hAnsi="Calibri" w:cs="Calibri"/>
                <w:b w:val="0"/>
                <w:bCs w:val="0"/>
                <w:lang w:val="en-GB" w:eastAsia="en-US"/>
              </w:rPr>
              <w:t xml:space="preserve">risk register </w:t>
            </w:r>
            <w:r>
              <w:rPr>
                <w:rFonts w:ascii="Calibri" w:eastAsia="Times New Roman" w:hAnsi="Calibri" w:cs="Calibri"/>
                <w:b w:val="0"/>
                <w:bCs w:val="0"/>
                <w:lang w:val="en-GB" w:eastAsia="en-US"/>
              </w:rPr>
              <w:t xml:space="preserve">and the risk management </w:t>
            </w:r>
            <w:r w:rsidR="00A17A99" w:rsidRPr="00A17A99">
              <w:rPr>
                <w:rFonts w:ascii="Calibri" w:eastAsia="Times New Roman" w:hAnsi="Calibri" w:cs="Calibri"/>
                <w:b w:val="0"/>
                <w:bCs w:val="0"/>
                <w:lang w:val="en-GB" w:eastAsia="en-US"/>
              </w:rPr>
              <w:t xml:space="preserve">dashboard </w:t>
            </w:r>
            <w:r>
              <w:rPr>
                <w:rFonts w:ascii="Calibri" w:eastAsia="Times New Roman" w:hAnsi="Calibri" w:cs="Calibri"/>
                <w:b w:val="0"/>
                <w:bCs w:val="0"/>
                <w:lang w:val="en-GB" w:eastAsia="en-US"/>
              </w:rPr>
              <w:t>will be presented to membership.</w:t>
            </w:r>
          </w:p>
          <w:p w14:paraId="6C4B61C7" w14:textId="77777777" w:rsidR="00A17A99" w:rsidRPr="00A17A99" w:rsidRDefault="00A17A99" w:rsidP="000212C1">
            <w:pPr>
              <w:jc w:val="both"/>
              <w:rPr>
                <w:rFonts w:ascii="Calibri" w:eastAsia="Times New Roman" w:hAnsi="Calibri" w:cs="Calibri"/>
                <w:color w:val="000000"/>
                <w:lang w:eastAsia="en-US"/>
              </w:rPr>
            </w:pPr>
          </w:p>
        </w:tc>
        <w:tc>
          <w:tcPr>
            <w:tcW w:w="1907" w:type="dxa"/>
          </w:tcPr>
          <w:p w14:paraId="22F2F63F" w14:textId="1C7807F4" w:rsidR="00A17A99" w:rsidRDefault="002A41E9" w:rsidP="00293A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 – Council 2020</w:t>
            </w:r>
          </w:p>
        </w:tc>
      </w:tr>
    </w:tbl>
    <w:p w14:paraId="03F6AD0B" w14:textId="5AC8ABC6" w:rsidR="00CA1904" w:rsidRPr="00CA1904" w:rsidRDefault="00CA1904" w:rsidP="00B04853">
      <w:pPr>
        <w:pStyle w:val="SimpleHeading"/>
        <w:spacing w:before="240" w:after="120"/>
      </w:pPr>
      <w:r w:rsidRPr="00CA1904">
        <w:lastRenderedPageBreak/>
        <w:t>Critical Success Factor</w:t>
      </w:r>
    </w:p>
    <w:p w14:paraId="129E8372" w14:textId="2581E9E5" w:rsidR="00471063" w:rsidRDefault="00471063" w:rsidP="00471063">
      <w:pPr>
        <w:spacing w:after="120"/>
        <w:jc w:val="both"/>
        <w:rPr>
          <w:rFonts w:cstheme="minorHAnsi"/>
        </w:rPr>
      </w:pPr>
      <w:r w:rsidRPr="000011D7">
        <w:rPr>
          <w:rFonts w:cstheme="minorHAnsi"/>
        </w:rPr>
        <w:t>Risk management, and its associated policies and procedures may appear administrative in nature</w:t>
      </w:r>
      <w:r>
        <w:rPr>
          <w:rFonts w:cstheme="minorHAnsi"/>
        </w:rPr>
        <w:t xml:space="preserve"> -therefore a</w:t>
      </w:r>
      <w:r w:rsidRPr="00CD4665">
        <w:rPr>
          <w:rFonts w:cstheme="minorHAnsi"/>
        </w:rPr>
        <w:t xml:space="preserve"> critical success factor</w:t>
      </w:r>
      <w:r>
        <w:rPr>
          <w:rFonts w:cstheme="minorHAnsi"/>
        </w:rPr>
        <w:t xml:space="preserve"> in </w:t>
      </w:r>
      <w:r w:rsidRPr="00CD4665">
        <w:rPr>
          <w:rFonts w:cstheme="minorHAnsi"/>
        </w:rPr>
        <w:t xml:space="preserve">embedding risk management </w:t>
      </w:r>
      <w:r>
        <w:rPr>
          <w:rFonts w:cstheme="minorHAnsi"/>
        </w:rPr>
        <w:t>in</w:t>
      </w:r>
      <w:r w:rsidR="00CA1904">
        <w:rPr>
          <w:rFonts w:cstheme="minorHAnsi"/>
        </w:rPr>
        <w:t>to</w:t>
      </w:r>
      <w:r>
        <w:rPr>
          <w:rFonts w:cstheme="minorHAnsi"/>
        </w:rPr>
        <w:t xml:space="preserve"> the ITU business processes, </w:t>
      </w:r>
      <w:r w:rsidRPr="00CD4665">
        <w:rPr>
          <w:rFonts w:cstheme="minorHAnsi"/>
        </w:rPr>
        <w:t xml:space="preserve">is demonstrating its practical application and benefits in contributing to increasing the probability of achieving </w:t>
      </w:r>
      <w:r>
        <w:rPr>
          <w:rFonts w:cstheme="minorHAnsi"/>
        </w:rPr>
        <w:t xml:space="preserve">the organizational </w:t>
      </w:r>
      <w:r w:rsidRPr="00CD4665">
        <w:rPr>
          <w:rFonts w:cstheme="minorHAnsi"/>
        </w:rPr>
        <w:t>results</w:t>
      </w:r>
      <w:r>
        <w:rPr>
          <w:rFonts w:cstheme="minorHAnsi"/>
        </w:rPr>
        <w:t>.</w:t>
      </w:r>
    </w:p>
    <w:p w14:paraId="7F00F151" w14:textId="21B1C0CF" w:rsidR="00A422BA" w:rsidRPr="00A422BA" w:rsidRDefault="00B04853" w:rsidP="00B04853">
      <w:pPr>
        <w:spacing w:before="480"/>
        <w:jc w:val="center"/>
        <w:rPr>
          <w:rFonts w:cstheme="minorHAnsi"/>
          <w:u w:val="single"/>
        </w:rPr>
      </w:pPr>
      <w:r>
        <w:rPr>
          <w:rFonts w:cstheme="minorHAnsi"/>
        </w:rPr>
        <w:t>_________________</w:t>
      </w:r>
    </w:p>
    <w:sectPr w:rsidR="00A422BA" w:rsidRPr="00A422BA" w:rsidSect="002A1458">
      <w:headerReference w:type="default" r:id="rId20"/>
      <w:footerReference w:type="first" r:id="rId21"/>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F58A8" w14:textId="77777777" w:rsidR="00A66772" w:rsidRDefault="00A66772">
      <w:r>
        <w:separator/>
      </w:r>
    </w:p>
  </w:endnote>
  <w:endnote w:type="continuationSeparator" w:id="0">
    <w:p w14:paraId="2265CA3E" w14:textId="77777777" w:rsidR="00A66772" w:rsidRDefault="00A66772">
      <w:r>
        <w:continuationSeparator/>
      </w:r>
    </w:p>
  </w:endnote>
  <w:endnote w:type="continuationNotice" w:id="1">
    <w:p w14:paraId="17BCA448" w14:textId="77777777" w:rsidR="00A66772" w:rsidRDefault="00A6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EF1B" w14:textId="062E79A0" w:rsidR="00E53D0A" w:rsidRPr="00B04853" w:rsidRDefault="00E53D0A" w:rsidP="00B04853">
    <w:pPr>
      <w:jc w:val="center"/>
      <w:rPr>
        <w:szCs w:val="22"/>
      </w:rPr>
    </w:pPr>
    <w:r w:rsidRPr="00756E92">
      <w:rPr>
        <w:szCs w:val="22"/>
      </w:rPr>
      <w:t xml:space="preserve">• </w:t>
    </w:r>
    <w:hyperlink r:id="rId1" w:history="1">
      <w:r w:rsidRPr="00756E92">
        <w:rPr>
          <w:rStyle w:val="Hyperlink"/>
          <w:szCs w:val="22"/>
        </w:rPr>
        <w:t>http://www.itu.int/council</w:t>
      </w:r>
    </w:hyperlink>
    <w:r w:rsidRPr="00756E92">
      <w:rPr>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C1FC" w14:textId="77777777" w:rsidR="00A66772" w:rsidRDefault="00A66772">
      <w:r>
        <w:separator/>
      </w:r>
    </w:p>
  </w:footnote>
  <w:footnote w:type="continuationSeparator" w:id="0">
    <w:p w14:paraId="30B5C9BB" w14:textId="77777777" w:rsidR="00A66772" w:rsidRDefault="00A66772">
      <w:r>
        <w:continuationSeparator/>
      </w:r>
    </w:p>
  </w:footnote>
  <w:footnote w:type="continuationNotice" w:id="1">
    <w:p w14:paraId="73F2D779" w14:textId="77777777" w:rsidR="00A66772" w:rsidRDefault="00A667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EF19" w14:textId="63F3CE0F" w:rsidR="00E53D0A" w:rsidRPr="002A1458" w:rsidRDefault="00E53D0A"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B04853">
      <w:rPr>
        <w:noProof/>
        <w:sz w:val="18"/>
        <w:szCs w:val="20"/>
      </w:rPr>
      <w:t>2</w:t>
    </w:r>
    <w:r w:rsidRPr="002A1458">
      <w:rPr>
        <w:noProof/>
        <w:sz w:val="18"/>
        <w:szCs w:val="20"/>
      </w:rPr>
      <w:fldChar w:fldCharType="end"/>
    </w:r>
    <w:r w:rsidR="00A25464">
      <w:rPr>
        <w:noProof/>
        <w:sz w:val="18"/>
        <w:szCs w:val="20"/>
      </w:rPr>
      <w:t>/</w:t>
    </w:r>
    <w:r w:rsidR="00A25464">
      <w:rPr>
        <w:noProof/>
        <w:sz w:val="18"/>
        <w:szCs w:val="20"/>
      </w:rPr>
      <w:fldChar w:fldCharType="begin"/>
    </w:r>
    <w:r w:rsidR="00A25464">
      <w:rPr>
        <w:noProof/>
        <w:sz w:val="18"/>
        <w:szCs w:val="20"/>
      </w:rPr>
      <w:instrText xml:space="preserve"> NUMPAGES   \* MERGEFORMAT </w:instrText>
    </w:r>
    <w:r w:rsidR="00A25464">
      <w:rPr>
        <w:noProof/>
        <w:sz w:val="18"/>
        <w:szCs w:val="20"/>
      </w:rPr>
      <w:fldChar w:fldCharType="separate"/>
    </w:r>
    <w:r w:rsidR="00B04853">
      <w:rPr>
        <w:noProof/>
        <w:sz w:val="18"/>
        <w:szCs w:val="20"/>
      </w:rPr>
      <w:t>4</w:t>
    </w:r>
    <w:r w:rsidR="00A25464">
      <w:rPr>
        <w:noProof/>
        <w:sz w:val="18"/>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9AF"/>
    <w:multiLevelType w:val="multilevel"/>
    <w:tmpl w:val="19D8D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254F4"/>
    <w:multiLevelType w:val="multilevel"/>
    <w:tmpl w:val="94840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36C60"/>
    <w:multiLevelType w:val="multilevel"/>
    <w:tmpl w:val="ECC6E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36C60"/>
    <w:multiLevelType w:val="hybridMultilevel"/>
    <w:tmpl w:val="2B941914"/>
    <w:lvl w:ilvl="0" w:tplc="D4323866">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561308"/>
    <w:multiLevelType w:val="multilevel"/>
    <w:tmpl w:val="AD32D81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40449"/>
    <w:multiLevelType w:val="multilevel"/>
    <w:tmpl w:val="02CE0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D356E1"/>
    <w:multiLevelType w:val="hybridMultilevel"/>
    <w:tmpl w:val="96B05F6E"/>
    <w:lvl w:ilvl="0" w:tplc="D4323866">
      <w:numFmt w:val="bullet"/>
      <w:lvlText w:val="-"/>
      <w:lvlJc w:val="left"/>
      <w:pPr>
        <w:ind w:left="1778" w:hanging="360"/>
      </w:pPr>
      <w:rPr>
        <w:rFonts w:ascii="Calibri" w:eastAsia="SimSun"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D1002DE"/>
    <w:multiLevelType w:val="hybridMultilevel"/>
    <w:tmpl w:val="7BB8D5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E0167E"/>
    <w:multiLevelType w:val="multilevel"/>
    <w:tmpl w:val="1D1879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952DE"/>
    <w:multiLevelType w:val="multilevel"/>
    <w:tmpl w:val="244268F2"/>
    <w:lvl w:ilvl="0">
      <w:start w:val="2"/>
      <w:numFmt w:val="decimal"/>
      <w:lvlText w:val="%1."/>
      <w:lvlJc w:val="left"/>
      <w:pPr>
        <w:ind w:left="360" w:hanging="360"/>
      </w:pPr>
      <w:rPr>
        <w:rFonts w:hint="default"/>
      </w:rPr>
    </w:lvl>
    <w:lvl w:ilvl="1">
      <w:start w:val="1"/>
      <w:numFmt w:val="decimal"/>
      <w:isLgl/>
      <w:lvlText w:val="%1.%2"/>
      <w:lvlJc w:val="left"/>
      <w:pPr>
        <w:ind w:left="708" w:hanging="708"/>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F61084"/>
    <w:multiLevelType w:val="hybridMultilevel"/>
    <w:tmpl w:val="9306DCEE"/>
    <w:lvl w:ilvl="0" w:tplc="2F3A27FA">
      <w:numFmt w:val="bullet"/>
      <w:lvlText w:val="-"/>
      <w:lvlJc w:val="left"/>
      <w:pPr>
        <w:ind w:left="213" w:hanging="109"/>
      </w:pPr>
      <w:rPr>
        <w:rFonts w:ascii="Arial Narrow" w:eastAsia="Arial Narrow" w:hAnsi="Arial Narrow" w:cs="Arial Narrow" w:hint="default"/>
        <w:color w:val="666666"/>
        <w:w w:val="111"/>
        <w:sz w:val="20"/>
        <w:szCs w:val="20"/>
      </w:rPr>
    </w:lvl>
    <w:lvl w:ilvl="1" w:tplc="06F66B36">
      <w:numFmt w:val="bullet"/>
      <w:lvlText w:val="•"/>
      <w:lvlJc w:val="left"/>
      <w:pPr>
        <w:ind w:left="886" w:hanging="109"/>
      </w:pPr>
      <w:rPr>
        <w:rFonts w:hint="default"/>
      </w:rPr>
    </w:lvl>
    <w:lvl w:ilvl="2" w:tplc="594AE482">
      <w:numFmt w:val="bullet"/>
      <w:lvlText w:val="•"/>
      <w:lvlJc w:val="left"/>
      <w:pPr>
        <w:ind w:left="1552" w:hanging="109"/>
      </w:pPr>
      <w:rPr>
        <w:rFonts w:hint="default"/>
      </w:rPr>
    </w:lvl>
    <w:lvl w:ilvl="3" w:tplc="E076C858">
      <w:numFmt w:val="bullet"/>
      <w:lvlText w:val="•"/>
      <w:lvlJc w:val="left"/>
      <w:pPr>
        <w:ind w:left="2218" w:hanging="109"/>
      </w:pPr>
      <w:rPr>
        <w:rFonts w:hint="default"/>
      </w:rPr>
    </w:lvl>
    <w:lvl w:ilvl="4" w:tplc="84CC10FC">
      <w:numFmt w:val="bullet"/>
      <w:lvlText w:val="•"/>
      <w:lvlJc w:val="left"/>
      <w:pPr>
        <w:ind w:left="2884" w:hanging="109"/>
      </w:pPr>
      <w:rPr>
        <w:rFonts w:hint="default"/>
      </w:rPr>
    </w:lvl>
    <w:lvl w:ilvl="5" w:tplc="03923A64">
      <w:numFmt w:val="bullet"/>
      <w:lvlText w:val="•"/>
      <w:lvlJc w:val="left"/>
      <w:pPr>
        <w:ind w:left="3550" w:hanging="109"/>
      </w:pPr>
      <w:rPr>
        <w:rFonts w:hint="default"/>
      </w:rPr>
    </w:lvl>
    <w:lvl w:ilvl="6" w:tplc="6F3CB9DA">
      <w:numFmt w:val="bullet"/>
      <w:lvlText w:val="•"/>
      <w:lvlJc w:val="left"/>
      <w:pPr>
        <w:ind w:left="4216" w:hanging="109"/>
      </w:pPr>
      <w:rPr>
        <w:rFonts w:hint="default"/>
      </w:rPr>
    </w:lvl>
    <w:lvl w:ilvl="7" w:tplc="7C2E7D74">
      <w:numFmt w:val="bullet"/>
      <w:lvlText w:val="•"/>
      <w:lvlJc w:val="left"/>
      <w:pPr>
        <w:ind w:left="4882" w:hanging="109"/>
      </w:pPr>
      <w:rPr>
        <w:rFonts w:hint="default"/>
      </w:rPr>
    </w:lvl>
    <w:lvl w:ilvl="8" w:tplc="6792AA40">
      <w:numFmt w:val="bullet"/>
      <w:lvlText w:val="•"/>
      <w:lvlJc w:val="left"/>
      <w:pPr>
        <w:ind w:left="5548" w:hanging="109"/>
      </w:pPr>
      <w:rPr>
        <w:rFonts w:hint="default"/>
      </w:rPr>
    </w:lvl>
  </w:abstractNum>
  <w:abstractNum w:abstractNumId="12" w15:restartNumberingAfterBreak="0">
    <w:nsid w:val="34961349"/>
    <w:multiLevelType w:val="multilevel"/>
    <w:tmpl w:val="634E107C"/>
    <w:lvl w:ilvl="0">
      <w:start w:val="1"/>
      <w:numFmt w:val="decimal"/>
      <w:lvlText w:val="%1."/>
      <w:lvlJc w:val="left"/>
      <w:pPr>
        <w:ind w:left="360" w:hanging="360"/>
      </w:pPr>
      <w:rPr>
        <w:rFonts w:hint="default"/>
      </w:rPr>
    </w:lvl>
    <w:lvl w:ilvl="1">
      <w:start w:val="1"/>
      <w:numFmt w:val="decimal"/>
      <w:isLgl/>
      <w:lvlText w:val="%1.%2"/>
      <w:lvlJc w:val="left"/>
      <w:pPr>
        <w:ind w:left="708" w:hanging="708"/>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3336DE"/>
    <w:multiLevelType w:val="multilevel"/>
    <w:tmpl w:val="48B6CC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E93CB6"/>
    <w:multiLevelType w:val="multilevel"/>
    <w:tmpl w:val="BB16F1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6E63F8"/>
    <w:multiLevelType w:val="multilevel"/>
    <w:tmpl w:val="04090025"/>
    <w:lvl w:ilvl="0">
      <w:start w:val="1"/>
      <w:numFmt w:val="decimal"/>
      <w:pStyle w:val="Heading1"/>
      <w:lvlText w:val="%1"/>
      <w:lvlJc w:val="left"/>
      <w:pPr>
        <w:ind w:left="5678"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D11059E"/>
    <w:multiLevelType w:val="hybridMultilevel"/>
    <w:tmpl w:val="7D128A4A"/>
    <w:lvl w:ilvl="0" w:tplc="08090001">
      <w:start w:val="1"/>
      <w:numFmt w:val="bullet"/>
      <w:lvlText w:val=""/>
      <w:lvlJc w:val="left"/>
      <w:pPr>
        <w:ind w:left="1155" w:hanging="79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324A4"/>
    <w:multiLevelType w:val="multilevel"/>
    <w:tmpl w:val="E1CC11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A02D3B"/>
    <w:multiLevelType w:val="multilevel"/>
    <w:tmpl w:val="D68EBC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605B94"/>
    <w:multiLevelType w:val="multilevel"/>
    <w:tmpl w:val="17A22A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7"/>
  </w:num>
  <w:num w:numId="2">
    <w:abstractNumId w:val="12"/>
  </w:num>
  <w:num w:numId="3">
    <w:abstractNumId w:val="10"/>
  </w:num>
  <w:num w:numId="4">
    <w:abstractNumId w:val="5"/>
  </w:num>
  <w:num w:numId="5">
    <w:abstractNumId w:val="18"/>
  </w:num>
  <w:num w:numId="6">
    <w:abstractNumId w:val="11"/>
  </w:num>
  <w:num w:numId="7">
    <w:abstractNumId w:val="8"/>
  </w:num>
  <w:num w:numId="8">
    <w:abstractNumId w:val="4"/>
  </w:num>
  <w:num w:numId="9">
    <w:abstractNumId w:val="7"/>
  </w:num>
  <w:num w:numId="10">
    <w:abstractNumId w:val="0"/>
  </w:num>
  <w:num w:numId="11">
    <w:abstractNumId w:val="13"/>
  </w:num>
  <w:num w:numId="12">
    <w:abstractNumId w:val="6"/>
  </w:num>
  <w:num w:numId="13">
    <w:abstractNumId w:val="21"/>
  </w:num>
  <w:num w:numId="14">
    <w:abstractNumId w:val="15"/>
  </w:num>
  <w:num w:numId="15">
    <w:abstractNumId w:val="19"/>
  </w:num>
  <w:num w:numId="16">
    <w:abstractNumId w:val="20"/>
  </w:num>
  <w:num w:numId="17">
    <w:abstractNumId w:val="16"/>
  </w:num>
  <w:num w:numId="18">
    <w:abstractNumId w:val="1"/>
  </w:num>
  <w:num w:numId="19">
    <w:abstractNumId w:val="16"/>
  </w:num>
  <w:num w:numId="20">
    <w:abstractNumId w:val="14"/>
    <w:lvlOverride w:ilvl="0">
      <w:startOverride w:val="1"/>
    </w:lvlOverride>
  </w:num>
  <w:num w:numId="21">
    <w:abstractNumId w:val="14"/>
    <w:lvlOverride w:ilvl="0"/>
    <w:lvlOverride w:ilvl="1">
      <w:startOverride w:val="1"/>
    </w:lvlOverride>
  </w:num>
  <w:num w:numId="22">
    <w:abstractNumId w:val="3"/>
    <w:lvlOverride w:ilvl="0">
      <w:startOverride w:val="1"/>
    </w:lvlOverride>
  </w:num>
  <w:num w:numId="23">
    <w:abstractNumId w:val="3"/>
    <w:lvlOverride w:ilvl="0"/>
    <w:lvlOverride w:ilvl="1">
      <w:startOverride w:val="1"/>
    </w:lvlOverride>
  </w:num>
  <w:num w:numId="24">
    <w:abstractNumId w:val="9"/>
    <w:lvlOverride w:ilvl="0">
      <w:startOverride w:val="1"/>
    </w:lvlOverride>
  </w:num>
  <w:num w:numId="25">
    <w:abstractNumId w:val="9"/>
    <w:lvlOverride w:ilvl="0"/>
    <w:lvlOverride w:ilvl="1">
      <w:startOverride w:val="1"/>
    </w:lvlOverride>
  </w:num>
  <w:num w:numId="26">
    <w:abstractNumId w:val="2"/>
    <w:lvlOverride w:ilvl="0">
      <w:startOverride w:val="1"/>
    </w:lvlOverride>
  </w:num>
  <w:num w:numId="27">
    <w:abstractNumId w:val="2"/>
    <w:lvlOverride w:ilvl="0"/>
    <w:lvlOverride w:ilvl="1">
      <w:startOverride w:val="1"/>
    </w:lvlOverride>
  </w:num>
  <w:num w:numId="28">
    <w:abstractNumId w:val="2"/>
    <w:lvlOverride w:ilvl="0"/>
    <w:lvlOverride w:ilvl="1">
      <w:startOverride w:val="1"/>
    </w:lvlOverride>
  </w:num>
  <w:num w:numId="29">
    <w:abstractNumId w:val="2"/>
    <w:lvlOverride w:ilvl="0"/>
    <w:lvlOverride w:ilvl="1">
      <w:startOverride w:val="1"/>
    </w:lvlOverride>
  </w:num>
  <w:num w:numId="30">
    <w:abstractNumId w:val="2"/>
    <w:lvlOverride w:ilvl="0"/>
    <w:lvlOverride w:ilvl="1">
      <w:startOverride w:val="1"/>
    </w:lvlOverride>
  </w:num>
  <w:num w:numId="31">
    <w:abstractNumId w:val="2"/>
    <w:lvlOverride w:ilvl="0"/>
    <w:lvlOverride w:ilvl="1">
      <w:startOverride w:val="1"/>
    </w:lvlOverride>
  </w:num>
  <w:num w:numId="32">
    <w:abstractNumId w:val="2"/>
    <w:lvlOverride w:ilvl="0"/>
    <w:lvlOverride w:ilvl="1">
      <w:startOverride w:val="1"/>
    </w:lvlOverride>
  </w:num>
  <w:num w:numId="33">
    <w:abstractNumId w:val="2"/>
    <w:lvlOverride w:ilvl="0"/>
    <w:lvlOverride w:ilvl="1">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1D7"/>
    <w:rsid w:val="00001A9C"/>
    <w:rsid w:val="000038C4"/>
    <w:rsid w:val="00006AF8"/>
    <w:rsid w:val="00007D16"/>
    <w:rsid w:val="00007F7F"/>
    <w:rsid w:val="00010C32"/>
    <w:rsid w:val="00010F48"/>
    <w:rsid w:val="000147CA"/>
    <w:rsid w:val="000164FF"/>
    <w:rsid w:val="0001781D"/>
    <w:rsid w:val="000212C1"/>
    <w:rsid w:val="0002197D"/>
    <w:rsid w:val="00021DF9"/>
    <w:rsid w:val="0002607F"/>
    <w:rsid w:val="000264BE"/>
    <w:rsid w:val="0002661F"/>
    <w:rsid w:val="000268B0"/>
    <w:rsid w:val="00027767"/>
    <w:rsid w:val="0003282D"/>
    <w:rsid w:val="000430D1"/>
    <w:rsid w:val="00047F0D"/>
    <w:rsid w:val="00052578"/>
    <w:rsid w:val="00052886"/>
    <w:rsid w:val="00052EB0"/>
    <w:rsid w:val="00053AFF"/>
    <w:rsid w:val="00053C26"/>
    <w:rsid w:val="00053FE3"/>
    <w:rsid w:val="00054724"/>
    <w:rsid w:val="000548E3"/>
    <w:rsid w:val="0006023C"/>
    <w:rsid w:val="00060990"/>
    <w:rsid w:val="0006108F"/>
    <w:rsid w:val="00061780"/>
    <w:rsid w:val="00065E3D"/>
    <w:rsid w:val="00065F2A"/>
    <w:rsid w:val="000720AB"/>
    <w:rsid w:val="00073F35"/>
    <w:rsid w:val="0007733F"/>
    <w:rsid w:val="000811C5"/>
    <w:rsid w:val="000819D5"/>
    <w:rsid w:val="0008236A"/>
    <w:rsid w:val="00082ED7"/>
    <w:rsid w:val="00083D81"/>
    <w:rsid w:val="000929FF"/>
    <w:rsid w:val="00093ACA"/>
    <w:rsid w:val="000A1688"/>
    <w:rsid w:val="000A24B2"/>
    <w:rsid w:val="000A5071"/>
    <w:rsid w:val="000A780C"/>
    <w:rsid w:val="000B132A"/>
    <w:rsid w:val="000B4C95"/>
    <w:rsid w:val="000C20DC"/>
    <w:rsid w:val="000C2A2E"/>
    <w:rsid w:val="000C2C28"/>
    <w:rsid w:val="000C4839"/>
    <w:rsid w:val="000C6244"/>
    <w:rsid w:val="000D1EC9"/>
    <w:rsid w:val="000D4359"/>
    <w:rsid w:val="000D746E"/>
    <w:rsid w:val="000E0B2E"/>
    <w:rsid w:val="000E287F"/>
    <w:rsid w:val="000E375D"/>
    <w:rsid w:val="000E6444"/>
    <w:rsid w:val="000E6F49"/>
    <w:rsid w:val="000E738E"/>
    <w:rsid w:val="000F2C37"/>
    <w:rsid w:val="000F2E67"/>
    <w:rsid w:val="000F366F"/>
    <w:rsid w:val="000F41E9"/>
    <w:rsid w:val="000F6B66"/>
    <w:rsid w:val="000F7587"/>
    <w:rsid w:val="0010077D"/>
    <w:rsid w:val="00100FFB"/>
    <w:rsid w:val="001012BC"/>
    <w:rsid w:val="0010361A"/>
    <w:rsid w:val="0010375B"/>
    <w:rsid w:val="001054A9"/>
    <w:rsid w:val="00111A8A"/>
    <w:rsid w:val="001158FB"/>
    <w:rsid w:val="001164E6"/>
    <w:rsid w:val="001217CF"/>
    <w:rsid w:val="00121D0F"/>
    <w:rsid w:val="00122205"/>
    <w:rsid w:val="00123323"/>
    <w:rsid w:val="0012767B"/>
    <w:rsid w:val="00130BEC"/>
    <w:rsid w:val="00131C9E"/>
    <w:rsid w:val="00134324"/>
    <w:rsid w:val="001357CB"/>
    <w:rsid w:val="00137D75"/>
    <w:rsid w:val="0014173E"/>
    <w:rsid w:val="00143AFF"/>
    <w:rsid w:val="00145665"/>
    <w:rsid w:val="00151F6B"/>
    <w:rsid w:val="0016187F"/>
    <w:rsid w:val="001665A9"/>
    <w:rsid w:val="001668F0"/>
    <w:rsid w:val="0017057A"/>
    <w:rsid w:val="00170CA0"/>
    <w:rsid w:val="001743A1"/>
    <w:rsid w:val="00174893"/>
    <w:rsid w:val="001769D9"/>
    <w:rsid w:val="00190091"/>
    <w:rsid w:val="00193826"/>
    <w:rsid w:val="001947BC"/>
    <w:rsid w:val="00194AC8"/>
    <w:rsid w:val="001962CD"/>
    <w:rsid w:val="001A1E52"/>
    <w:rsid w:val="001A58AB"/>
    <w:rsid w:val="001A6185"/>
    <w:rsid w:val="001B0D22"/>
    <w:rsid w:val="001B17B9"/>
    <w:rsid w:val="001B3FBE"/>
    <w:rsid w:val="001B506B"/>
    <w:rsid w:val="001B5EDA"/>
    <w:rsid w:val="001B6082"/>
    <w:rsid w:val="001B776D"/>
    <w:rsid w:val="001B7A37"/>
    <w:rsid w:val="001C230E"/>
    <w:rsid w:val="001C2863"/>
    <w:rsid w:val="001C36A8"/>
    <w:rsid w:val="001C4440"/>
    <w:rsid w:val="001C533D"/>
    <w:rsid w:val="001D16E1"/>
    <w:rsid w:val="001D27FE"/>
    <w:rsid w:val="001D6882"/>
    <w:rsid w:val="001D69BE"/>
    <w:rsid w:val="001D6BE4"/>
    <w:rsid w:val="001D709C"/>
    <w:rsid w:val="001E20A5"/>
    <w:rsid w:val="001E4BD2"/>
    <w:rsid w:val="001E5885"/>
    <w:rsid w:val="001E5B3B"/>
    <w:rsid w:val="001E68BC"/>
    <w:rsid w:val="001F4ED8"/>
    <w:rsid w:val="00200486"/>
    <w:rsid w:val="00200CD5"/>
    <w:rsid w:val="00201617"/>
    <w:rsid w:val="00204851"/>
    <w:rsid w:val="0020692F"/>
    <w:rsid w:val="002070AD"/>
    <w:rsid w:val="00207123"/>
    <w:rsid w:val="002079BE"/>
    <w:rsid w:val="00210617"/>
    <w:rsid w:val="002112BA"/>
    <w:rsid w:val="0021145F"/>
    <w:rsid w:val="00212BF7"/>
    <w:rsid w:val="00214150"/>
    <w:rsid w:val="0022078A"/>
    <w:rsid w:val="00220AD6"/>
    <w:rsid w:val="002228D5"/>
    <w:rsid w:val="00224F0F"/>
    <w:rsid w:val="0022556C"/>
    <w:rsid w:val="00225DF4"/>
    <w:rsid w:val="00231E1D"/>
    <w:rsid w:val="00234D49"/>
    <w:rsid w:val="00236174"/>
    <w:rsid w:val="002363BD"/>
    <w:rsid w:val="0024200E"/>
    <w:rsid w:val="002427C0"/>
    <w:rsid w:val="00243040"/>
    <w:rsid w:val="00246F12"/>
    <w:rsid w:val="00251AC8"/>
    <w:rsid w:val="00253185"/>
    <w:rsid w:val="00253744"/>
    <w:rsid w:val="0026019F"/>
    <w:rsid w:val="00260D49"/>
    <w:rsid w:val="00261ACE"/>
    <w:rsid w:val="00262AD2"/>
    <w:rsid w:val="002650CA"/>
    <w:rsid w:val="0026646E"/>
    <w:rsid w:val="00266D8D"/>
    <w:rsid w:val="002773E1"/>
    <w:rsid w:val="00277688"/>
    <w:rsid w:val="00277E4A"/>
    <w:rsid w:val="0028438C"/>
    <w:rsid w:val="00284552"/>
    <w:rsid w:val="00287A13"/>
    <w:rsid w:val="00291555"/>
    <w:rsid w:val="00291F7C"/>
    <w:rsid w:val="00292EB7"/>
    <w:rsid w:val="00293ADB"/>
    <w:rsid w:val="002A09B4"/>
    <w:rsid w:val="002A1458"/>
    <w:rsid w:val="002A173B"/>
    <w:rsid w:val="002A264E"/>
    <w:rsid w:val="002A41E9"/>
    <w:rsid w:val="002A6723"/>
    <w:rsid w:val="002A6B9A"/>
    <w:rsid w:val="002A72E6"/>
    <w:rsid w:val="002A7AB0"/>
    <w:rsid w:val="002B4498"/>
    <w:rsid w:val="002B4C20"/>
    <w:rsid w:val="002B7B14"/>
    <w:rsid w:val="002B7F6E"/>
    <w:rsid w:val="002C2E0A"/>
    <w:rsid w:val="002C3E5B"/>
    <w:rsid w:val="002D0596"/>
    <w:rsid w:val="002D0DFD"/>
    <w:rsid w:val="002D0F7E"/>
    <w:rsid w:val="002D3F92"/>
    <w:rsid w:val="002D56EA"/>
    <w:rsid w:val="002E04CE"/>
    <w:rsid w:val="002E101D"/>
    <w:rsid w:val="002E15CB"/>
    <w:rsid w:val="002E581D"/>
    <w:rsid w:val="002E5B9B"/>
    <w:rsid w:val="002F150A"/>
    <w:rsid w:val="003010A1"/>
    <w:rsid w:val="00302584"/>
    <w:rsid w:val="00302B27"/>
    <w:rsid w:val="00306388"/>
    <w:rsid w:val="00307AF2"/>
    <w:rsid w:val="00310FCA"/>
    <w:rsid w:val="003126FD"/>
    <w:rsid w:val="00312766"/>
    <w:rsid w:val="00315C60"/>
    <w:rsid w:val="0031621F"/>
    <w:rsid w:val="00323B53"/>
    <w:rsid w:val="00332B82"/>
    <w:rsid w:val="003341A5"/>
    <w:rsid w:val="00334938"/>
    <w:rsid w:val="0033586D"/>
    <w:rsid w:val="00340D47"/>
    <w:rsid w:val="00342898"/>
    <w:rsid w:val="00344CAA"/>
    <w:rsid w:val="00344DC5"/>
    <w:rsid w:val="0034736F"/>
    <w:rsid w:val="00347E04"/>
    <w:rsid w:val="003573BA"/>
    <w:rsid w:val="00366DC6"/>
    <w:rsid w:val="00374C2C"/>
    <w:rsid w:val="0037552B"/>
    <w:rsid w:val="003760DB"/>
    <w:rsid w:val="0038108B"/>
    <w:rsid w:val="00382464"/>
    <w:rsid w:val="003827A5"/>
    <w:rsid w:val="003834F8"/>
    <w:rsid w:val="00383935"/>
    <w:rsid w:val="0038562C"/>
    <w:rsid w:val="00387EC8"/>
    <w:rsid w:val="00390067"/>
    <w:rsid w:val="00391655"/>
    <w:rsid w:val="003917D7"/>
    <w:rsid w:val="0039422C"/>
    <w:rsid w:val="00394C20"/>
    <w:rsid w:val="003A2B40"/>
    <w:rsid w:val="003A3B23"/>
    <w:rsid w:val="003A4B43"/>
    <w:rsid w:val="003A4FC0"/>
    <w:rsid w:val="003A5E17"/>
    <w:rsid w:val="003B306B"/>
    <w:rsid w:val="003B63AE"/>
    <w:rsid w:val="003C1B04"/>
    <w:rsid w:val="003C441A"/>
    <w:rsid w:val="003C5DCE"/>
    <w:rsid w:val="003D1349"/>
    <w:rsid w:val="003D1F22"/>
    <w:rsid w:val="003D38E2"/>
    <w:rsid w:val="003D7FD9"/>
    <w:rsid w:val="003E071A"/>
    <w:rsid w:val="003E74D8"/>
    <w:rsid w:val="003E7E4F"/>
    <w:rsid w:val="003F2F82"/>
    <w:rsid w:val="003F36AF"/>
    <w:rsid w:val="003F6014"/>
    <w:rsid w:val="003F7794"/>
    <w:rsid w:val="00400642"/>
    <w:rsid w:val="00401FA7"/>
    <w:rsid w:val="00403A79"/>
    <w:rsid w:val="004049C4"/>
    <w:rsid w:val="00405880"/>
    <w:rsid w:val="00405A0C"/>
    <w:rsid w:val="004061AF"/>
    <w:rsid w:val="00406379"/>
    <w:rsid w:val="00406503"/>
    <w:rsid w:val="00406D07"/>
    <w:rsid w:val="004110D2"/>
    <w:rsid w:val="0041154D"/>
    <w:rsid w:val="00411DEF"/>
    <w:rsid w:val="00412020"/>
    <w:rsid w:val="00417936"/>
    <w:rsid w:val="00420B01"/>
    <w:rsid w:val="00423041"/>
    <w:rsid w:val="004232D9"/>
    <w:rsid w:val="004268D5"/>
    <w:rsid w:val="004303C3"/>
    <w:rsid w:val="00431D53"/>
    <w:rsid w:val="00431EA7"/>
    <w:rsid w:val="00433428"/>
    <w:rsid w:val="004342BF"/>
    <w:rsid w:val="00434926"/>
    <w:rsid w:val="0043494A"/>
    <w:rsid w:val="004351D8"/>
    <w:rsid w:val="0043742A"/>
    <w:rsid w:val="00441E09"/>
    <w:rsid w:val="00446F44"/>
    <w:rsid w:val="00453636"/>
    <w:rsid w:val="00455626"/>
    <w:rsid w:val="0045624E"/>
    <w:rsid w:val="00457B00"/>
    <w:rsid w:val="00462377"/>
    <w:rsid w:val="00463349"/>
    <w:rsid w:val="00463A64"/>
    <w:rsid w:val="00464E5C"/>
    <w:rsid w:val="00471036"/>
    <w:rsid w:val="00471063"/>
    <w:rsid w:val="00473B64"/>
    <w:rsid w:val="0047434D"/>
    <w:rsid w:val="00477A11"/>
    <w:rsid w:val="004812CB"/>
    <w:rsid w:val="004855FD"/>
    <w:rsid w:val="00486CB6"/>
    <w:rsid w:val="004944DB"/>
    <w:rsid w:val="00496213"/>
    <w:rsid w:val="004A0CD0"/>
    <w:rsid w:val="004A11BC"/>
    <w:rsid w:val="004B127B"/>
    <w:rsid w:val="004B12FC"/>
    <w:rsid w:val="004B26CF"/>
    <w:rsid w:val="004C1A8E"/>
    <w:rsid w:val="004C45D3"/>
    <w:rsid w:val="004C4DBE"/>
    <w:rsid w:val="004C53CF"/>
    <w:rsid w:val="004C72E3"/>
    <w:rsid w:val="004D2BE6"/>
    <w:rsid w:val="004D3913"/>
    <w:rsid w:val="004D44BF"/>
    <w:rsid w:val="004D48DF"/>
    <w:rsid w:val="004D4F15"/>
    <w:rsid w:val="004E2A9A"/>
    <w:rsid w:val="004E5922"/>
    <w:rsid w:val="004E59D9"/>
    <w:rsid w:val="004F5D70"/>
    <w:rsid w:val="00502CCA"/>
    <w:rsid w:val="005070D4"/>
    <w:rsid w:val="00510FAF"/>
    <w:rsid w:val="00513A75"/>
    <w:rsid w:val="00514EEE"/>
    <w:rsid w:val="00517D8D"/>
    <w:rsid w:val="00524EF4"/>
    <w:rsid w:val="00530D10"/>
    <w:rsid w:val="005325DA"/>
    <w:rsid w:val="00532C41"/>
    <w:rsid w:val="00533490"/>
    <w:rsid w:val="00533519"/>
    <w:rsid w:val="0053382F"/>
    <w:rsid w:val="005364C3"/>
    <w:rsid w:val="00536CF3"/>
    <w:rsid w:val="0054047D"/>
    <w:rsid w:val="00540868"/>
    <w:rsid w:val="00545DD0"/>
    <w:rsid w:val="00550C3D"/>
    <w:rsid w:val="005523DF"/>
    <w:rsid w:val="0055297E"/>
    <w:rsid w:val="005533AA"/>
    <w:rsid w:val="005536E2"/>
    <w:rsid w:val="00554143"/>
    <w:rsid w:val="00555C6E"/>
    <w:rsid w:val="00566BFF"/>
    <w:rsid w:val="00570622"/>
    <w:rsid w:val="00570FC0"/>
    <w:rsid w:val="00571DB9"/>
    <w:rsid w:val="00575631"/>
    <w:rsid w:val="00576068"/>
    <w:rsid w:val="0057653D"/>
    <w:rsid w:val="0058098A"/>
    <w:rsid w:val="00580A4A"/>
    <w:rsid w:val="00581062"/>
    <w:rsid w:val="005816C5"/>
    <w:rsid w:val="005817AC"/>
    <w:rsid w:val="00582047"/>
    <w:rsid w:val="00586ABC"/>
    <w:rsid w:val="005940F0"/>
    <w:rsid w:val="0059492C"/>
    <w:rsid w:val="005A000B"/>
    <w:rsid w:val="005A09AC"/>
    <w:rsid w:val="005A39BB"/>
    <w:rsid w:val="005A3ABC"/>
    <w:rsid w:val="005A4CCB"/>
    <w:rsid w:val="005A58DC"/>
    <w:rsid w:val="005B231B"/>
    <w:rsid w:val="005B5D4C"/>
    <w:rsid w:val="005C295A"/>
    <w:rsid w:val="005C3310"/>
    <w:rsid w:val="005C3678"/>
    <w:rsid w:val="005C510E"/>
    <w:rsid w:val="005C51C0"/>
    <w:rsid w:val="005C55D0"/>
    <w:rsid w:val="005C5683"/>
    <w:rsid w:val="005C6602"/>
    <w:rsid w:val="005D010A"/>
    <w:rsid w:val="005D23BD"/>
    <w:rsid w:val="005D55E2"/>
    <w:rsid w:val="005D676E"/>
    <w:rsid w:val="005D7FBC"/>
    <w:rsid w:val="005E3645"/>
    <w:rsid w:val="005E4B0A"/>
    <w:rsid w:val="005E6248"/>
    <w:rsid w:val="005E73AB"/>
    <w:rsid w:val="005F0DAC"/>
    <w:rsid w:val="005F153A"/>
    <w:rsid w:val="005F3C9A"/>
    <w:rsid w:val="005F42CA"/>
    <w:rsid w:val="005F43BC"/>
    <w:rsid w:val="005F5943"/>
    <w:rsid w:val="005F6E60"/>
    <w:rsid w:val="005F716F"/>
    <w:rsid w:val="005F7189"/>
    <w:rsid w:val="005F7C2E"/>
    <w:rsid w:val="006006FD"/>
    <w:rsid w:val="00602355"/>
    <w:rsid w:val="00602B67"/>
    <w:rsid w:val="00607F0B"/>
    <w:rsid w:val="00611188"/>
    <w:rsid w:val="0061584A"/>
    <w:rsid w:val="00616D37"/>
    <w:rsid w:val="006204DB"/>
    <w:rsid w:val="00623E67"/>
    <w:rsid w:val="006245D7"/>
    <w:rsid w:val="00624887"/>
    <w:rsid w:val="00626262"/>
    <w:rsid w:val="00630805"/>
    <w:rsid w:val="00635161"/>
    <w:rsid w:val="006364C7"/>
    <w:rsid w:val="006367B6"/>
    <w:rsid w:val="00636A9A"/>
    <w:rsid w:val="0064055B"/>
    <w:rsid w:val="00642B5B"/>
    <w:rsid w:val="006463AB"/>
    <w:rsid w:val="006477FD"/>
    <w:rsid w:val="00654B25"/>
    <w:rsid w:val="00656B2D"/>
    <w:rsid w:val="0066128F"/>
    <w:rsid w:val="00665F5E"/>
    <w:rsid w:val="006664F0"/>
    <w:rsid w:val="0066704D"/>
    <w:rsid w:val="00671D68"/>
    <w:rsid w:val="0067474B"/>
    <w:rsid w:val="00683733"/>
    <w:rsid w:val="00683C44"/>
    <w:rsid w:val="0068746A"/>
    <w:rsid w:val="00690C46"/>
    <w:rsid w:val="00692A3E"/>
    <w:rsid w:val="00692FA4"/>
    <w:rsid w:val="006938C3"/>
    <w:rsid w:val="00696709"/>
    <w:rsid w:val="006978E5"/>
    <w:rsid w:val="006A02E2"/>
    <w:rsid w:val="006A06FA"/>
    <w:rsid w:val="006A079F"/>
    <w:rsid w:val="006A0E15"/>
    <w:rsid w:val="006A15AC"/>
    <w:rsid w:val="006A2F0C"/>
    <w:rsid w:val="006A35C5"/>
    <w:rsid w:val="006A5095"/>
    <w:rsid w:val="006A6D99"/>
    <w:rsid w:val="006A7527"/>
    <w:rsid w:val="006B13EC"/>
    <w:rsid w:val="006B361F"/>
    <w:rsid w:val="006B39E1"/>
    <w:rsid w:val="006B460D"/>
    <w:rsid w:val="006B7CBE"/>
    <w:rsid w:val="006C1682"/>
    <w:rsid w:val="006C2B40"/>
    <w:rsid w:val="006C364F"/>
    <w:rsid w:val="006C5D53"/>
    <w:rsid w:val="006D18A0"/>
    <w:rsid w:val="006D42F1"/>
    <w:rsid w:val="006D5D09"/>
    <w:rsid w:val="006D70C6"/>
    <w:rsid w:val="006E0FF3"/>
    <w:rsid w:val="006E36F1"/>
    <w:rsid w:val="006E39B8"/>
    <w:rsid w:val="006F0496"/>
    <w:rsid w:val="006F2163"/>
    <w:rsid w:val="006F2E40"/>
    <w:rsid w:val="006F5ACB"/>
    <w:rsid w:val="007003D6"/>
    <w:rsid w:val="0070159C"/>
    <w:rsid w:val="0070262F"/>
    <w:rsid w:val="00704271"/>
    <w:rsid w:val="00704F91"/>
    <w:rsid w:val="007059E5"/>
    <w:rsid w:val="00706E97"/>
    <w:rsid w:val="00713A1D"/>
    <w:rsid w:val="00714D3B"/>
    <w:rsid w:val="007156E4"/>
    <w:rsid w:val="00717F6C"/>
    <w:rsid w:val="0072067D"/>
    <w:rsid w:val="00721EED"/>
    <w:rsid w:val="007255F9"/>
    <w:rsid w:val="007270D0"/>
    <w:rsid w:val="00733871"/>
    <w:rsid w:val="007339D5"/>
    <w:rsid w:val="00734285"/>
    <w:rsid w:val="00740CE0"/>
    <w:rsid w:val="007416AF"/>
    <w:rsid w:val="00742662"/>
    <w:rsid w:val="00743D1C"/>
    <w:rsid w:val="00750401"/>
    <w:rsid w:val="00756E92"/>
    <w:rsid w:val="00757DAC"/>
    <w:rsid w:val="0076010E"/>
    <w:rsid w:val="00764696"/>
    <w:rsid w:val="0077056D"/>
    <w:rsid w:val="0077353C"/>
    <w:rsid w:val="00775A12"/>
    <w:rsid w:val="00776D75"/>
    <w:rsid w:val="00783E51"/>
    <w:rsid w:val="0078643F"/>
    <w:rsid w:val="00790E9D"/>
    <w:rsid w:val="007944BB"/>
    <w:rsid w:val="0079453B"/>
    <w:rsid w:val="00794B99"/>
    <w:rsid w:val="007962C2"/>
    <w:rsid w:val="00797D46"/>
    <w:rsid w:val="007A5462"/>
    <w:rsid w:val="007A54BE"/>
    <w:rsid w:val="007B1D6C"/>
    <w:rsid w:val="007B3243"/>
    <w:rsid w:val="007B3BF2"/>
    <w:rsid w:val="007B7E45"/>
    <w:rsid w:val="007C05A7"/>
    <w:rsid w:val="007C102C"/>
    <w:rsid w:val="007C34B0"/>
    <w:rsid w:val="007C53FA"/>
    <w:rsid w:val="007C5CDF"/>
    <w:rsid w:val="007C7752"/>
    <w:rsid w:val="007D410D"/>
    <w:rsid w:val="007D52E4"/>
    <w:rsid w:val="007D7272"/>
    <w:rsid w:val="007E1149"/>
    <w:rsid w:val="007E2D76"/>
    <w:rsid w:val="007E33CE"/>
    <w:rsid w:val="007E6398"/>
    <w:rsid w:val="007E6DE4"/>
    <w:rsid w:val="007E754E"/>
    <w:rsid w:val="007E77C1"/>
    <w:rsid w:val="007F1EAE"/>
    <w:rsid w:val="007F4450"/>
    <w:rsid w:val="007F5448"/>
    <w:rsid w:val="007F5590"/>
    <w:rsid w:val="007F7EDA"/>
    <w:rsid w:val="008002FF"/>
    <w:rsid w:val="00802028"/>
    <w:rsid w:val="00802ED1"/>
    <w:rsid w:val="00803EC9"/>
    <w:rsid w:val="0080441F"/>
    <w:rsid w:val="00804996"/>
    <w:rsid w:val="00805E05"/>
    <w:rsid w:val="0080713C"/>
    <w:rsid w:val="00811AE1"/>
    <w:rsid w:val="0081426C"/>
    <w:rsid w:val="00815174"/>
    <w:rsid w:val="008151AA"/>
    <w:rsid w:val="00816221"/>
    <w:rsid w:val="00816507"/>
    <w:rsid w:val="00821976"/>
    <w:rsid w:val="00821DAD"/>
    <w:rsid w:val="0082335C"/>
    <w:rsid w:val="008233F9"/>
    <w:rsid w:val="00823D88"/>
    <w:rsid w:val="00830034"/>
    <w:rsid w:val="00830346"/>
    <w:rsid w:val="00831D35"/>
    <w:rsid w:val="0083200C"/>
    <w:rsid w:val="00833DC2"/>
    <w:rsid w:val="00835CD6"/>
    <w:rsid w:val="0084292A"/>
    <w:rsid w:val="00842DFD"/>
    <w:rsid w:val="008446CA"/>
    <w:rsid w:val="0084622B"/>
    <w:rsid w:val="00853371"/>
    <w:rsid w:val="008543CD"/>
    <w:rsid w:val="00861F9C"/>
    <w:rsid w:val="00862AC1"/>
    <w:rsid w:val="00864BB3"/>
    <w:rsid w:val="00872804"/>
    <w:rsid w:val="008749C8"/>
    <w:rsid w:val="0088059A"/>
    <w:rsid w:val="008837A7"/>
    <w:rsid w:val="00883936"/>
    <w:rsid w:val="00887F43"/>
    <w:rsid w:val="00891BFC"/>
    <w:rsid w:val="00891D33"/>
    <w:rsid w:val="00893BBD"/>
    <w:rsid w:val="00894A9C"/>
    <w:rsid w:val="00896CC4"/>
    <w:rsid w:val="00897007"/>
    <w:rsid w:val="008A0AAD"/>
    <w:rsid w:val="008A0F72"/>
    <w:rsid w:val="008A2445"/>
    <w:rsid w:val="008A292E"/>
    <w:rsid w:val="008A2BD9"/>
    <w:rsid w:val="008A4F01"/>
    <w:rsid w:val="008B00AD"/>
    <w:rsid w:val="008B2638"/>
    <w:rsid w:val="008B283E"/>
    <w:rsid w:val="008B2C85"/>
    <w:rsid w:val="008B3252"/>
    <w:rsid w:val="008B49C0"/>
    <w:rsid w:val="008B56C2"/>
    <w:rsid w:val="008B7141"/>
    <w:rsid w:val="008C173B"/>
    <w:rsid w:val="008C2C8E"/>
    <w:rsid w:val="008D18C5"/>
    <w:rsid w:val="008D1B8D"/>
    <w:rsid w:val="008D1DB1"/>
    <w:rsid w:val="008D29D1"/>
    <w:rsid w:val="008D3239"/>
    <w:rsid w:val="008D45D6"/>
    <w:rsid w:val="008E27E9"/>
    <w:rsid w:val="008E28FB"/>
    <w:rsid w:val="008E3915"/>
    <w:rsid w:val="008E74F8"/>
    <w:rsid w:val="008F0348"/>
    <w:rsid w:val="00902E96"/>
    <w:rsid w:val="009039E6"/>
    <w:rsid w:val="0090735D"/>
    <w:rsid w:val="00907F6E"/>
    <w:rsid w:val="00911D35"/>
    <w:rsid w:val="00914490"/>
    <w:rsid w:val="0091462A"/>
    <w:rsid w:val="00914EDA"/>
    <w:rsid w:val="009152F8"/>
    <w:rsid w:val="009158E2"/>
    <w:rsid w:val="0091691F"/>
    <w:rsid w:val="0091778A"/>
    <w:rsid w:val="009208B2"/>
    <w:rsid w:val="00921BD2"/>
    <w:rsid w:val="009246DA"/>
    <w:rsid w:val="0093109C"/>
    <w:rsid w:val="009325E5"/>
    <w:rsid w:val="00932DC2"/>
    <w:rsid w:val="00933184"/>
    <w:rsid w:val="00941F8F"/>
    <w:rsid w:val="00943455"/>
    <w:rsid w:val="009468B8"/>
    <w:rsid w:val="00946B12"/>
    <w:rsid w:val="00946D2C"/>
    <w:rsid w:val="0095295F"/>
    <w:rsid w:val="00952D9C"/>
    <w:rsid w:val="009537F8"/>
    <w:rsid w:val="009538DC"/>
    <w:rsid w:val="00955098"/>
    <w:rsid w:val="009579CD"/>
    <w:rsid w:val="00957F67"/>
    <w:rsid w:val="009605B2"/>
    <w:rsid w:val="00960A81"/>
    <w:rsid w:val="00962DE5"/>
    <w:rsid w:val="00964048"/>
    <w:rsid w:val="009640AB"/>
    <w:rsid w:val="00967173"/>
    <w:rsid w:val="00973FB5"/>
    <w:rsid w:val="00977945"/>
    <w:rsid w:val="00981751"/>
    <w:rsid w:val="00981C18"/>
    <w:rsid w:val="0098214E"/>
    <w:rsid w:val="00990CB4"/>
    <w:rsid w:val="009914AD"/>
    <w:rsid w:val="00992CAC"/>
    <w:rsid w:val="0099727D"/>
    <w:rsid w:val="009A0436"/>
    <w:rsid w:val="009A2AAA"/>
    <w:rsid w:val="009A5599"/>
    <w:rsid w:val="009A68D0"/>
    <w:rsid w:val="009A704C"/>
    <w:rsid w:val="009A7913"/>
    <w:rsid w:val="009A7BF6"/>
    <w:rsid w:val="009A7E6E"/>
    <w:rsid w:val="009B2CB2"/>
    <w:rsid w:val="009B7A6D"/>
    <w:rsid w:val="009C38EC"/>
    <w:rsid w:val="009C53AB"/>
    <w:rsid w:val="009C7808"/>
    <w:rsid w:val="009D06FA"/>
    <w:rsid w:val="009D3719"/>
    <w:rsid w:val="009D6E05"/>
    <w:rsid w:val="009E0E57"/>
    <w:rsid w:val="009E2C82"/>
    <w:rsid w:val="009E427A"/>
    <w:rsid w:val="009E5C60"/>
    <w:rsid w:val="009E6DA4"/>
    <w:rsid w:val="009E788E"/>
    <w:rsid w:val="009F564D"/>
    <w:rsid w:val="009F6474"/>
    <w:rsid w:val="009F6840"/>
    <w:rsid w:val="009F6FEC"/>
    <w:rsid w:val="00A004BB"/>
    <w:rsid w:val="00A01278"/>
    <w:rsid w:val="00A017C1"/>
    <w:rsid w:val="00A03373"/>
    <w:rsid w:val="00A034D1"/>
    <w:rsid w:val="00A036B8"/>
    <w:rsid w:val="00A071ED"/>
    <w:rsid w:val="00A10925"/>
    <w:rsid w:val="00A10EFD"/>
    <w:rsid w:val="00A10EFE"/>
    <w:rsid w:val="00A12C2C"/>
    <w:rsid w:val="00A14D06"/>
    <w:rsid w:val="00A172CD"/>
    <w:rsid w:val="00A17A99"/>
    <w:rsid w:val="00A241C3"/>
    <w:rsid w:val="00A25464"/>
    <w:rsid w:val="00A26C2E"/>
    <w:rsid w:val="00A26EF2"/>
    <w:rsid w:val="00A3000A"/>
    <w:rsid w:val="00A3221E"/>
    <w:rsid w:val="00A37145"/>
    <w:rsid w:val="00A40EC9"/>
    <w:rsid w:val="00A4220F"/>
    <w:rsid w:val="00A422BA"/>
    <w:rsid w:val="00A4381A"/>
    <w:rsid w:val="00A43E66"/>
    <w:rsid w:val="00A46705"/>
    <w:rsid w:val="00A467F7"/>
    <w:rsid w:val="00A47D6B"/>
    <w:rsid w:val="00A53763"/>
    <w:rsid w:val="00A538E3"/>
    <w:rsid w:val="00A56094"/>
    <w:rsid w:val="00A560AB"/>
    <w:rsid w:val="00A5763D"/>
    <w:rsid w:val="00A60890"/>
    <w:rsid w:val="00A61C31"/>
    <w:rsid w:val="00A62722"/>
    <w:rsid w:val="00A66772"/>
    <w:rsid w:val="00A66A91"/>
    <w:rsid w:val="00A66CCC"/>
    <w:rsid w:val="00A67D7F"/>
    <w:rsid w:val="00A70CB6"/>
    <w:rsid w:val="00A714BD"/>
    <w:rsid w:val="00A74EC5"/>
    <w:rsid w:val="00A7727C"/>
    <w:rsid w:val="00A77A06"/>
    <w:rsid w:val="00A819C3"/>
    <w:rsid w:val="00A86A4F"/>
    <w:rsid w:val="00A8726B"/>
    <w:rsid w:val="00A92633"/>
    <w:rsid w:val="00A93C72"/>
    <w:rsid w:val="00A95D42"/>
    <w:rsid w:val="00A962C3"/>
    <w:rsid w:val="00A973E2"/>
    <w:rsid w:val="00AA16F7"/>
    <w:rsid w:val="00AA5CFE"/>
    <w:rsid w:val="00AA7BAA"/>
    <w:rsid w:val="00AA7CA5"/>
    <w:rsid w:val="00AB064C"/>
    <w:rsid w:val="00AB1A29"/>
    <w:rsid w:val="00AB3C68"/>
    <w:rsid w:val="00AB4E61"/>
    <w:rsid w:val="00AC37B1"/>
    <w:rsid w:val="00AC6047"/>
    <w:rsid w:val="00AC7956"/>
    <w:rsid w:val="00AD6268"/>
    <w:rsid w:val="00AE2F16"/>
    <w:rsid w:val="00AE72AF"/>
    <w:rsid w:val="00AF2132"/>
    <w:rsid w:val="00AF2C12"/>
    <w:rsid w:val="00AF38AA"/>
    <w:rsid w:val="00AF50A8"/>
    <w:rsid w:val="00AF69B8"/>
    <w:rsid w:val="00B001D0"/>
    <w:rsid w:val="00B012E8"/>
    <w:rsid w:val="00B02AB0"/>
    <w:rsid w:val="00B04853"/>
    <w:rsid w:val="00B13CEA"/>
    <w:rsid w:val="00B15C66"/>
    <w:rsid w:val="00B22946"/>
    <w:rsid w:val="00B25573"/>
    <w:rsid w:val="00B31C3E"/>
    <w:rsid w:val="00B32122"/>
    <w:rsid w:val="00B329EB"/>
    <w:rsid w:val="00B333B7"/>
    <w:rsid w:val="00B33E2C"/>
    <w:rsid w:val="00B358E2"/>
    <w:rsid w:val="00B36FB3"/>
    <w:rsid w:val="00B37350"/>
    <w:rsid w:val="00B3778E"/>
    <w:rsid w:val="00B45D6E"/>
    <w:rsid w:val="00B46BB7"/>
    <w:rsid w:val="00B50536"/>
    <w:rsid w:val="00B52617"/>
    <w:rsid w:val="00B53CB1"/>
    <w:rsid w:val="00B548BE"/>
    <w:rsid w:val="00B56D01"/>
    <w:rsid w:val="00B60E2E"/>
    <w:rsid w:val="00B628B6"/>
    <w:rsid w:val="00B648E7"/>
    <w:rsid w:val="00B660AC"/>
    <w:rsid w:val="00B70A2D"/>
    <w:rsid w:val="00B70AF5"/>
    <w:rsid w:val="00B70B6B"/>
    <w:rsid w:val="00B71491"/>
    <w:rsid w:val="00B72B57"/>
    <w:rsid w:val="00B7485F"/>
    <w:rsid w:val="00B83F99"/>
    <w:rsid w:val="00B86BD0"/>
    <w:rsid w:val="00B915C1"/>
    <w:rsid w:val="00B921B1"/>
    <w:rsid w:val="00B92D6B"/>
    <w:rsid w:val="00B9352F"/>
    <w:rsid w:val="00B94C45"/>
    <w:rsid w:val="00B9684B"/>
    <w:rsid w:val="00B97A98"/>
    <w:rsid w:val="00BA02C1"/>
    <w:rsid w:val="00BA4B96"/>
    <w:rsid w:val="00BA5E69"/>
    <w:rsid w:val="00BA7BE0"/>
    <w:rsid w:val="00BB07C4"/>
    <w:rsid w:val="00BB09A2"/>
    <w:rsid w:val="00BB0AE6"/>
    <w:rsid w:val="00BB1545"/>
    <w:rsid w:val="00BB16E4"/>
    <w:rsid w:val="00BB21AD"/>
    <w:rsid w:val="00BB46DF"/>
    <w:rsid w:val="00BB4B1A"/>
    <w:rsid w:val="00BB611D"/>
    <w:rsid w:val="00BC1480"/>
    <w:rsid w:val="00BC30E9"/>
    <w:rsid w:val="00BC4228"/>
    <w:rsid w:val="00BC4784"/>
    <w:rsid w:val="00BC680A"/>
    <w:rsid w:val="00BD6AF4"/>
    <w:rsid w:val="00BD6DF5"/>
    <w:rsid w:val="00BE175D"/>
    <w:rsid w:val="00BE364F"/>
    <w:rsid w:val="00BE38AC"/>
    <w:rsid w:val="00BE4BC7"/>
    <w:rsid w:val="00BE5EDE"/>
    <w:rsid w:val="00BE71E9"/>
    <w:rsid w:val="00BE7737"/>
    <w:rsid w:val="00BF1395"/>
    <w:rsid w:val="00BF3543"/>
    <w:rsid w:val="00BF3A0C"/>
    <w:rsid w:val="00C03ACA"/>
    <w:rsid w:val="00C07674"/>
    <w:rsid w:val="00C077B4"/>
    <w:rsid w:val="00C13CAA"/>
    <w:rsid w:val="00C13CBB"/>
    <w:rsid w:val="00C142BE"/>
    <w:rsid w:val="00C16177"/>
    <w:rsid w:val="00C201B9"/>
    <w:rsid w:val="00C20226"/>
    <w:rsid w:val="00C22464"/>
    <w:rsid w:val="00C24302"/>
    <w:rsid w:val="00C243FF"/>
    <w:rsid w:val="00C25ADC"/>
    <w:rsid w:val="00C25D00"/>
    <w:rsid w:val="00C318C0"/>
    <w:rsid w:val="00C32DF3"/>
    <w:rsid w:val="00C372ED"/>
    <w:rsid w:val="00C37757"/>
    <w:rsid w:val="00C37F17"/>
    <w:rsid w:val="00C40E80"/>
    <w:rsid w:val="00C456C7"/>
    <w:rsid w:val="00C4710B"/>
    <w:rsid w:val="00C5366D"/>
    <w:rsid w:val="00C62E1A"/>
    <w:rsid w:val="00C64BBF"/>
    <w:rsid w:val="00C64EB2"/>
    <w:rsid w:val="00C657EE"/>
    <w:rsid w:val="00C70729"/>
    <w:rsid w:val="00C71595"/>
    <w:rsid w:val="00C71EB3"/>
    <w:rsid w:val="00C72066"/>
    <w:rsid w:val="00C73FEA"/>
    <w:rsid w:val="00C863F7"/>
    <w:rsid w:val="00C86BA0"/>
    <w:rsid w:val="00C9084A"/>
    <w:rsid w:val="00C94917"/>
    <w:rsid w:val="00CA15C6"/>
    <w:rsid w:val="00CA1904"/>
    <w:rsid w:val="00CA2A06"/>
    <w:rsid w:val="00CA3CB2"/>
    <w:rsid w:val="00CA3F8B"/>
    <w:rsid w:val="00CA5798"/>
    <w:rsid w:val="00CA59F0"/>
    <w:rsid w:val="00CA7CA8"/>
    <w:rsid w:val="00CB0190"/>
    <w:rsid w:val="00CB0C46"/>
    <w:rsid w:val="00CB5BB1"/>
    <w:rsid w:val="00CB5E62"/>
    <w:rsid w:val="00CB6567"/>
    <w:rsid w:val="00CB72AA"/>
    <w:rsid w:val="00CB7672"/>
    <w:rsid w:val="00CB7CCD"/>
    <w:rsid w:val="00CC2C8B"/>
    <w:rsid w:val="00CC597D"/>
    <w:rsid w:val="00CD01A7"/>
    <w:rsid w:val="00CD04E4"/>
    <w:rsid w:val="00CD098D"/>
    <w:rsid w:val="00CD3ACE"/>
    <w:rsid w:val="00CD4665"/>
    <w:rsid w:val="00CD5C29"/>
    <w:rsid w:val="00CD6E42"/>
    <w:rsid w:val="00CE036F"/>
    <w:rsid w:val="00CE0F31"/>
    <w:rsid w:val="00CE4082"/>
    <w:rsid w:val="00CE5BA6"/>
    <w:rsid w:val="00CF049D"/>
    <w:rsid w:val="00CF1CD3"/>
    <w:rsid w:val="00CF2364"/>
    <w:rsid w:val="00CF3EA5"/>
    <w:rsid w:val="00D00E9E"/>
    <w:rsid w:val="00D02AE5"/>
    <w:rsid w:val="00D02CC5"/>
    <w:rsid w:val="00D03809"/>
    <w:rsid w:val="00D03FE6"/>
    <w:rsid w:val="00D078F2"/>
    <w:rsid w:val="00D13E8A"/>
    <w:rsid w:val="00D14744"/>
    <w:rsid w:val="00D15326"/>
    <w:rsid w:val="00D15F1E"/>
    <w:rsid w:val="00D1632D"/>
    <w:rsid w:val="00D20AA1"/>
    <w:rsid w:val="00D24067"/>
    <w:rsid w:val="00D24CF3"/>
    <w:rsid w:val="00D30E60"/>
    <w:rsid w:val="00D35A9D"/>
    <w:rsid w:val="00D44BB2"/>
    <w:rsid w:val="00D45050"/>
    <w:rsid w:val="00D452A3"/>
    <w:rsid w:val="00D474E3"/>
    <w:rsid w:val="00D50491"/>
    <w:rsid w:val="00D5205D"/>
    <w:rsid w:val="00D55BA5"/>
    <w:rsid w:val="00D565B5"/>
    <w:rsid w:val="00D56BEF"/>
    <w:rsid w:val="00D57D04"/>
    <w:rsid w:val="00D60A90"/>
    <w:rsid w:val="00D626A2"/>
    <w:rsid w:val="00D631C4"/>
    <w:rsid w:val="00D64CD6"/>
    <w:rsid w:val="00D65D0F"/>
    <w:rsid w:val="00D67FAE"/>
    <w:rsid w:val="00D70819"/>
    <w:rsid w:val="00D70C72"/>
    <w:rsid w:val="00D70EE0"/>
    <w:rsid w:val="00D73265"/>
    <w:rsid w:val="00D82F11"/>
    <w:rsid w:val="00D834CC"/>
    <w:rsid w:val="00D83E79"/>
    <w:rsid w:val="00D8573B"/>
    <w:rsid w:val="00D91684"/>
    <w:rsid w:val="00D9181A"/>
    <w:rsid w:val="00D93F41"/>
    <w:rsid w:val="00D96222"/>
    <w:rsid w:val="00D9709A"/>
    <w:rsid w:val="00D97EE0"/>
    <w:rsid w:val="00DA0B97"/>
    <w:rsid w:val="00DA2A5C"/>
    <w:rsid w:val="00DA5BBE"/>
    <w:rsid w:val="00DAE366"/>
    <w:rsid w:val="00DB00C3"/>
    <w:rsid w:val="00DB054A"/>
    <w:rsid w:val="00DB37C3"/>
    <w:rsid w:val="00DB4F2B"/>
    <w:rsid w:val="00DB5798"/>
    <w:rsid w:val="00DB5C1D"/>
    <w:rsid w:val="00DB6291"/>
    <w:rsid w:val="00DB7002"/>
    <w:rsid w:val="00DB701F"/>
    <w:rsid w:val="00DC5360"/>
    <w:rsid w:val="00DC740F"/>
    <w:rsid w:val="00DD0E84"/>
    <w:rsid w:val="00DD0F20"/>
    <w:rsid w:val="00DD4270"/>
    <w:rsid w:val="00DD551F"/>
    <w:rsid w:val="00DD7F74"/>
    <w:rsid w:val="00DE0161"/>
    <w:rsid w:val="00DE2E35"/>
    <w:rsid w:val="00DE6AB7"/>
    <w:rsid w:val="00DE74E2"/>
    <w:rsid w:val="00DF7B4D"/>
    <w:rsid w:val="00DF7D23"/>
    <w:rsid w:val="00E00223"/>
    <w:rsid w:val="00E01D38"/>
    <w:rsid w:val="00E023F8"/>
    <w:rsid w:val="00E02AF4"/>
    <w:rsid w:val="00E034AB"/>
    <w:rsid w:val="00E04BBC"/>
    <w:rsid w:val="00E0648E"/>
    <w:rsid w:val="00E06E45"/>
    <w:rsid w:val="00E10015"/>
    <w:rsid w:val="00E11020"/>
    <w:rsid w:val="00E1258E"/>
    <w:rsid w:val="00E1668A"/>
    <w:rsid w:val="00E225BC"/>
    <w:rsid w:val="00E27D6F"/>
    <w:rsid w:val="00E30DF6"/>
    <w:rsid w:val="00E33E37"/>
    <w:rsid w:val="00E35A4C"/>
    <w:rsid w:val="00E36790"/>
    <w:rsid w:val="00E44ED4"/>
    <w:rsid w:val="00E450ED"/>
    <w:rsid w:val="00E476FD"/>
    <w:rsid w:val="00E50795"/>
    <w:rsid w:val="00E507AC"/>
    <w:rsid w:val="00E53D0A"/>
    <w:rsid w:val="00E55043"/>
    <w:rsid w:val="00E5592F"/>
    <w:rsid w:val="00E55EFC"/>
    <w:rsid w:val="00E57DBA"/>
    <w:rsid w:val="00E6031C"/>
    <w:rsid w:val="00E6198A"/>
    <w:rsid w:val="00E630AC"/>
    <w:rsid w:val="00E63C19"/>
    <w:rsid w:val="00E6439A"/>
    <w:rsid w:val="00E65231"/>
    <w:rsid w:val="00E652C7"/>
    <w:rsid w:val="00E8066A"/>
    <w:rsid w:val="00E8362F"/>
    <w:rsid w:val="00E87721"/>
    <w:rsid w:val="00E90EA7"/>
    <w:rsid w:val="00E94D3C"/>
    <w:rsid w:val="00E950B1"/>
    <w:rsid w:val="00E95A03"/>
    <w:rsid w:val="00E97D5E"/>
    <w:rsid w:val="00EA1C21"/>
    <w:rsid w:val="00EA1E39"/>
    <w:rsid w:val="00EA3A6C"/>
    <w:rsid w:val="00EA5DEC"/>
    <w:rsid w:val="00EA5FFD"/>
    <w:rsid w:val="00EA751F"/>
    <w:rsid w:val="00EB017E"/>
    <w:rsid w:val="00EB1578"/>
    <w:rsid w:val="00EB1F29"/>
    <w:rsid w:val="00EB47FF"/>
    <w:rsid w:val="00EB67D1"/>
    <w:rsid w:val="00EB7CDE"/>
    <w:rsid w:val="00EC7457"/>
    <w:rsid w:val="00ED50C7"/>
    <w:rsid w:val="00ED657F"/>
    <w:rsid w:val="00EE043A"/>
    <w:rsid w:val="00EE0B71"/>
    <w:rsid w:val="00EE27ED"/>
    <w:rsid w:val="00EE2DD2"/>
    <w:rsid w:val="00EE6980"/>
    <w:rsid w:val="00EF3901"/>
    <w:rsid w:val="00EF430C"/>
    <w:rsid w:val="00EF4B60"/>
    <w:rsid w:val="00EF7637"/>
    <w:rsid w:val="00EF7915"/>
    <w:rsid w:val="00F033D4"/>
    <w:rsid w:val="00F0400A"/>
    <w:rsid w:val="00F05197"/>
    <w:rsid w:val="00F06256"/>
    <w:rsid w:val="00F063E8"/>
    <w:rsid w:val="00F06A45"/>
    <w:rsid w:val="00F06CEE"/>
    <w:rsid w:val="00F07006"/>
    <w:rsid w:val="00F07076"/>
    <w:rsid w:val="00F13DB9"/>
    <w:rsid w:val="00F1461F"/>
    <w:rsid w:val="00F147F9"/>
    <w:rsid w:val="00F1697D"/>
    <w:rsid w:val="00F206E6"/>
    <w:rsid w:val="00F2080E"/>
    <w:rsid w:val="00F22AF9"/>
    <w:rsid w:val="00F22B5D"/>
    <w:rsid w:val="00F30558"/>
    <w:rsid w:val="00F339FB"/>
    <w:rsid w:val="00F37B8E"/>
    <w:rsid w:val="00F40E12"/>
    <w:rsid w:val="00F45331"/>
    <w:rsid w:val="00F47396"/>
    <w:rsid w:val="00F47946"/>
    <w:rsid w:val="00F52238"/>
    <w:rsid w:val="00F52927"/>
    <w:rsid w:val="00F55548"/>
    <w:rsid w:val="00F567E9"/>
    <w:rsid w:val="00F56B2E"/>
    <w:rsid w:val="00F57E7D"/>
    <w:rsid w:val="00F60D6B"/>
    <w:rsid w:val="00F63237"/>
    <w:rsid w:val="00F63983"/>
    <w:rsid w:val="00F63AE8"/>
    <w:rsid w:val="00F70AE5"/>
    <w:rsid w:val="00F739A8"/>
    <w:rsid w:val="00F810B3"/>
    <w:rsid w:val="00F81790"/>
    <w:rsid w:val="00F82EFA"/>
    <w:rsid w:val="00F84989"/>
    <w:rsid w:val="00F8521F"/>
    <w:rsid w:val="00F85428"/>
    <w:rsid w:val="00F87A58"/>
    <w:rsid w:val="00F87D4E"/>
    <w:rsid w:val="00F91073"/>
    <w:rsid w:val="00F91B39"/>
    <w:rsid w:val="00F93469"/>
    <w:rsid w:val="00F93F8E"/>
    <w:rsid w:val="00F94EDF"/>
    <w:rsid w:val="00F97228"/>
    <w:rsid w:val="00FA0E59"/>
    <w:rsid w:val="00FA18BB"/>
    <w:rsid w:val="00FA1C6D"/>
    <w:rsid w:val="00FA3BE3"/>
    <w:rsid w:val="00FA473A"/>
    <w:rsid w:val="00FB022C"/>
    <w:rsid w:val="00FB0912"/>
    <w:rsid w:val="00FB0AAA"/>
    <w:rsid w:val="00FB21E2"/>
    <w:rsid w:val="00FC30CC"/>
    <w:rsid w:val="00FC6581"/>
    <w:rsid w:val="00FD1433"/>
    <w:rsid w:val="00FE1C5A"/>
    <w:rsid w:val="00FE4811"/>
    <w:rsid w:val="00FE5D70"/>
    <w:rsid w:val="00FE6802"/>
    <w:rsid w:val="00FE6FD2"/>
    <w:rsid w:val="00FF04F3"/>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C2EEF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82"/>
    <w:pPr>
      <w:spacing w:before="120"/>
    </w:pPr>
    <w:rPr>
      <w:rFonts w:asciiTheme="minorHAnsi" w:hAnsiTheme="minorHAnsi"/>
      <w:sz w:val="24"/>
      <w:szCs w:val="24"/>
      <w:lang w:eastAsia="zh-CN"/>
    </w:rPr>
  </w:style>
  <w:style w:type="paragraph" w:styleId="Heading1">
    <w:name w:val="heading 1"/>
    <w:basedOn w:val="Normal"/>
    <w:next w:val="Normal"/>
    <w:link w:val="Heading1Char"/>
    <w:qFormat/>
    <w:rsid w:val="008837A7"/>
    <w:pPr>
      <w:keepNext/>
      <w:keepLines/>
      <w:numPr>
        <w:numId w:val="17"/>
      </w:numPr>
      <w:spacing w:before="240"/>
      <w:ind w:left="432"/>
      <w:outlineLvl w:val="0"/>
    </w:pPr>
    <w:rPr>
      <w:rFonts w:eastAsiaTheme="majorEastAsia" w:cstheme="majorBidi"/>
      <w:b/>
      <w:sz w:val="28"/>
      <w:szCs w:val="32"/>
    </w:rPr>
  </w:style>
  <w:style w:type="paragraph" w:styleId="Heading2">
    <w:name w:val="heading 2"/>
    <w:basedOn w:val="Normal"/>
    <w:next w:val="Normal"/>
    <w:link w:val="Heading2Char"/>
    <w:unhideWhenUsed/>
    <w:qFormat/>
    <w:rsid w:val="00A172CD"/>
    <w:pPr>
      <w:keepNext/>
      <w:keepLines/>
      <w:numPr>
        <w:ilvl w:val="1"/>
        <w:numId w:val="17"/>
      </w:numPr>
      <w:outlineLvl w:val="1"/>
    </w:pPr>
    <w:rPr>
      <w:rFonts w:eastAsiaTheme="majorEastAsia" w:cstheme="majorBidi"/>
      <w:b/>
      <w:szCs w:val="26"/>
    </w:rPr>
  </w:style>
  <w:style w:type="paragraph" w:styleId="Heading3">
    <w:name w:val="heading 3"/>
    <w:basedOn w:val="Normal"/>
    <w:link w:val="Heading3Char"/>
    <w:uiPriority w:val="9"/>
    <w:qFormat/>
    <w:rsid w:val="005F716F"/>
    <w:pPr>
      <w:numPr>
        <w:ilvl w:val="2"/>
        <w:numId w:val="17"/>
      </w:num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8837A7"/>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837A7"/>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837A7"/>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837A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837A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8837A7"/>
    <w:rPr>
      <w:rFonts w:asciiTheme="minorHAnsi" w:eastAsiaTheme="majorEastAsia" w:hAnsiTheme="minorHAnsi" w:cstheme="majorBidi"/>
      <w:b/>
      <w:sz w:val="28"/>
      <w:szCs w:val="32"/>
      <w:lang w:eastAsia="zh-CN"/>
    </w:rPr>
  </w:style>
  <w:style w:type="character" w:customStyle="1" w:styleId="Heading2Char">
    <w:name w:val="Heading 2 Char"/>
    <w:basedOn w:val="DefaultParagraphFont"/>
    <w:link w:val="Heading2"/>
    <w:rsid w:val="00A172CD"/>
    <w:rPr>
      <w:rFonts w:asciiTheme="minorHAnsi" w:eastAsiaTheme="majorEastAsia" w:hAnsiTheme="minorHAnsi" w:cstheme="majorBidi"/>
      <w:b/>
      <w:sz w:val="24"/>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40D47"/>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Call">
    <w:name w:val="Call"/>
    <w:basedOn w:val="Normal"/>
    <w:next w:val="Normal"/>
    <w:rsid w:val="006938C3"/>
    <w:pPr>
      <w:keepNext/>
      <w:keepLines/>
      <w:tabs>
        <w:tab w:val="left" w:pos="567"/>
      </w:tabs>
      <w:overflowPunct w:val="0"/>
      <w:autoSpaceDE w:val="0"/>
      <w:autoSpaceDN w:val="0"/>
      <w:adjustRightInd w:val="0"/>
      <w:spacing w:before="160"/>
      <w:ind w:left="567"/>
      <w:textAlignment w:val="baseline"/>
    </w:pPr>
    <w:rPr>
      <w:rFonts w:ascii="Calibri" w:eastAsia="Times New Roman" w:hAnsi="Calibri"/>
      <w:i/>
      <w:szCs w:val="20"/>
      <w:lang w:val="en-GB" w:eastAsia="en-US"/>
    </w:rPr>
  </w:style>
  <w:style w:type="paragraph" w:customStyle="1" w:styleId="enumlev1">
    <w:name w:val="enumlev1"/>
    <w:basedOn w:val="Normal"/>
    <w:rsid w:val="00CA7CA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val="fr-FR" w:eastAsia="en-US"/>
    </w:rPr>
  </w:style>
  <w:style w:type="character" w:styleId="FootnoteReference">
    <w:name w:val="footnote reference"/>
    <w:basedOn w:val="DefaultParagraphFont"/>
    <w:rsid w:val="00CA7CA8"/>
    <w:rPr>
      <w:position w:val="6"/>
      <w:sz w:val="18"/>
    </w:rPr>
  </w:style>
  <w:style w:type="paragraph" w:styleId="FootnoteText">
    <w:name w:val="footnote text"/>
    <w:basedOn w:val="Normal"/>
    <w:link w:val="FootnoteTextChar"/>
    <w:rsid w:val="00CA7CA8"/>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val="fr-FR" w:eastAsia="en-US"/>
    </w:rPr>
  </w:style>
  <w:style w:type="character" w:customStyle="1" w:styleId="FootnoteTextChar">
    <w:name w:val="Footnote Text Char"/>
    <w:basedOn w:val="DefaultParagraphFont"/>
    <w:link w:val="FootnoteText"/>
    <w:rsid w:val="00CA7CA8"/>
    <w:rPr>
      <w:rFonts w:asciiTheme="minorHAnsi" w:eastAsia="Times New Roman" w:hAnsiTheme="minorHAnsi"/>
      <w:sz w:val="24"/>
      <w:lang w:val="fr-FR" w:eastAsia="en-US"/>
    </w:rPr>
  </w:style>
  <w:style w:type="paragraph" w:styleId="HTMLPreformatted">
    <w:name w:val="HTML Preformatted"/>
    <w:basedOn w:val="Normal"/>
    <w:link w:val="HTMLPreformattedChar"/>
    <w:uiPriority w:val="99"/>
    <w:unhideWhenUsed/>
    <w:rsid w:val="00CA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A7CA8"/>
    <w:rPr>
      <w:rFonts w:ascii="Courier New" w:eastAsia="Times New Roman" w:hAnsi="Courier New" w:cs="Courier New"/>
      <w:lang w:val="en-GB" w:eastAsia="en-GB"/>
    </w:rPr>
  </w:style>
  <w:style w:type="paragraph" w:customStyle="1" w:styleId="TableParagraph">
    <w:name w:val="Table Paragraph"/>
    <w:basedOn w:val="Normal"/>
    <w:uiPriority w:val="1"/>
    <w:qFormat/>
    <w:rsid w:val="00174893"/>
    <w:pPr>
      <w:widowControl w:val="0"/>
      <w:autoSpaceDE w:val="0"/>
      <w:autoSpaceDN w:val="0"/>
    </w:pPr>
    <w:rPr>
      <w:rFonts w:ascii="Arial Narrow" w:eastAsia="Arial Narrow" w:hAnsi="Arial Narrow" w:cs="Arial Narrow"/>
      <w:szCs w:val="22"/>
      <w:lang w:eastAsia="en-US"/>
    </w:rPr>
  </w:style>
  <w:style w:type="character" w:customStyle="1" w:styleId="UnresolvedMention">
    <w:name w:val="Unresolved Mention"/>
    <w:basedOn w:val="DefaultParagraphFont"/>
    <w:uiPriority w:val="99"/>
    <w:semiHidden/>
    <w:unhideWhenUsed/>
    <w:rsid w:val="003126FD"/>
    <w:rPr>
      <w:color w:val="605E5C"/>
      <w:shd w:val="clear" w:color="auto" w:fill="E1DFDD"/>
    </w:rPr>
  </w:style>
  <w:style w:type="character" w:customStyle="1" w:styleId="Heading5Char">
    <w:name w:val="Heading 5 Char"/>
    <w:basedOn w:val="DefaultParagraphFont"/>
    <w:link w:val="Heading5"/>
    <w:semiHidden/>
    <w:rsid w:val="008837A7"/>
    <w:rPr>
      <w:rFonts w:asciiTheme="majorHAnsi" w:eastAsiaTheme="majorEastAsia" w:hAnsiTheme="majorHAnsi" w:cstheme="majorBidi"/>
      <w:color w:val="2E74B5" w:themeColor="accent1" w:themeShade="BF"/>
      <w:sz w:val="22"/>
      <w:szCs w:val="24"/>
      <w:lang w:eastAsia="zh-CN"/>
    </w:rPr>
  </w:style>
  <w:style w:type="character" w:customStyle="1" w:styleId="Heading6Char">
    <w:name w:val="Heading 6 Char"/>
    <w:basedOn w:val="DefaultParagraphFont"/>
    <w:link w:val="Heading6"/>
    <w:semiHidden/>
    <w:rsid w:val="008837A7"/>
    <w:rPr>
      <w:rFonts w:asciiTheme="majorHAnsi" w:eastAsiaTheme="majorEastAsia" w:hAnsiTheme="majorHAnsi" w:cstheme="majorBidi"/>
      <w:color w:val="1F4D78" w:themeColor="accent1" w:themeShade="7F"/>
      <w:sz w:val="22"/>
      <w:szCs w:val="24"/>
      <w:lang w:eastAsia="zh-CN"/>
    </w:rPr>
  </w:style>
  <w:style w:type="character" w:customStyle="1" w:styleId="Heading7Char">
    <w:name w:val="Heading 7 Char"/>
    <w:basedOn w:val="DefaultParagraphFont"/>
    <w:link w:val="Heading7"/>
    <w:semiHidden/>
    <w:rsid w:val="008837A7"/>
    <w:rPr>
      <w:rFonts w:asciiTheme="majorHAnsi" w:eastAsiaTheme="majorEastAsia" w:hAnsiTheme="majorHAnsi" w:cstheme="majorBidi"/>
      <w:i/>
      <w:iCs/>
      <w:color w:val="1F4D78" w:themeColor="accent1" w:themeShade="7F"/>
      <w:sz w:val="22"/>
      <w:szCs w:val="24"/>
      <w:lang w:eastAsia="zh-CN"/>
    </w:rPr>
  </w:style>
  <w:style w:type="character" w:customStyle="1" w:styleId="Heading8Char">
    <w:name w:val="Heading 8 Char"/>
    <w:basedOn w:val="DefaultParagraphFont"/>
    <w:link w:val="Heading8"/>
    <w:semiHidden/>
    <w:rsid w:val="008837A7"/>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8837A7"/>
    <w:rPr>
      <w:rFonts w:asciiTheme="majorHAnsi" w:eastAsiaTheme="majorEastAsia" w:hAnsiTheme="majorHAnsi" w:cstheme="majorBidi"/>
      <w:i/>
      <w:iCs/>
      <w:color w:val="272727" w:themeColor="text1" w:themeTint="D8"/>
      <w:sz w:val="21"/>
      <w:szCs w:val="21"/>
      <w:lang w:eastAsia="zh-CN"/>
    </w:rPr>
  </w:style>
  <w:style w:type="table" w:styleId="ListTable1Light-Accent1">
    <w:name w:val="List Table 1 Light Accent 1"/>
    <w:basedOn w:val="TableNormal"/>
    <w:uiPriority w:val="46"/>
    <w:rsid w:val="00293ADB"/>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impleHeading">
    <w:name w:val="Simple Heading"/>
    <w:basedOn w:val="Normal"/>
    <w:link w:val="SimpleHeadingChar"/>
    <w:qFormat/>
    <w:rsid w:val="00CA1904"/>
    <w:pPr>
      <w:keepNext/>
      <w:spacing w:after="60"/>
      <w:jc w:val="both"/>
    </w:pPr>
    <w:rPr>
      <w:rFonts w:cstheme="minorHAnsi"/>
      <w:b/>
      <w:bCs/>
    </w:rPr>
  </w:style>
  <w:style w:type="character" w:customStyle="1" w:styleId="SimpleHeadingChar">
    <w:name w:val="Simple Heading Char"/>
    <w:basedOn w:val="DefaultParagraphFont"/>
    <w:link w:val="SimpleHeading"/>
    <w:rsid w:val="00CA1904"/>
    <w:rPr>
      <w:rFonts w:asciiTheme="minorHAnsi" w:hAnsiTheme="minorHAnsi" w:cstheme="minorHAnsi"/>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41721050">
      <w:bodyDiv w:val="1"/>
      <w:marLeft w:val="0"/>
      <w:marRight w:val="0"/>
      <w:marTop w:val="0"/>
      <w:marBottom w:val="0"/>
      <w:divBdr>
        <w:top w:val="none" w:sz="0" w:space="0" w:color="auto"/>
        <w:left w:val="none" w:sz="0" w:space="0" w:color="auto"/>
        <w:bottom w:val="none" w:sz="0" w:space="0" w:color="auto"/>
        <w:right w:val="none" w:sz="0" w:space="0" w:color="auto"/>
      </w:divBdr>
    </w:div>
    <w:div w:id="30716804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37473200">
      <w:bodyDiv w:val="1"/>
      <w:marLeft w:val="0"/>
      <w:marRight w:val="0"/>
      <w:marTop w:val="0"/>
      <w:marBottom w:val="0"/>
      <w:divBdr>
        <w:top w:val="none" w:sz="0" w:space="0" w:color="auto"/>
        <w:left w:val="none" w:sz="0" w:space="0" w:color="auto"/>
        <w:bottom w:val="none" w:sz="0" w:space="0" w:color="auto"/>
        <w:right w:val="none" w:sz="0" w:space="0" w:color="auto"/>
      </w:divBdr>
    </w:div>
    <w:div w:id="582110246">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25841782">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56132892">
      <w:bodyDiv w:val="1"/>
      <w:marLeft w:val="0"/>
      <w:marRight w:val="0"/>
      <w:marTop w:val="0"/>
      <w:marBottom w:val="0"/>
      <w:divBdr>
        <w:top w:val="none" w:sz="0" w:space="0" w:color="auto"/>
        <w:left w:val="none" w:sz="0" w:space="0" w:color="auto"/>
        <w:bottom w:val="none" w:sz="0" w:space="0" w:color="auto"/>
        <w:right w:val="none" w:sz="0" w:space="0" w:color="auto"/>
      </w:divBdr>
      <w:divsChild>
        <w:div w:id="1409037764">
          <w:marLeft w:val="562"/>
          <w:marRight w:val="0"/>
          <w:marTop w:val="200"/>
          <w:marBottom w:val="0"/>
          <w:divBdr>
            <w:top w:val="none" w:sz="0" w:space="0" w:color="auto"/>
            <w:left w:val="none" w:sz="0" w:space="0" w:color="auto"/>
            <w:bottom w:val="none" w:sz="0" w:space="0" w:color="auto"/>
            <w:right w:val="none" w:sz="0" w:space="0" w:color="auto"/>
          </w:divBdr>
        </w:div>
        <w:div w:id="79452651">
          <w:marLeft w:val="562"/>
          <w:marRight w:val="0"/>
          <w:marTop w:val="200"/>
          <w:marBottom w:val="0"/>
          <w:divBdr>
            <w:top w:val="none" w:sz="0" w:space="0" w:color="auto"/>
            <w:left w:val="none" w:sz="0" w:space="0" w:color="auto"/>
            <w:bottom w:val="none" w:sz="0" w:space="0" w:color="auto"/>
            <w:right w:val="none" w:sz="0" w:space="0" w:color="auto"/>
          </w:divBdr>
        </w:div>
        <w:div w:id="1432815480">
          <w:marLeft w:val="1440"/>
          <w:marRight w:val="0"/>
          <w:marTop w:val="100"/>
          <w:marBottom w:val="0"/>
          <w:divBdr>
            <w:top w:val="none" w:sz="0" w:space="0" w:color="auto"/>
            <w:left w:val="none" w:sz="0" w:space="0" w:color="auto"/>
            <w:bottom w:val="none" w:sz="0" w:space="0" w:color="auto"/>
            <w:right w:val="none" w:sz="0" w:space="0" w:color="auto"/>
          </w:divBdr>
        </w:div>
        <w:div w:id="108361340">
          <w:marLeft w:val="1440"/>
          <w:marRight w:val="0"/>
          <w:marTop w:val="100"/>
          <w:marBottom w:val="0"/>
          <w:divBdr>
            <w:top w:val="none" w:sz="0" w:space="0" w:color="auto"/>
            <w:left w:val="none" w:sz="0" w:space="0" w:color="auto"/>
            <w:bottom w:val="none" w:sz="0" w:space="0" w:color="auto"/>
            <w:right w:val="none" w:sz="0" w:space="0" w:color="auto"/>
          </w:divBdr>
        </w:div>
        <w:div w:id="875431559">
          <w:marLeft w:val="1440"/>
          <w:marRight w:val="0"/>
          <w:marTop w:val="100"/>
          <w:marBottom w:val="0"/>
          <w:divBdr>
            <w:top w:val="none" w:sz="0" w:space="0" w:color="auto"/>
            <w:left w:val="none" w:sz="0" w:space="0" w:color="auto"/>
            <w:bottom w:val="none" w:sz="0" w:space="0" w:color="auto"/>
            <w:right w:val="none" w:sz="0" w:space="0" w:color="auto"/>
          </w:divBdr>
        </w:div>
        <w:div w:id="1491289037">
          <w:marLeft w:val="1440"/>
          <w:marRight w:val="0"/>
          <w:marTop w:val="100"/>
          <w:marBottom w:val="0"/>
          <w:divBdr>
            <w:top w:val="none" w:sz="0" w:space="0" w:color="auto"/>
            <w:left w:val="none" w:sz="0" w:space="0" w:color="auto"/>
            <w:bottom w:val="none" w:sz="0" w:space="0" w:color="auto"/>
            <w:right w:val="none" w:sz="0" w:space="0" w:color="auto"/>
          </w:divBdr>
        </w:div>
        <w:div w:id="638534197">
          <w:marLeft w:val="1440"/>
          <w:marRight w:val="0"/>
          <w:marTop w:val="100"/>
          <w:marBottom w:val="0"/>
          <w:divBdr>
            <w:top w:val="none" w:sz="0" w:space="0" w:color="auto"/>
            <w:left w:val="none" w:sz="0" w:space="0" w:color="auto"/>
            <w:bottom w:val="none" w:sz="0" w:space="0" w:color="auto"/>
            <w:right w:val="none" w:sz="0" w:space="0" w:color="auto"/>
          </w:divBdr>
        </w:div>
        <w:div w:id="1031034944">
          <w:marLeft w:val="1440"/>
          <w:marRight w:val="0"/>
          <w:marTop w:val="100"/>
          <w:marBottom w:val="0"/>
          <w:divBdr>
            <w:top w:val="none" w:sz="0" w:space="0" w:color="auto"/>
            <w:left w:val="none" w:sz="0" w:space="0" w:color="auto"/>
            <w:bottom w:val="none" w:sz="0" w:space="0" w:color="auto"/>
            <w:right w:val="none" w:sz="0" w:space="0" w:color="auto"/>
          </w:divBdr>
        </w:div>
      </w:divsChild>
    </w:div>
    <w:div w:id="1008875205">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064715638">
      <w:bodyDiv w:val="1"/>
      <w:marLeft w:val="0"/>
      <w:marRight w:val="0"/>
      <w:marTop w:val="0"/>
      <w:marBottom w:val="0"/>
      <w:divBdr>
        <w:top w:val="none" w:sz="0" w:space="0" w:color="auto"/>
        <w:left w:val="none" w:sz="0" w:space="0" w:color="auto"/>
        <w:bottom w:val="none" w:sz="0" w:space="0" w:color="auto"/>
        <w:right w:val="none" w:sz="0" w:space="0" w:color="auto"/>
      </w:divBdr>
    </w:div>
    <w:div w:id="1100029556">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58174540">
      <w:bodyDiv w:val="1"/>
      <w:marLeft w:val="0"/>
      <w:marRight w:val="0"/>
      <w:marTop w:val="0"/>
      <w:marBottom w:val="0"/>
      <w:divBdr>
        <w:top w:val="none" w:sz="0" w:space="0" w:color="auto"/>
        <w:left w:val="none" w:sz="0" w:space="0" w:color="auto"/>
        <w:bottom w:val="none" w:sz="0" w:space="0" w:color="auto"/>
        <w:right w:val="none" w:sz="0" w:space="0" w:color="auto"/>
      </w:divBdr>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694727546">
      <w:bodyDiv w:val="1"/>
      <w:marLeft w:val="0"/>
      <w:marRight w:val="0"/>
      <w:marTop w:val="0"/>
      <w:marBottom w:val="0"/>
      <w:divBdr>
        <w:top w:val="none" w:sz="0" w:space="0" w:color="auto"/>
        <w:left w:val="none" w:sz="0" w:space="0" w:color="auto"/>
        <w:bottom w:val="none" w:sz="0" w:space="0" w:color="auto"/>
        <w:right w:val="none" w:sz="0" w:space="0" w:color="auto"/>
      </w:divBdr>
    </w:div>
    <w:div w:id="1702974024">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41385518">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9-CWGFHR10-C-0008/en" TargetMode="External"/><Relationship Id="rId18" Type="http://schemas.openxmlformats.org/officeDocument/2006/relationships/hyperlink" Target="https://www.itu.int/md/S19-CWGFHR10-C-0008/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7-CL-C-0073/en" TargetMode="External"/><Relationship Id="rId2" Type="http://schemas.openxmlformats.org/officeDocument/2006/relationships/customXml" Target="../customXml/item2.xml"/><Relationship Id="rId16" Type="http://schemas.openxmlformats.org/officeDocument/2006/relationships/hyperlink" Target="https://www.itu.int/md/S17-CL-C-007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17-CL-C-0073/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7-CL-C-0074/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E2D9F1064C94388CCA3D14D44BD29" ma:contentTypeVersion="8" ma:contentTypeDescription="Create a new document." ma:contentTypeScope="" ma:versionID="2e0b62eb79bff6b2023c4681b997121d">
  <xsd:schema xmlns:xsd="http://www.w3.org/2001/XMLSchema" xmlns:xs="http://www.w3.org/2001/XMLSchema" xmlns:p="http://schemas.microsoft.com/office/2006/metadata/properties" xmlns:ns2="b9cb8e48-1496-495a-9185-61308b326d65" targetNamespace="http://schemas.microsoft.com/office/2006/metadata/properties" ma:root="true" ma:fieldsID="23887be59b7d6b1f53d8060a20de0b04" ns2:_="">
    <xsd:import namespace="b9cb8e48-1496-495a-9185-61308b32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8e48-1496-495a-9185-61308b32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schemas.openxmlformats.org/package/2006/metadata/core-properties"/>
    <ds:schemaRef ds:uri="http://schemas.microsoft.com/office/2006/documentManagement/types"/>
    <ds:schemaRef ds:uri="b9cb8e48-1496-495a-9185-61308b326d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228C53C-B746-4D41-973B-DE0A4230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8e48-1496-495a-9185-61308b32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50DC375B-DE93-49DB-9FFF-EC9E26B65E1A}">
  <ds:schemaRefs>
    <ds:schemaRef ds:uri="http://schemas.openxmlformats.org/officeDocument/2006/bibliography"/>
  </ds:schemaRefs>
</ds:datastoreItem>
</file>

<file path=customXml/itemProps5.xml><?xml version="1.0" encoding="utf-8"?>
<ds:datastoreItem xmlns:ds="http://schemas.openxmlformats.org/officeDocument/2006/customXml" ds:itemID="{6C29718C-FC14-4DDB-B333-73973ADB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7305</Characters>
  <Application>Microsoft Office Word</Application>
  <DocSecurity>4</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Risk Management action plan</vt:lpstr>
      <vt:lpstr>ITU Normal.dot</vt:lpstr>
    </vt:vector>
  </TitlesOfParts>
  <Company>ITU</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action plan</dc:title>
  <dc:subject>Council Working Group on Financial and Human Resources</dc:subject>
  <dc:creator>Brouard, Ricarda</dc:creator>
  <cp:keywords>CWG-FHR</cp:keywords>
  <cp:lastModifiedBy>Brouard, Ricarda</cp:lastModifiedBy>
  <cp:revision>2</cp:revision>
  <cp:lastPrinted>2013-07-15T09:23:00Z</cp:lastPrinted>
  <dcterms:created xsi:type="dcterms:W3CDTF">2020-01-10T08:55:00Z</dcterms:created>
  <dcterms:modified xsi:type="dcterms:W3CDTF">2020-01-10T08:55:00Z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0x010100746E2D9F1064C94388CCA3D14D44BD29</vt:lpwstr>
  </property>
</Properties>
</file>