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680B78" w:rsidRPr="00680B78" w14:paraId="0960DB70" w14:textId="77777777" w:rsidTr="00187827">
        <w:trPr>
          <w:cantSplit/>
        </w:trPr>
        <w:tc>
          <w:tcPr>
            <w:tcW w:w="6521" w:type="dxa"/>
          </w:tcPr>
          <w:p w14:paraId="27CB1191" w14:textId="77777777" w:rsidR="00680B78" w:rsidRPr="00680B78" w:rsidRDefault="00680B78" w:rsidP="00680B78">
            <w:pPr>
              <w:tabs>
                <w:tab w:val="clear" w:pos="1134"/>
                <w:tab w:val="clear" w:pos="1871"/>
                <w:tab w:val="clear" w:pos="2268"/>
              </w:tabs>
              <w:overflowPunct/>
              <w:autoSpaceDE/>
              <w:autoSpaceDN/>
              <w:adjustRightInd/>
              <w:spacing w:before="240" w:after="48"/>
              <w:textAlignment w:val="auto"/>
              <w:rPr>
                <w:rFonts w:ascii="Calibri" w:eastAsia="SimSun" w:hAnsi="Calibri"/>
                <w:b/>
                <w:position w:val="6"/>
                <w:sz w:val="30"/>
                <w:szCs w:val="30"/>
                <w:lang w:val="en-US" w:eastAsia="zh-CN"/>
              </w:rPr>
            </w:pPr>
            <w:bookmarkStart w:id="0" w:name="dc06"/>
            <w:bookmarkEnd w:id="0"/>
            <w:r w:rsidRPr="00680B78">
              <w:rPr>
                <w:rFonts w:ascii="Calibri" w:eastAsia="SimSun" w:hAnsi="Calibri"/>
                <w:b/>
                <w:position w:val="6"/>
                <w:sz w:val="30"/>
                <w:szCs w:val="30"/>
                <w:lang w:val="en-US" w:eastAsia="zh-CN"/>
              </w:rPr>
              <w:t xml:space="preserve">Council Working Group on </w:t>
            </w:r>
            <w:r w:rsidRPr="00680B78">
              <w:rPr>
                <w:rFonts w:ascii="Calibri" w:eastAsia="SimSun" w:hAnsi="Calibri"/>
                <w:b/>
                <w:position w:val="6"/>
                <w:sz w:val="30"/>
                <w:szCs w:val="30"/>
                <w:lang w:val="en-US" w:eastAsia="zh-CN"/>
              </w:rPr>
              <w:br/>
              <w:t>Financial and Human Resources</w:t>
            </w:r>
          </w:p>
          <w:p w14:paraId="346DB959" w14:textId="77777777" w:rsidR="00680B78" w:rsidRPr="00C13735" w:rsidRDefault="00680B78" w:rsidP="00680B78">
            <w:pPr>
              <w:tabs>
                <w:tab w:val="clear" w:pos="1134"/>
                <w:tab w:val="clear" w:pos="1871"/>
                <w:tab w:val="clear" w:pos="2268"/>
                <w:tab w:val="left" w:pos="794"/>
                <w:tab w:val="left" w:pos="1191"/>
                <w:tab w:val="left" w:pos="1588"/>
                <w:tab w:val="left" w:pos="1985"/>
              </w:tabs>
              <w:spacing w:before="0" w:after="120"/>
              <w:rPr>
                <w:rFonts w:asciiTheme="minorHAnsi" w:hAnsiTheme="minorHAnsi"/>
                <w:b/>
                <w:position w:val="6"/>
                <w:sz w:val="22"/>
                <w:szCs w:val="22"/>
              </w:rPr>
            </w:pPr>
            <w:r w:rsidRPr="00C13735">
              <w:rPr>
                <w:rFonts w:asciiTheme="minorHAnsi" w:hAnsiTheme="minorHAnsi" w:cs="Times New Roman Bold"/>
                <w:b/>
                <w:sz w:val="22"/>
                <w:szCs w:val="22"/>
              </w:rPr>
              <w:t xml:space="preserve">Eleventh meeting </w:t>
            </w:r>
            <w:r w:rsidRPr="00C13735">
              <w:rPr>
                <w:rFonts w:ascii="Calibri" w:eastAsia="Calibri" w:hAnsi="Calibri" w:cs="Calibri"/>
                <w:b/>
                <w:color w:val="000000"/>
                <w:sz w:val="22"/>
                <w:szCs w:val="22"/>
              </w:rPr>
              <w:t>–</w:t>
            </w:r>
            <w:r w:rsidRPr="00C13735">
              <w:rPr>
                <w:rFonts w:asciiTheme="minorHAnsi" w:hAnsiTheme="minorHAnsi" w:cs="Times New Roman Bold"/>
                <w:b/>
                <w:sz w:val="22"/>
                <w:szCs w:val="22"/>
              </w:rPr>
              <w:t xml:space="preserve"> Geneva, 3 and 4 February 2020</w:t>
            </w:r>
          </w:p>
        </w:tc>
        <w:tc>
          <w:tcPr>
            <w:tcW w:w="3793" w:type="dxa"/>
          </w:tcPr>
          <w:p w14:paraId="706C64B8" w14:textId="77777777" w:rsidR="00680B78" w:rsidRPr="00680B78" w:rsidRDefault="00680B78" w:rsidP="00680B78">
            <w:pPr>
              <w:tabs>
                <w:tab w:val="clear" w:pos="1134"/>
                <w:tab w:val="clear" w:pos="1871"/>
                <w:tab w:val="clear" w:pos="2268"/>
                <w:tab w:val="left" w:pos="794"/>
                <w:tab w:val="left" w:pos="1191"/>
                <w:tab w:val="left" w:pos="1588"/>
                <w:tab w:val="left" w:pos="1985"/>
              </w:tabs>
              <w:spacing w:line="240" w:lineRule="atLeast"/>
            </w:pPr>
            <w:r w:rsidRPr="00680B78">
              <w:rPr>
                <w:noProof/>
                <w:lang w:eastAsia="zh-CN"/>
              </w:rPr>
              <w:drawing>
                <wp:inline distT="0" distB="0" distL="0" distR="0" wp14:anchorId="304209B2" wp14:editId="707AB386">
                  <wp:extent cx="682417" cy="720000"/>
                  <wp:effectExtent l="0" t="0" r="381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417" cy="720000"/>
                          </a:xfrm>
                          <a:prstGeom prst="rect">
                            <a:avLst/>
                          </a:prstGeom>
                        </pic:spPr>
                      </pic:pic>
                    </a:graphicData>
                  </a:graphic>
                </wp:inline>
              </w:drawing>
            </w:r>
          </w:p>
        </w:tc>
      </w:tr>
      <w:tr w:rsidR="00680B78" w:rsidRPr="00680B78" w14:paraId="39428F68" w14:textId="77777777" w:rsidTr="00187827">
        <w:trPr>
          <w:cantSplit/>
        </w:trPr>
        <w:tc>
          <w:tcPr>
            <w:tcW w:w="6521" w:type="dxa"/>
            <w:tcBorders>
              <w:top w:val="single" w:sz="12" w:space="0" w:color="auto"/>
            </w:tcBorders>
          </w:tcPr>
          <w:p w14:paraId="63CEFD13" w14:textId="77777777" w:rsidR="00680B78" w:rsidRPr="00680B78" w:rsidRDefault="00680B78" w:rsidP="00680B78">
            <w:pPr>
              <w:tabs>
                <w:tab w:val="clear" w:pos="1134"/>
                <w:tab w:val="clear" w:pos="1871"/>
                <w:tab w:val="clear" w:pos="2268"/>
                <w:tab w:val="left" w:pos="794"/>
                <w:tab w:val="left" w:pos="1191"/>
                <w:tab w:val="left" w:pos="1588"/>
                <w:tab w:val="left" w:pos="1985"/>
              </w:tabs>
              <w:snapToGrid w:val="0"/>
              <w:spacing w:before="0"/>
              <w:rPr>
                <w:b/>
                <w:smallCaps/>
              </w:rPr>
            </w:pPr>
          </w:p>
        </w:tc>
        <w:tc>
          <w:tcPr>
            <w:tcW w:w="3793" w:type="dxa"/>
            <w:tcBorders>
              <w:top w:val="single" w:sz="12" w:space="0" w:color="auto"/>
            </w:tcBorders>
          </w:tcPr>
          <w:p w14:paraId="16CFB43F" w14:textId="77777777" w:rsidR="00680B78" w:rsidRPr="00680B78" w:rsidRDefault="00680B78" w:rsidP="00680B78">
            <w:pPr>
              <w:tabs>
                <w:tab w:val="clear" w:pos="1134"/>
                <w:tab w:val="clear" w:pos="1871"/>
                <w:tab w:val="clear" w:pos="2268"/>
                <w:tab w:val="left" w:pos="794"/>
                <w:tab w:val="left" w:pos="1191"/>
                <w:tab w:val="left" w:pos="1588"/>
                <w:tab w:val="left" w:pos="1985"/>
              </w:tabs>
              <w:snapToGrid w:val="0"/>
              <w:spacing w:before="0"/>
              <w:ind w:left="209"/>
              <w:rPr>
                <w:rFonts w:ascii="Verdana" w:hAnsi="Verdana"/>
              </w:rPr>
            </w:pPr>
          </w:p>
        </w:tc>
      </w:tr>
      <w:tr w:rsidR="00680B78" w:rsidRPr="00680B78" w14:paraId="65AF007A" w14:textId="77777777" w:rsidTr="00187827">
        <w:trPr>
          <w:cantSplit/>
          <w:trHeight w:val="23"/>
        </w:trPr>
        <w:tc>
          <w:tcPr>
            <w:tcW w:w="6521" w:type="dxa"/>
            <w:vMerge w:val="restart"/>
          </w:tcPr>
          <w:p w14:paraId="49845D4D" w14:textId="77777777" w:rsidR="00680B78" w:rsidRPr="00680B78" w:rsidRDefault="00680B78" w:rsidP="00680B78">
            <w:pPr>
              <w:tabs>
                <w:tab w:val="clear" w:pos="1134"/>
                <w:tab w:val="clear" w:pos="1871"/>
                <w:tab w:val="clear" w:pos="2268"/>
                <w:tab w:val="left" w:pos="794"/>
                <w:tab w:val="left" w:pos="1191"/>
                <w:tab w:val="left" w:pos="1588"/>
                <w:tab w:val="left" w:pos="1985"/>
              </w:tabs>
              <w:snapToGrid w:val="0"/>
              <w:spacing w:before="0"/>
              <w:rPr>
                <w:rFonts w:asciiTheme="minorHAnsi" w:hAnsiTheme="minorHAnsi"/>
                <w:b/>
              </w:rPr>
            </w:pPr>
            <w:bookmarkStart w:id="1" w:name="_GoBack"/>
            <w:bookmarkEnd w:id="1"/>
          </w:p>
        </w:tc>
        <w:tc>
          <w:tcPr>
            <w:tcW w:w="3793" w:type="dxa"/>
          </w:tcPr>
          <w:p w14:paraId="75FC289D" w14:textId="11C69626" w:rsidR="00680B78" w:rsidRPr="00680B78" w:rsidRDefault="00680B78" w:rsidP="00680B78">
            <w:pPr>
              <w:tabs>
                <w:tab w:val="clear" w:pos="1134"/>
                <w:tab w:val="clear" w:pos="1871"/>
                <w:tab w:val="clear" w:pos="2268"/>
                <w:tab w:val="left" w:pos="794"/>
                <w:tab w:val="left" w:pos="1191"/>
                <w:tab w:val="left" w:pos="1588"/>
                <w:tab w:val="left" w:pos="1985"/>
              </w:tabs>
              <w:snapToGrid w:val="0"/>
              <w:spacing w:before="0"/>
              <w:ind w:left="57"/>
              <w:rPr>
                <w:rFonts w:asciiTheme="minorHAnsi" w:hAnsiTheme="minorHAnsi" w:cs="Times New Roman Bold"/>
                <w:b/>
                <w:spacing w:val="-4"/>
                <w:lang w:val="de-CH"/>
              </w:rPr>
            </w:pPr>
            <w:r w:rsidRPr="00680B78">
              <w:rPr>
                <w:rFonts w:asciiTheme="minorHAnsi" w:hAnsiTheme="minorHAnsi" w:cs="Times New Roman Bold"/>
                <w:b/>
                <w:spacing w:val="-4"/>
                <w:lang w:val="de-CH"/>
              </w:rPr>
              <w:t>Document CWG-FHR-11/</w:t>
            </w:r>
            <w:r>
              <w:rPr>
                <w:rFonts w:asciiTheme="minorHAnsi" w:hAnsiTheme="minorHAnsi" w:cs="Times New Roman Bold"/>
                <w:b/>
                <w:spacing w:val="-4"/>
                <w:lang w:val="de-CH"/>
              </w:rPr>
              <w:t>5</w:t>
            </w:r>
          </w:p>
        </w:tc>
      </w:tr>
      <w:tr w:rsidR="00680B78" w:rsidRPr="00680B78" w14:paraId="549A4BA1" w14:textId="77777777" w:rsidTr="00187827">
        <w:trPr>
          <w:cantSplit/>
          <w:trHeight w:val="23"/>
        </w:trPr>
        <w:tc>
          <w:tcPr>
            <w:tcW w:w="6521" w:type="dxa"/>
            <w:vMerge/>
          </w:tcPr>
          <w:p w14:paraId="05B22277" w14:textId="77777777" w:rsidR="00680B78" w:rsidRPr="00680B78" w:rsidRDefault="00680B78" w:rsidP="00680B78">
            <w:pPr>
              <w:tabs>
                <w:tab w:val="clear" w:pos="1134"/>
                <w:tab w:val="clear" w:pos="1871"/>
                <w:tab w:val="clear" w:pos="2268"/>
                <w:tab w:val="left" w:pos="794"/>
                <w:tab w:val="left" w:pos="1191"/>
                <w:tab w:val="left" w:pos="1588"/>
                <w:tab w:val="left" w:pos="1985"/>
              </w:tabs>
              <w:snapToGrid w:val="0"/>
              <w:spacing w:before="0"/>
              <w:rPr>
                <w:rFonts w:asciiTheme="minorHAnsi" w:hAnsiTheme="minorHAnsi"/>
                <w:b/>
                <w:lang w:val="de-CH"/>
              </w:rPr>
            </w:pPr>
          </w:p>
        </w:tc>
        <w:tc>
          <w:tcPr>
            <w:tcW w:w="3793" w:type="dxa"/>
          </w:tcPr>
          <w:p w14:paraId="1DE0D00D" w14:textId="00DE7D4F" w:rsidR="00680B78" w:rsidRPr="00680B78" w:rsidRDefault="00680B78" w:rsidP="00680B78">
            <w:pPr>
              <w:tabs>
                <w:tab w:val="clear" w:pos="1134"/>
                <w:tab w:val="clear" w:pos="1871"/>
                <w:tab w:val="clear" w:pos="2268"/>
                <w:tab w:val="left" w:pos="794"/>
                <w:tab w:val="left" w:pos="1191"/>
                <w:tab w:val="left" w:pos="1588"/>
                <w:tab w:val="left" w:pos="1985"/>
              </w:tabs>
              <w:snapToGrid w:val="0"/>
              <w:spacing w:before="0"/>
              <w:ind w:left="57"/>
              <w:rPr>
                <w:rFonts w:asciiTheme="minorHAnsi" w:hAnsiTheme="minorHAnsi"/>
                <w:b/>
              </w:rPr>
            </w:pPr>
            <w:r w:rsidRPr="00680B78">
              <w:rPr>
                <w:rFonts w:asciiTheme="minorHAnsi" w:hAnsiTheme="minorHAnsi"/>
                <w:b/>
              </w:rPr>
              <w:t>1</w:t>
            </w:r>
            <w:r w:rsidR="00F94339">
              <w:rPr>
                <w:rFonts w:asciiTheme="minorHAnsi" w:hAnsiTheme="minorHAnsi"/>
                <w:b/>
              </w:rPr>
              <w:t>3</w:t>
            </w:r>
            <w:r w:rsidRPr="00680B78">
              <w:rPr>
                <w:rFonts w:asciiTheme="minorHAnsi" w:hAnsiTheme="minorHAnsi"/>
                <w:b/>
              </w:rPr>
              <w:t xml:space="preserve"> December</w:t>
            </w:r>
            <w:r w:rsidR="00F94339">
              <w:rPr>
                <w:rFonts w:asciiTheme="minorHAnsi" w:hAnsiTheme="minorHAnsi"/>
                <w:b/>
              </w:rPr>
              <w:t xml:space="preserve"> </w:t>
            </w:r>
            <w:r w:rsidRPr="00680B78">
              <w:rPr>
                <w:rFonts w:asciiTheme="minorHAnsi" w:hAnsiTheme="minorHAnsi"/>
                <w:b/>
              </w:rPr>
              <w:t>2019</w:t>
            </w:r>
          </w:p>
        </w:tc>
      </w:tr>
      <w:tr w:rsidR="00680B78" w:rsidRPr="00680B78" w14:paraId="36D2BC97" w14:textId="77777777" w:rsidTr="00187827">
        <w:trPr>
          <w:cantSplit/>
          <w:trHeight w:val="80"/>
        </w:trPr>
        <w:tc>
          <w:tcPr>
            <w:tcW w:w="6521" w:type="dxa"/>
            <w:vMerge/>
          </w:tcPr>
          <w:p w14:paraId="3E542F36" w14:textId="77777777" w:rsidR="00680B78" w:rsidRPr="00680B78" w:rsidRDefault="00680B78" w:rsidP="00680B78">
            <w:pPr>
              <w:tabs>
                <w:tab w:val="clear" w:pos="1134"/>
                <w:tab w:val="clear" w:pos="1871"/>
                <w:tab w:val="clear" w:pos="2268"/>
                <w:tab w:val="left" w:pos="794"/>
                <w:tab w:val="left" w:pos="1191"/>
                <w:tab w:val="left" w:pos="1588"/>
                <w:tab w:val="left" w:pos="1985"/>
              </w:tabs>
              <w:snapToGrid w:val="0"/>
              <w:spacing w:before="0"/>
              <w:rPr>
                <w:rFonts w:asciiTheme="minorHAnsi" w:hAnsiTheme="minorHAnsi"/>
                <w:b/>
              </w:rPr>
            </w:pPr>
          </w:p>
        </w:tc>
        <w:tc>
          <w:tcPr>
            <w:tcW w:w="3793" w:type="dxa"/>
          </w:tcPr>
          <w:p w14:paraId="3EA40EA6" w14:textId="77777777" w:rsidR="00680B78" w:rsidRPr="00680B78" w:rsidRDefault="00680B78" w:rsidP="00680B78">
            <w:pPr>
              <w:tabs>
                <w:tab w:val="clear" w:pos="1134"/>
                <w:tab w:val="clear" w:pos="1871"/>
                <w:tab w:val="clear" w:pos="2268"/>
                <w:tab w:val="left" w:pos="794"/>
                <w:tab w:val="left" w:pos="1191"/>
                <w:tab w:val="left" w:pos="1588"/>
                <w:tab w:val="left" w:pos="1985"/>
              </w:tabs>
              <w:snapToGrid w:val="0"/>
              <w:spacing w:before="0"/>
              <w:ind w:left="57"/>
              <w:rPr>
                <w:rFonts w:asciiTheme="minorHAnsi" w:hAnsiTheme="minorHAnsi"/>
                <w:b/>
              </w:rPr>
            </w:pPr>
            <w:r w:rsidRPr="00680B78">
              <w:rPr>
                <w:rFonts w:asciiTheme="minorHAnsi" w:hAnsiTheme="minorHAnsi"/>
                <w:b/>
              </w:rPr>
              <w:t>English only</w:t>
            </w:r>
          </w:p>
        </w:tc>
      </w:tr>
    </w:tbl>
    <w:p w14:paraId="7D459CAD" w14:textId="77777777" w:rsidR="00680B78" w:rsidRPr="00680B78" w:rsidRDefault="00680B78" w:rsidP="00C13735">
      <w:pPr>
        <w:tabs>
          <w:tab w:val="clear" w:pos="1134"/>
          <w:tab w:val="clear" w:pos="1871"/>
          <w:tab w:val="clear" w:pos="2268"/>
          <w:tab w:val="left" w:pos="794"/>
          <w:tab w:val="left" w:pos="1191"/>
          <w:tab w:val="left" w:pos="1588"/>
          <w:tab w:val="left" w:pos="1985"/>
        </w:tabs>
        <w:spacing w:before="960" w:after="240"/>
        <w:jc w:val="center"/>
        <w:rPr>
          <w:rFonts w:asciiTheme="minorHAnsi" w:hAnsiTheme="minorHAnsi"/>
          <w:b/>
          <w:sz w:val="28"/>
          <w:szCs w:val="32"/>
        </w:rPr>
      </w:pPr>
      <w:r w:rsidRPr="00680B78">
        <w:rPr>
          <w:rFonts w:asciiTheme="minorHAnsi" w:hAnsiTheme="minorHAnsi"/>
          <w:b/>
          <w:sz w:val="28"/>
          <w:szCs w:val="32"/>
        </w:rPr>
        <w:t>Contribution by the Secretariat</w:t>
      </w:r>
    </w:p>
    <w:p w14:paraId="7298838B" w14:textId="74549808" w:rsidR="00680B78" w:rsidRPr="00680B78" w:rsidRDefault="00FC7077" w:rsidP="00680B78">
      <w:pPr>
        <w:tabs>
          <w:tab w:val="clear" w:pos="1134"/>
          <w:tab w:val="clear" w:pos="1871"/>
          <w:tab w:val="clear" w:pos="2268"/>
          <w:tab w:val="left" w:pos="794"/>
          <w:tab w:val="left" w:pos="1191"/>
          <w:tab w:val="left" w:pos="1588"/>
          <w:tab w:val="left" w:pos="1985"/>
        </w:tabs>
        <w:spacing w:before="240" w:after="360"/>
        <w:jc w:val="center"/>
        <w:rPr>
          <w:rFonts w:asciiTheme="minorHAnsi" w:hAnsiTheme="minorHAnsi"/>
          <w:b/>
          <w:sz w:val="28"/>
          <w:szCs w:val="32"/>
        </w:rPr>
      </w:pPr>
      <w:r>
        <w:rPr>
          <w:rFonts w:asciiTheme="minorHAnsi" w:hAnsiTheme="minorHAnsi"/>
          <w:bCs/>
          <w:sz w:val="28"/>
          <w:szCs w:val="32"/>
        </w:rPr>
        <w:t>OUTCOME OF WRC-19 WITH FINANCIAL IMPLICATIONS</w:t>
      </w:r>
    </w:p>
    <w:p w14:paraId="4B20469E" w14:textId="1BA5E23E" w:rsidR="00680B78" w:rsidRPr="00680B78" w:rsidRDefault="00680B78" w:rsidP="00C13735">
      <w:pPr>
        <w:tabs>
          <w:tab w:val="clear" w:pos="1134"/>
          <w:tab w:val="clear" w:pos="1871"/>
          <w:tab w:val="clear" w:pos="2268"/>
          <w:tab w:val="left" w:pos="794"/>
          <w:tab w:val="left" w:pos="1191"/>
          <w:tab w:val="left" w:pos="1588"/>
          <w:tab w:val="left" w:pos="1985"/>
        </w:tabs>
        <w:snapToGrid w:val="0"/>
        <w:spacing w:before="720"/>
        <w:rPr>
          <w:rFonts w:ascii="Calibri" w:hAnsi="Calibri" w:cs="Calibri"/>
        </w:rPr>
      </w:pPr>
      <w:r w:rsidRPr="00680B78">
        <w:rPr>
          <w:rFonts w:ascii="Calibri" w:hAnsi="Calibri" w:cs="Calibri"/>
        </w:rPr>
        <w:t xml:space="preserve">Attached is a </w:t>
      </w:r>
      <w:r w:rsidR="007A436E">
        <w:rPr>
          <w:rFonts w:ascii="Calibri" w:hAnsi="Calibri" w:cs="Calibri"/>
        </w:rPr>
        <w:t xml:space="preserve">report </w:t>
      </w:r>
      <w:r w:rsidR="00FC7077">
        <w:rPr>
          <w:rFonts w:ascii="Calibri" w:hAnsi="Calibri" w:cs="Calibri"/>
        </w:rPr>
        <w:t xml:space="preserve">of the Budget Control Committee </w:t>
      </w:r>
      <w:r w:rsidR="00F66ACD">
        <w:rPr>
          <w:rFonts w:ascii="Calibri" w:hAnsi="Calibri" w:cs="Calibri"/>
        </w:rPr>
        <w:t xml:space="preserve">which was </w:t>
      </w:r>
      <w:r w:rsidR="009256C6">
        <w:rPr>
          <w:rFonts w:ascii="Calibri" w:hAnsi="Calibri" w:cs="Calibri"/>
        </w:rPr>
        <w:t xml:space="preserve">submitted to the </w:t>
      </w:r>
      <w:proofErr w:type="gramStart"/>
      <w:r w:rsidR="009256C6">
        <w:rPr>
          <w:rFonts w:ascii="Calibri" w:hAnsi="Calibri" w:cs="Calibri"/>
        </w:rPr>
        <w:t>Plenary</w:t>
      </w:r>
      <w:proofErr w:type="gramEnd"/>
      <w:r w:rsidR="009256C6">
        <w:rPr>
          <w:rFonts w:ascii="Calibri" w:hAnsi="Calibri" w:cs="Calibri"/>
        </w:rPr>
        <w:t xml:space="preserve"> </w:t>
      </w:r>
      <w:r w:rsidR="007A436E">
        <w:rPr>
          <w:rFonts w:ascii="Calibri" w:hAnsi="Calibri" w:cs="Calibri"/>
        </w:rPr>
        <w:t xml:space="preserve">meeting </w:t>
      </w:r>
      <w:r w:rsidR="009256C6">
        <w:rPr>
          <w:rFonts w:ascii="Calibri" w:hAnsi="Calibri" w:cs="Calibri"/>
        </w:rPr>
        <w:t xml:space="preserve">of </w:t>
      </w:r>
      <w:r w:rsidR="00FC7077">
        <w:rPr>
          <w:rFonts w:ascii="Calibri" w:hAnsi="Calibri" w:cs="Calibri"/>
        </w:rPr>
        <w:t>WRC-19</w:t>
      </w:r>
      <w:r w:rsidR="009256C6">
        <w:rPr>
          <w:rFonts w:ascii="Calibri" w:hAnsi="Calibri" w:cs="Calibri"/>
        </w:rPr>
        <w:t>.</w:t>
      </w:r>
    </w:p>
    <w:p w14:paraId="3B3C5261" w14:textId="77777777" w:rsidR="00997786" w:rsidRDefault="00997786" w:rsidP="00997786">
      <w:pPr>
        <w:spacing w:before="0"/>
      </w:pPr>
    </w:p>
    <w:p w14:paraId="3B6F39F0" w14:textId="77777777" w:rsidR="00FC7077" w:rsidRDefault="00FC7077" w:rsidP="00997786">
      <w:pPr>
        <w:spacing w:before="0"/>
        <w:sectPr w:rsidR="00FC7077" w:rsidSect="00680B78">
          <w:headerReference w:type="default" r:id="rId13"/>
          <w:footerReference w:type="even" r:id="rId14"/>
          <w:pgSz w:w="11907" w:h="16840" w:code="9"/>
          <w:pgMar w:top="993" w:right="1134" w:bottom="1418" w:left="1134" w:header="720" w:footer="720" w:gutter="0"/>
          <w:paperSrc w:first="15" w:other="15"/>
          <w:pgNumType w:start="1"/>
          <w:cols w:space="720"/>
          <w:titlePg/>
          <w:docGrid w:linePitch="326"/>
        </w:sectPr>
      </w:pPr>
    </w:p>
    <w:p w14:paraId="29979463" w14:textId="350E9144" w:rsidR="00997786" w:rsidRDefault="00997786"/>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2A0212" w14:paraId="31C88042" w14:textId="77777777">
        <w:trPr>
          <w:cantSplit/>
        </w:trPr>
        <w:tc>
          <w:tcPr>
            <w:tcW w:w="6911" w:type="dxa"/>
          </w:tcPr>
          <w:p w14:paraId="541FECFC" w14:textId="138327B9" w:rsidR="00A066F1" w:rsidRPr="002A0212" w:rsidRDefault="00241FA2" w:rsidP="00116C7A">
            <w:pPr>
              <w:spacing w:before="400" w:after="48" w:line="240" w:lineRule="atLeast"/>
              <w:rPr>
                <w:rFonts w:ascii="Verdana" w:hAnsi="Verdana"/>
                <w:position w:val="6"/>
                <w:lang w:val="en-US"/>
              </w:rPr>
            </w:pPr>
            <w:r w:rsidRPr="002A0212">
              <w:rPr>
                <w:rFonts w:ascii="Verdana" w:hAnsi="Verdana" w:cs="Times"/>
                <w:b/>
                <w:position w:val="6"/>
                <w:sz w:val="22"/>
                <w:szCs w:val="22"/>
                <w:lang w:val="en-US"/>
              </w:rPr>
              <w:t>World Radiocommunication Conference (WRC-1</w:t>
            </w:r>
            <w:r w:rsidR="000E463E" w:rsidRPr="002A0212">
              <w:rPr>
                <w:rFonts w:ascii="Verdana" w:hAnsi="Verdana" w:cs="Times"/>
                <w:b/>
                <w:position w:val="6"/>
                <w:sz w:val="22"/>
                <w:szCs w:val="22"/>
                <w:lang w:val="en-US"/>
              </w:rPr>
              <w:t>9</w:t>
            </w:r>
            <w:r w:rsidRPr="002A0212">
              <w:rPr>
                <w:rFonts w:ascii="Verdana" w:hAnsi="Verdana" w:cs="Times"/>
                <w:b/>
                <w:position w:val="6"/>
                <w:sz w:val="22"/>
                <w:szCs w:val="22"/>
                <w:lang w:val="en-US"/>
              </w:rPr>
              <w:t>)</w:t>
            </w:r>
            <w:r w:rsidRPr="002A0212">
              <w:rPr>
                <w:rFonts w:ascii="Verdana" w:hAnsi="Verdana" w:cs="Times"/>
                <w:b/>
                <w:position w:val="6"/>
                <w:sz w:val="26"/>
                <w:szCs w:val="26"/>
                <w:lang w:val="en-US"/>
              </w:rPr>
              <w:br/>
            </w:r>
            <w:r w:rsidR="00116C7A" w:rsidRPr="002A0212">
              <w:rPr>
                <w:rFonts w:ascii="Verdana" w:hAnsi="Verdana"/>
                <w:b/>
                <w:bCs/>
                <w:position w:val="6"/>
                <w:sz w:val="18"/>
                <w:szCs w:val="18"/>
                <w:lang w:val="en-US"/>
              </w:rPr>
              <w:t>Sharm el-Sheikh, Egypt</w:t>
            </w:r>
            <w:r w:rsidRPr="002A0212">
              <w:rPr>
                <w:rFonts w:ascii="Verdana" w:hAnsi="Verdana"/>
                <w:b/>
                <w:bCs/>
                <w:position w:val="6"/>
                <w:sz w:val="18"/>
                <w:szCs w:val="18"/>
                <w:lang w:val="en-US"/>
              </w:rPr>
              <w:t xml:space="preserve">, </w:t>
            </w:r>
            <w:r w:rsidR="000E463E" w:rsidRPr="002A0212">
              <w:rPr>
                <w:rFonts w:ascii="Verdana" w:hAnsi="Verdana"/>
                <w:b/>
                <w:bCs/>
                <w:position w:val="6"/>
                <w:sz w:val="18"/>
                <w:szCs w:val="18"/>
                <w:lang w:val="en-US"/>
              </w:rPr>
              <w:t xml:space="preserve">28 October </w:t>
            </w:r>
            <w:r w:rsidRPr="002A0212">
              <w:rPr>
                <w:rFonts w:ascii="Verdana" w:hAnsi="Verdana"/>
                <w:b/>
                <w:bCs/>
                <w:position w:val="6"/>
                <w:sz w:val="18"/>
                <w:szCs w:val="18"/>
                <w:lang w:val="en-US"/>
              </w:rPr>
              <w:t>–</w:t>
            </w:r>
            <w:r w:rsidR="000E463E" w:rsidRPr="002A0212">
              <w:rPr>
                <w:rFonts w:ascii="Verdana" w:hAnsi="Verdana"/>
                <w:b/>
                <w:bCs/>
                <w:position w:val="6"/>
                <w:sz w:val="18"/>
                <w:szCs w:val="18"/>
                <w:lang w:val="en-US"/>
              </w:rPr>
              <w:t xml:space="preserve"> </w:t>
            </w:r>
            <w:r w:rsidRPr="002A0212">
              <w:rPr>
                <w:rFonts w:ascii="Verdana" w:hAnsi="Verdana"/>
                <w:b/>
                <w:bCs/>
                <w:position w:val="6"/>
                <w:sz w:val="18"/>
                <w:szCs w:val="18"/>
                <w:lang w:val="en-US"/>
              </w:rPr>
              <w:t>2</w:t>
            </w:r>
            <w:r w:rsidR="000E463E" w:rsidRPr="002A0212">
              <w:rPr>
                <w:rFonts w:ascii="Verdana" w:hAnsi="Verdana"/>
                <w:b/>
                <w:bCs/>
                <w:position w:val="6"/>
                <w:sz w:val="18"/>
                <w:szCs w:val="18"/>
                <w:lang w:val="en-US"/>
              </w:rPr>
              <w:t>2</w:t>
            </w:r>
            <w:r w:rsidRPr="002A0212">
              <w:rPr>
                <w:rFonts w:ascii="Verdana" w:hAnsi="Verdana"/>
                <w:b/>
                <w:bCs/>
                <w:position w:val="6"/>
                <w:sz w:val="18"/>
                <w:szCs w:val="18"/>
                <w:lang w:val="en-US"/>
              </w:rPr>
              <w:t xml:space="preserve"> November 201</w:t>
            </w:r>
            <w:r w:rsidR="000E463E" w:rsidRPr="002A0212">
              <w:rPr>
                <w:rFonts w:ascii="Verdana" w:hAnsi="Verdana"/>
                <w:b/>
                <w:bCs/>
                <w:position w:val="6"/>
                <w:sz w:val="18"/>
                <w:szCs w:val="18"/>
                <w:lang w:val="en-US"/>
              </w:rPr>
              <w:t>9</w:t>
            </w:r>
          </w:p>
        </w:tc>
        <w:tc>
          <w:tcPr>
            <w:tcW w:w="3120" w:type="dxa"/>
          </w:tcPr>
          <w:p w14:paraId="67D35749" w14:textId="77777777" w:rsidR="00A066F1" w:rsidRPr="002A0212" w:rsidRDefault="005F04D8" w:rsidP="003B2284">
            <w:pPr>
              <w:spacing w:before="0" w:line="240" w:lineRule="atLeast"/>
              <w:jc w:val="right"/>
              <w:rPr>
                <w:lang w:val="en-US"/>
              </w:rPr>
            </w:pPr>
            <w:bookmarkStart w:id="2" w:name="ditulogo"/>
            <w:bookmarkEnd w:id="2"/>
            <w:r w:rsidRPr="002A0212">
              <w:rPr>
                <w:noProof/>
                <w:lang w:eastAsia="zh-CN"/>
              </w:rPr>
              <w:drawing>
                <wp:inline distT="0" distB="0" distL="0" distR="0" wp14:anchorId="02718712" wp14:editId="58576F3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2A0212" w14:paraId="591F8F30" w14:textId="77777777">
        <w:trPr>
          <w:cantSplit/>
        </w:trPr>
        <w:tc>
          <w:tcPr>
            <w:tcW w:w="6911" w:type="dxa"/>
            <w:tcBorders>
              <w:bottom w:val="single" w:sz="12" w:space="0" w:color="auto"/>
            </w:tcBorders>
          </w:tcPr>
          <w:p w14:paraId="73ED3DAA" w14:textId="77777777" w:rsidR="00A066F1" w:rsidRPr="002A0212" w:rsidRDefault="00A066F1" w:rsidP="00A066F1">
            <w:pPr>
              <w:spacing w:before="0" w:after="48" w:line="240" w:lineRule="atLeast"/>
              <w:rPr>
                <w:rFonts w:ascii="Verdana" w:hAnsi="Verdana"/>
                <w:b/>
                <w:smallCaps/>
                <w:sz w:val="20"/>
                <w:lang w:val="en-US"/>
              </w:rPr>
            </w:pPr>
            <w:bookmarkStart w:id="3" w:name="dhead"/>
          </w:p>
        </w:tc>
        <w:tc>
          <w:tcPr>
            <w:tcW w:w="3120" w:type="dxa"/>
            <w:tcBorders>
              <w:bottom w:val="single" w:sz="12" w:space="0" w:color="auto"/>
            </w:tcBorders>
          </w:tcPr>
          <w:p w14:paraId="6F638CDB" w14:textId="77777777" w:rsidR="00A066F1" w:rsidRPr="002A0212" w:rsidRDefault="00A066F1" w:rsidP="00A066F1">
            <w:pPr>
              <w:spacing w:before="0" w:line="240" w:lineRule="atLeast"/>
              <w:rPr>
                <w:rFonts w:ascii="Verdana" w:hAnsi="Verdana"/>
                <w:szCs w:val="24"/>
                <w:lang w:val="en-US"/>
              </w:rPr>
            </w:pPr>
          </w:p>
        </w:tc>
      </w:tr>
      <w:tr w:rsidR="00A066F1" w:rsidRPr="002A0212" w14:paraId="5BEB8F92" w14:textId="77777777">
        <w:trPr>
          <w:cantSplit/>
        </w:trPr>
        <w:tc>
          <w:tcPr>
            <w:tcW w:w="6911" w:type="dxa"/>
            <w:tcBorders>
              <w:top w:val="single" w:sz="12" w:space="0" w:color="auto"/>
            </w:tcBorders>
          </w:tcPr>
          <w:p w14:paraId="2AC5185A" w14:textId="77777777" w:rsidR="00A066F1" w:rsidRPr="002A0212" w:rsidRDefault="00A066F1" w:rsidP="00A066F1">
            <w:pPr>
              <w:spacing w:before="0" w:after="48" w:line="240" w:lineRule="atLeast"/>
              <w:rPr>
                <w:rFonts w:ascii="Verdana" w:hAnsi="Verdana"/>
                <w:b/>
                <w:smallCaps/>
                <w:sz w:val="20"/>
                <w:lang w:val="en-US"/>
              </w:rPr>
            </w:pPr>
          </w:p>
        </w:tc>
        <w:tc>
          <w:tcPr>
            <w:tcW w:w="3120" w:type="dxa"/>
            <w:tcBorders>
              <w:top w:val="single" w:sz="12" w:space="0" w:color="auto"/>
            </w:tcBorders>
          </w:tcPr>
          <w:p w14:paraId="66440E75" w14:textId="77777777" w:rsidR="00A066F1" w:rsidRPr="002A0212" w:rsidRDefault="00A066F1" w:rsidP="00A066F1">
            <w:pPr>
              <w:spacing w:before="0" w:line="240" w:lineRule="atLeast"/>
              <w:rPr>
                <w:rFonts w:ascii="Verdana" w:hAnsi="Verdana"/>
                <w:sz w:val="20"/>
                <w:lang w:val="en-US"/>
              </w:rPr>
            </w:pPr>
          </w:p>
        </w:tc>
      </w:tr>
      <w:tr w:rsidR="00CD5110" w:rsidRPr="002A0212" w14:paraId="66C4A2CD" w14:textId="77777777">
        <w:trPr>
          <w:cantSplit/>
          <w:trHeight w:val="23"/>
        </w:trPr>
        <w:tc>
          <w:tcPr>
            <w:tcW w:w="6911" w:type="dxa"/>
            <w:shd w:val="clear" w:color="auto" w:fill="auto"/>
          </w:tcPr>
          <w:p w14:paraId="76EFB18C" w14:textId="77777777" w:rsidR="00CD5110" w:rsidRPr="002A0212" w:rsidRDefault="00CD5110" w:rsidP="00CD5110">
            <w:pPr>
              <w:pStyle w:val="Committee"/>
              <w:framePr w:hSpace="0" w:wrap="auto" w:hAnchor="text" w:yAlign="inline"/>
              <w:rPr>
                <w:rFonts w:ascii="Verdana" w:hAnsi="Verdana"/>
                <w:sz w:val="20"/>
                <w:szCs w:val="20"/>
                <w:lang w:val="en-US"/>
              </w:rPr>
            </w:pPr>
            <w:bookmarkStart w:id="4" w:name="dnum" w:colFirst="1" w:colLast="1"/>
            <w:bookmarkStart w:id="5" w:name="dmeeting" w:colFirst="0" w:colLast="0"/>
            <w:bookmarkEnd w:id="3"/>
            <w:r w:rsidRPr="002A0212">
              <w:rPr>
                <w:rFonts w:ascii="Verdana" w:hAnsi="Verdana"/>
                <w:sz w:val="20"/>
                <w:szCs w:val="20"/>
                <w:lang w:val="en-US"/>
              </w:rPr>
              <w:t>PLENARY MEETING</w:t>
            </w:r>
          </w:p>
        </w:tc>
        <w:tc>
          <w:tcPr>
            <w:tcW w:w="3120" w:type="dxa"/>
          </w:tcPr>
          <w:p w14:paraId="647B3C12" w14:textId="77777777" w:rsidR="00B55422" w:rsidRPr="002A0212" w:rsidRDefault="00B55422" w:rsidP="00131490">
            <w:pPr>
              <w:tabs>
                <w:tab w:val="left" w:pos="851"/>
              </w:tabs>
              <w:spacing w:before="0" w:line="240" w:lineRule="atLeast"/>
              <w:rPr>
                <w:rFonts w:ascii="Verdana" w:hAnsi="Verdana"/>
                <w:b/>
                <w:sz w:val="20"/>
                <w:lang w:val="en-US"/>
              </w:rPr>
            </w:pPr>
            <w:r w:rsidRPr="002A0212">
              <w:rPr>
                <w:rFonts w:ascii="Verdana" w:hAnsi="Verdana"/>
                <w:b/>
                <w:sz w:val="20"/>
                <w:lang w:val="en-US"/>
              </w:rPr>
              <w:t xml:space="preserve">Revision </w:t>
            </w:r>
            <w:r w:rsidR="0010706E">
              <w:rPr>
                <w:rFonts w:ascii="Verdana" w:hAnsi="Verdana"/>
                <w:b/>
                <w:sz w:val="20"/>
                <w:lang w:val="en-US"/>
              </w:rPr>
              <w:t>2</w:t>
            </w:r>
            <w:r w:rsidR="0010706E" w:rsidRPr="002A0212">
              <w:rPr>
                <w:rFonts w:ascii="Verdana" w:hAnsi="Verdana"/>
                <w:b/>
                <w:sz w:val="20"/>
                <w:lang w:val="en-US"/>
              </w:rPr>
              <w:t xml:space="preserve"> </w:t>
            </w:r>
            <w:r w:rsidRPr="002A0212">
              <w:rPr>
                <w:rFonts w:ascii="Verdana" w:hAnsi="Verdana"/>
                <w:b/>
                <w:sz w:val="20"/>
                <w:lang w:val="en-US"/>
              </w:rPr>
              <w:t xml:space="preserve">to </w:t>
            </w:r>
          </w:p>
          <w:p w14:paraId="66BC7440" w14:textId="77777777" w:rsidR="00CD5110" w:rsidRPr="002A0212" w:rsidRDefault="00CD5110" w:rsidP="00131490">
            <w:pPr>
              <w:tabs>
                <w:tab w:val="left" w:pos="851"/>
              </w:tabs>
              <w:spacing w:before="0" w:line="240" w:lineRule="atLeast"/>
              <w:rPr>
                <w:rFonts w:ascii="Verdana" w:hAnsi="Verdana"/>
                <w:sz w:val="20"/>
                <w:lang w:val="en-US"/>
              </w:rPr>
            </w:pPr>
            <w:r w:rsidRPr="002A0212">
              <w:rPr>
                <w:rFonts w:ascii="Verdana" w:hAnsi="Verdana"/>
                <w:b/>
                <w:sz w:val="20"/>
                <w:lang w:val="en-US"/>
              </w:rPr>
              <w:t xml:space="preserve">Document </w:t>
            </w:r>
            <w:r w:rsidR="00246BE8" w:rsidRPr="002A0212">
              <w:rPr>
                <w:rFonts w:ascii="Verdana" w:hAnsi="Verdana"/>
                <w:b/>
                <w:sz w:val="20"/>
                <w:lang w:val="en-US"/>
              </w:rPr>
              <w:t>337</w:t>
            </w:r>
            <w:r w:rsidRPr="002A0212">
              <w:rPr>
                <w:rFonts w:ascii="Verdana" w:hAnsi="Verdana"/>
                <w:b/>
                <w:sz w:val="20"/>
                <w:lang w:val="en-US"/>
              </w:rPr>
              <w:t>-E</w:t>
            </w:r>
          </w:p>
        </w:tc>
      </w:tr>
      <w:tr w:rsidR="00CD5110" w:rsidRPr="002A0212" w14:paraId="3E007228" w14:textId="77777777">
        <w:trPr>
          <w:cantSplit/>
          <w:trHeight w:val="23"/>
        </w:trPr>
        <w:tc>
          <w:tcPr>
            <w:tcW w:w="6911" w:type="dxa"/>
            <w:shd w:val="clear" w:color="auto" w:fill="auto"/>
          </w:tcPr>
          <w:p w14:paraId="20A66D5D" w14:textId="77777777" w:rsidR="00CD5110" w:rsidRPr="002A0212" w:rsidRDefault="00CD5110" w:rsidP="00CD5110">
            <w:pPr>
              <w:tabs>
                <w:tab w:val="left" w:pos="851"/>
              </w:tabs>
              <w:spacing w:before="0" w:line="240" w:lineRule="atLeast"/>
              <w:rPr>
                <w:rFonts w:ascii="Verdana" w:hAnsi="Verdana"/>
                <w:b/>
                <w:sz w:val="20"/>
                <w:lang w:val="en-US"/>
              </w:rPr>
            </w:pPr>
            <w:bookmarkStart w:id="6" w:name="ddate" w:colFirst="1" w:colLast="1"/>
            <w:bookmarkStart w:id="7" w:name="dblank" w:colFirst="0" w:colLast="0"/>
            <w:bookmarkEnd w:id="4"/>
            <w:bookmarkEnd w:id="5"/>
          </w:p>
        </w:tc>
        <w:tc>
          <w:tcPr>
            <w:tcW w:w="3120" w:type="dxa"/>
          </w:tcPr>
          <w:p w14:paraId="2BBE48ED" w14:textId="77777777" w:rsidR="00CD5110" w:rsidRPr="002A0212" w:rsidRDefault="00246BE8" w:rsidP="00CD5110">
            <w:pPr>
              <w:tabs>
                <w:tab w:val="left" w:pos="993"/>
              </w:tabs>
              <w:spacing w:before="0"/>
              <w:rPr>
                <w:rFonts w:ascii="Verdana" w:hAnsi="Verdana"/>
                <w:sz w:val="20"/>
                <w:lang w:val="en-US"/>
              </w:rPr>
            </w:pPr>
            <w:r w:rsidRPr="002A0212">
              <w:rPr>
                <w:rFonts w:ascii="Verdana" w:hAnsi="Verdana"/>
                <w:b/>
                <w:sz w:val="20"/>
                <w:lang w:val="en-US"/>
              </w:rPr>
              <w:t>1</w:t>
            </w:r>
            <w:r w:rsidR="00EC0691">
              <w:rPr>
                <w:rFonts w:ascii="Verdana" w:hAnsi="Verdana"/>
                <w:b/>
                <w:sz w:val="20"/>
                <w:lang w:val="en-US"/>
              </w:rPr>
              <w:t>9</w:t>
            </w:r>
            <w:r w:rsidRPr="002A0212">
              <w:rPr>
                <w:rFonts w:ascii="Verdana" w:hAnsi="Verdana"/>
                <w:b/>
                <w:sz w:val="20"/>
                <w:lang w:val="en-US"/>
              </w:rPr>
              <w:t xml:space="preserve"> November</w:t>
            </w:r>
            <w:r w:rsidR="00CD5110" w:rsidRPr="002A0212">
              <w:rPr>
                <w:rFonts w:ascii="Verdana" w:hAnsi="Verdana"/>
                <w:b/>
                <w:sz w:val="20"/>
                <w:lang w:val="en-US"/>
              </w:rPr>
              <w:t xml:space="preserve"> 2019</w:t>
            </w:r>
          </w:p>
        </w:tc>
      </w:tr>
      <w:bookmarkEnd w:id="6"/>
      <w:bookmarkEnd w:id="7"/>
      <w:tr w:rsidR="00CD5110" w:rsidRPr="002A0212" w14:paraId="32F0A3C2" w14:textId="77777777">
        <w:trPr>
          <w:cantSplit/>
          <w:trHeight w:val="23"/>
        </w:trPr>
        <w:tc>
          <w:tcPr>
            <w:tcW w:w="6911" w:type="dxa"/>
            <w:shd w:val="clear" w:color="auto" w:fill="auto"/>
          </w:tcPr>
          <w:p w14:paraId="32283C01" w14:textId="77777777" w:rsidR="00CD5110" w:rsidRPr="002A0212" w:rsidRDefault="00CD5110" w:rsidP="00CD5110">
            <w:pPr>
              <w:tabs>
                <w:tab w:val="left" w:pos="851"/>
              </w:tabs>
              <w:spacing w:before="0" w:line="240" w:lineRule="atLeast"/>
              <w:rPr>
                <w:rFonts w:ascii="Verdana" w:hAnsi="Verdana"/>
                <w:sz w:val="20"/>
                <w:lang w:val="en-US"/>
              </w:rPr>
            </w:pPr>
          </w:p>
        </w:tc>
        <w:tc>
          <w:tcPr>
            <w:tcW w:w="3120" w:type="dxa"/>
          </w:tcPr>
          <w:p w14:paraId="4C92B32D" w14:textId="77777777" w:rsidR="00CD5110" w:rsidRPr="002A0212" w:rsidRDefault="00CD5110" w:rsidP="00131490">
            <w:pPr>
              <w:tabs>
                <w:tab w:val="left" w:pos="993"/>
              </w:tabs>
              <w:spacing w:before="0" w:after="120"/>
              <w:rPr>
                <w:rFonts w:ascii="Verdana" w:hAnsi="Verdana"/>
                <w:sz w:val="20"/>
                <w:lang w:val="en-US"/>
              </w:rPr>
            </w:pPr>
            <w:r w:rsidRPr="002A0212">
              <w:rPr>
                <w:rFonts w:ascii="Verdana" w:hAnsi="Verdana"/>
                <w:b/>
                <w:sz w:val="20"/>
                <w:lang w:val="en-US"/>
              </w:rPr>
              <w:t xml:space="preserve">Original: </w:t>
            </w:r>
            <w:r w:rsidR="00A907B8" w:rsidRPr="002A0212">
              <w:rPr>
                <w:rFonts w:ascii="Verdana" w:hAnsi="Verdana"/>
                <w:b/>
                <w:sz w:val="20"/>
                <w:lang w:val="en-US"/>
              </w:rPr>
              <w:t>English</w:t>
            </w:r>
          </w:p>
        </w:tc>
      </w:tr>
      <w:tr w:rsidR="00A066F1" w:rsidRPr="002A0212" w14:paraId="75DF34E4" w14:textId="77777777" w:rsidTr="00025864">
        <w:trPr>
          <w:cantSplit/>
          <w:trHeight w:val="23"/>
        </w:trPr>
        <w:tc>
          <w:tcPr>
            <w:tcW w:w="10031" w:type="dxa"/>
            <w:gridSpan w:val="2"/>
            <w:shd w:val="clear" w:color="auto" w:fill="auto"/>
          </w:tcPr>
          <w:p w14:paraId="54C71E38" w14:textId="77777777" w:rsidR="00A066F1" w:rsidRPr="002A0212" w:rsidRDefault="00A066F1" w:rsidP="00A066F1">
            <w:pPr>
              <w:tabs>
                <w:tab w:val="left" w:pos="993"/>
              </w:tabs>
              <w:spacing w:before="0"/>
              <w:rPr>
                <w:rFonts w:ascii="Verdana" w:hAnsi="Verdana"/>
                <w:b/>
                <w:sz w:val="20"/>
                <w:lang w:val="en-US"/>
              </w:rPr>
            </w:pPr>
            <w:bookmarkStart w:id="8" w:name="dbluepink" w:colFirst="0" w:colLast="0"/>
            <w:bookmarkStart w:id="9" w:name="dorlang" w:colFirst="1" w:colLast="1"/>
          </w:p>
        </w:tc>
      </w:tr>
      <w:tr w:rsidR="00E55816" w:rsidRPr="002A0212" w14:paraId="1925E679" w14:textId="77777777" w:rsidTr="00025864">
        <w:trPr>
          <w:cantSplit/>
          <w:trHeight w:val="23"/>
        </w:trPr>
        <w:tc>
          <w:tcPr>
            <w:tcW w:w="10031" w:type="dxa"/>
            <w:gridSpan w:val="2"/>
            <w:shd w:val="clear" w:color="auto" w:fill="auto"/>
          </w:tcPr>
          <w:p w14:paraId="0EFCF3E9" w14:textId="77777777" w:rsidR="00E55816" w:rsidRPr="002A0212" w:rsidRDefault="009C658A" w:rsidP="009C658A">
            <w:pPr>
              <w:pStyle w:val="Source"/>
              <w:rPr>
                <w:lang w:val="en-US"/>
              </w:rPr>
            </w:pPr>
            <w:r w:rsidRPr="002A0212">
              <w:rPr>
                <w:lang w:val="en-US"/>
              </w:rPr>
              <w:t>Budget Control Committee</w:t>
            </w:r>
          </w:p>
        </w:tc>
      </w:tr>
      <w:tr w:rsidR="00E55816" w:rsidRPr="002A0212" w14:paraId="5CD1C73F" w14:textId="77777777" w:rsidTr="00025864">
        <w:trPr>
          <w:cantSplit/>
          <w:trHeight w:val="23"/>
        </w:trPr>
        <w:tc>
          <w:tcPr>
            <w:tcW w:w="10031" w:type="dxa"/>
            <w:gridSpan w:val="2"/>
            <w:shd w:val="clear" w:color="auto" w:fill="auto"/>
          </w:tcPr>
          <w:p w14:paraId="5E07659B" w14:textId="77777777" w:rsidR="00E55816" w:rsidRPr="002A0212" w:rsidRDefault="009C658A" w:rsidP="009C658A">
            <w:pPr>
              <w:pStyle w:val="Title1"/>
              <w:rPr>
                <w:lang w:val="en-US"/>
              </w:rPr>
            </w:pPr>
            <w:r w:rsidRPr="002A0212">
              <w:rPr>
                <w:lang w:val="en-US"/>
              </w:rPr>
              <w:t xml:space="preserve">REPORT </w:t>
            </w:r>
            <w:r w:rsidR="00B55422" w:rsidRPr="002A0212">
              <w:rPr>
                <w:lang w:val="en-US"/>
              </w:rPr>
              <w:t xml:space="preserve">oF </w:t>
            </w:r>
            <w:r w:rsidRPr="002A0212">
              <w:rPr>
                <w:lang w:val="en-US"/>
              </w:rPr>
              <w:t>THE BUDGET CONTROL COMMITTEE TO THE PLENARY MEETING</w:t>
            </w:r>
          </w:p>
        </w:tc>
      </w:tr>
      <w:tr w:rsidR="00A538A6" w:rsidRPr="002A0212" w14:paraId="7A22FAA5" w14:textId="77777777" w:rsidTr="00025864">
        <w:trPr>
          <w:cantSplit/>
          <w:trHeight w:val="23"/>
        </w:trPr>
        <w:tc>
          <w:tcPr>
            <w:tcW w:w="10031" w:type="dxa"/>
            <w:gridSpan w:val="2"/>
            <w:shd w:val="clear" w:color="auto" w:fill="auto"/>
          </w:tcPr>
          <w:p w14:paraId="76D590DA" w14:textId="77777777" w:rsidR="00A538A6" w:rsidRPr="002A0212" w:rsidRDefault="00A538A6" w:rsidP="004B13CB">
            <w:pPr>
              <w:pStyle w:val="Agendaitem"/>
              <w:rPr>
                <w:lang w:val="en-US"/>
              </w:rPr>
            </w:pPr>
          </w:p>
        </w:tc>
      </w:tr>
    </w:tbl>
    <w:bookmarkEnd w:id="8"/>
    <w:bookmarkEnd w:id="9"/>
    <w:p w14:paraId="2AF68B19" w14:textId="77777777" w:rsidR="009E59FA" w:rsidRPr="002A0212" w:rsidRDefault="009E59FA" w:rsidP="009E59FA">
      <w:pPr>
        <w:pStyle w:val="Heading1"/>
        <w:rPr>
          <w:lang w:val="en-US"/>
        </w:rPr>
      </w:pPr>
      <w:r w:rsidRPr="002A0212">
        <w:rPr>
          <w:lang w:val="en-US"/>
        </w:rPr>
        <w:t>1</w:t>
      </w:r>
      <w:r w:rsidRPr="002A0212">
        <w:rPr>
          <w:lang w:val="en-US"/>
        </w:rPr>
        <w:tab/>
        <w:t>The Budget Control Committee held two meetings during the 2019 World Radiocommunication Conference (WRC-19) and considered the following issues:</w:t>
      </w:r>
    </w:p>
    <w:p w14:paraId="4F42FB00" w14:textId="77777777" w:rsidR="009E59FA" w:rsidRPr="002A0212" w:rsidRDefault="009E59FA" w:rsidP="009E59FA">
      <w:pPr>
        <w:pStyle w:val="enumlev1"/>
        <w:rPr>
          <w:lang w:val="en-US"/>
        </w:rPr>
      </w:pPr>
      <w:r w:rsidRPr="002A0212">
        <w:rPr>
          <w:lang w:val="en-US"/>
        </w:rPr>
        <w:t>1.1</w:t>
      </w:r>
      <w:r w:rsidRPr="002A0212">
        <w:rPr>
          <w:lang w:val="en-US"/>
        </w:rPr>
        <w:tab/>
        <w:t>Terms of reference COM 3, Conference structure</w:t>
      </w:r>
    </w:p>
    <w:p w14:paraId="57A3FC53" w14:textId="77777777" w:rsidR="008178AF" w:rsidRPr="002A0212" w:rsidRDefault="008178AF" w:rsidP="009E59FA">
      <w:pPr>
        <w:pStyle w:val="enumlev1"/>
        <w:rPr>
          <w:lang w:val="en-US"/>
        </w:rPr>
      </w:pPr>
      <w:r w:rsidRPr="002A0212">
        <w:rPr>
          <w:lang w:val="en-US"/>
        </w:rPr>
        <w:t>1.2</w:t>
      </w:r>
      <w:r w:rsidRPr="002A0212">
        <w:rPr>
          <w:lang w:val="en-US"/>
        </w:rPr>
        <w:tab/>
        <w:t>Host Country Agreement</w:t>
      </w:r>
    </w:p>
    <w:p w14:paraId="4913E760" w14:textId="77777777" w:rsidR="009E59FA" w:rsidRPr="002A0212" w:rsidRDefault="009E59FA" w:rsidP="004B42BF">
      <w:pPr>
        <w:pStyle w:val="enumlev1"/>
        <w:rPr>
          <w:lang w:val="en-US"/>
        </w:rPr>
      </w:pPr>
      <w:r w:rsidRPr="002A0212">
        <w:rPr>
          <w:lang w:val="en-US"/>
        </w:rPr>
        <w:t>1.</w:t>
      </w:r>
      <w:r w:rsidR="008178AF" w:rsidRPr="002A0212">
        <w:rPr>
          <w:lang w:val="en-US"/>
        </w:rPr>
        <w:t>3</w:t>
      </w:r>
      <w:r w:rsidRPr="002A0212">
        <w:rPr>
          <w:lang w:val="en-US"/>
        </w:rPr>
        <w:tab/>
        <w:t xml:space="preserve">Financial responsibilities of </w:t>
      </w:r>
      <w:r w:rsidR="004B42BF" w:rsidRPr="002A0212">
        <w:rPr>
          <w:lang w:val="en-US"/>
        </w:rPr>
        <w:t>c</w:t>
      </w:r>
      <w:r w:rsidRPr="002A0212">
        <w:rPr>
          <w:lang w:val="en-US"/>
        </w:rPr>
        <w:t>onferences</w:t>
      </w:r>
    </w:p>
    <w:p w14:paraId="1BA024F2" w14:textId="77777777" w:rsidR="009E59FA" w:rsidRPr="002A0212" w:rsidRDefault="009E59FA" w:rsidP="008178AF">
      <w:pPr>
        <w:pStyle w:val="enumlev1"/>
        <w:rPr>
          <w:lang w:val="en-US"/>
        </w:rPr>
      </w:pPr>
      <w:r w:rsidRPr="002A0212">
        <w:rPr>
          <w:lang w:val="en-US"/>
        </w:rPr>
        <w:t>1.</w:t>
      </w:r>
      <w:r w:rsidR="008178AF" w:rsidRPr="002A0212">
        <w:rPr>
          <w:lang w:val="en-US"/>
        </w:rPr>
        <w:t>4</w:t>
      </w:r>
      <w:r w:rsidRPr="002A0212">
        <w:rPr>
          <w:lang w:val="en-US"/>
        </w:rPr>
        <w:tab/>
        <w:t>Contributions of organizations of an international character and Sector Members to the expenses of the Conference (WRC-19)</w:t>
      </w:r>
    </w:p>
    <w:p w14:paraId="69B60DEF" w14:textId="77777777" w:rsidR="009E59FA" w:rsidRPr="002A0212" w:rsidRDefault="009E59FA" w:rsidP="008178AF">
      <w:pPr>
        <w:pStyle w:val="enumlev1"/>
        <w:rPr>
          <w:lang w:val="en-US"/>
        </w:rPr>
      </w:pPr>
      <w:r w:rsidRPr="002A0212">
        <w:rPr>
          <w:lang w:val="en-US"/>
        </w:rPr>
        <w:t>1.</w:t>
      </w:r>
      <w:r w:rsidR="008178AF" w:rsidRPr="002A0212">
        <w:rPr>
          <w:lang w:val="en-US"/>
        </w:rPr>
        <w:t>5</w:t>
      </w:r>
      <w:r w:rsidRPr="002A0212">
        <w:rPr>
          <w:lang w:val="en-US"/>
        </w:rPr>
        <w:tab/>
        <w:t>Budget and expenditure of the World Radiocommunication Conference (WRC-19)</w:t>
      </w:r>
    </w:p>
    <w:p w14:paraId="0841889B" w14:textId="77777777" w:rsidR="00B55422" w:rsidRPr="002A0212" w:rsidRDefault="00B55422" w:rsidP="008178AF">
      <w:pPr>
        <w:pStyle w:val="enumlev1"/>
        <w:rPr>
          <w:lang w:val="en-US"/>
        </w:rPr>
      </w:pPr>
      <w:r w:rsidRPr="002A0212">
        <w:rPr>
          <w:lang w:val="en-US"/>
        </w:rPr>
        <w:t>1.6</w:t>
      </w:r>
      <w:r w:rsidRPr="002A0212">
        <w:rPr>
          <w:lang w:val="en-US"/>
        </w:rPr>
        <w:tab/>
        <w:t>Financial implications</w:t>
      </w:r>
    </w:p>
    <w:p w14:paraId="552262AC" w14:textId="77777777" w:rsidR="008B5EEB" w:rsidRPr="002A0212" w:rsidRDefault="008B5EEB" w:rsidP="00C806D1">
      <w:pPr>
        <w:pStyle w:val="Heading1"/>
        <w:rPr>
          <w:lang w:val="en-US"/>
        </w:rPr>
      </w:pPr>
      <w:r w:rsidRPr="002A0212">
        <w:rPr>
          <w:lang w:val="en-US"/>
        </w:rPr>
        <w:t>2</w:t>
      </w:r>
      <w:r w:rsidRPr="002A0212">
        <w:rPr>
          <w:lang w:val="en-US"/>
        </w:rPr>
        <w:tab/>
        <w:t xml:space="preserve">Host Country Agreement (Document </w:t>
      </w:r>
      <w:r w:rsidR="006B213B" w:rsidRPr="002A0212">
        <w:rPr>
          <w:lang w:val="en-US"/>
        </w:rPr>
        <w:t>5</w:t>
      </w:r>
      <w:r w:rsidRPr="002A0212">
        <w:rPr>
          <w:lang w:val="en-US"/>
        </w:rPr>
        <w:t>)</w:t>
      </w:r>
    </w:p>
    <w:p w14:paraId="23303B73" w14:textId="77777777" w:rsidR="006B213B" w:rsidRPr="002A0212" w:rsidRDefault="006B213B" w:rsidP="00C806D1">
      <w:pPr>
        <w:rPr>
          <w:lang w:val="en-US"/>
        </w:rPr>
      </w:pPr>
      <w:r w:rsidRPr="002A0212">
        <w:rPr>
          <w:lang w:val="en-US"/>
        </w:rPr>
        <w:t>2.1</w:t>
      </w:r>
      <w:r w:rsidRPr="002A0212">
        <w:rPr>
          <w:lang w:val="en-US"/>
        </w:rPr>
        <w:tab/>
      </w:r>
      <w:r w:rsidR="0010591E" w:rsidRPr="002A0212">
        <w:rPr>
          <w:lang w:val="en-US"/>
        </w:rPr>
        <w:t>T</w:t>
      </w:r>
      <w:r w:rsidRPr="002A0212">
        <w:rPr>
          <w:lang w:val="en-US"/>
        </w:rPr>
        <w:t>he Agreement between the Government of the Arab Republic of Egypt</w:t>
      </w:r>
      <w:r w:rsidR="00543637" w:rsidRPr="002A0212">
        <w:rPr>
          <w:lang w:val="en-US"/>
        </w:rPr>
        <w:t xml:space="preserve"> </w:t>
      </w:r>
      <w:r w:rsidRPr="002A0212">
        <w:rPr>
          <w:lang w:val="en-US"/>
        </w:rPr>
        <w:t>and the International Telecommunication Union relating to the holding, organization and financing of the Radiocommunication Assembly, the World Radiocommunication Conference and the Conference Preparatory Meeting of the International Telecommunication Union in Sharm el-Sheikh, Egypt</w:t>
      </w:r>
      <w:r w:rsidR="00543637" w:rsidRPr="002A0212">
        <w:rPr>
          <w:lang w:val="en-US"/>
        </w:rPr>
        <w:t xml:space="preserve">. </w:t>
      </w:r>
      <w:r w:rsidR="0010591E" w:rsidRPr="002A0212">
        <w:rPr>
          <w:lang w:val="en-US"/>
        </w:rPr>
        <w:t>The Committee expressed its</w:t>
      </w:r>
      <w:r w:rsidR="00686886" w:rsidRPr="002A0212">
        <w:rPr>
          <w:lang w:val="en-US"/>
        </w:rPr>
        <w:t xml:space="preserve"> profound</w:t>
      </w:r>
      <w:r w:rsidR="0010591E" w:rsidRPr="002A0212">
        <w:rPr>
          <w:lang w:val="en-US"/>
        </w:rPr>
        <w:t xml:space="preserve"> gratitude to the government of the Arab Republic of Egypt for its generosity and immense hospitality. The Committee noted </w:t>
      </w:r>
      <w:r w:rsidR="002A6E21" w:rsidRPr="002A0212">
        <w:rPr>
          <w:lang w:val="en-US"/>
        </w:rPr>
        <w:t xml:space="preserve">that the commitment demonstrated by the </w:t>
      </w:r>
      <w:r w:rsidR="00187183" w:rsidRPr="002A0212">
        <w:rPr>
          <w:lang w:val="en-US"/>
        </w:rPr>
        <w:t>G</w:t>
      </w:r>
      <w:r w:rsidR="0010591E" w:rsidRPr="002A0212">
        <w:rPr>
          <w:lang w:val="en-US"/>
        </w:rPr>
        <w:t xml:space="preserve">overnment </w:t>
      </w:r>
      <w:r w:rsidR="002A6E21" w:rsidRPr="002A0212">
        <w:rPr>
          <w:lang w:val="en-US"/>
        </w:rPr>
        <w:t xml:space="preserve">of </w:t>
      </w:r>
      <w:r w:rsidR="006055AB" w:rsidRPr="002A0212">
        <w:rPr>
          <w:lang w:val="en-US"/>
        </w:rPr>
        <w:t xml:space="preserve">the </w:t>
      </w:r>
      <w:r w:rsidR="002A6E21" w:rsidRPr="002A0212">
        <w:rPr>
          <w:lang w:val="en-US"/>
        </w:rPr>
        <w:t>Arab Republic of Egypt</w:t>
      </w:r>
      <w:r w:rsidR="0010591E" w:rsidRPr="002A0212">
        <w:rPr>
          <w:lang w:val="en-US"/>
        </w:rPr>
        <w:t xml:space="preserve"> to the Union by</w:t>
      </w:r>
      <w:r w:rsidR="002A6E21" w:rsidRPr="002A0212">
        <w:rPr>
          <w:lang w:val="en-US"/>
        </w:rPr>
        <w:t xml:space="preserve"> its </w:t>
      </w:r>
      <w:r w:rsidR="0010591E" w:rsidRPr="002A0212">
        <w:rPr>
          <w:lang w:val="en-US"/>
        </w:rPr>
        <w:t xml:space="preserve">hosting </w:t>
      </w:r>
      <w:r w:rsidR="002A6E21" w:rsidRPr="002A0212">
        <w:rPr>
          <w:lang w:val="en-US"/>
        </w:rPr>
        <w:t xml:space="preserve">of </w:t>
      </w:r>
      <w:r w:rsidR="0010591E" w:rsidRPr="002A0212">
        <w:rPr>
          <w:lang w:val="en-US"/>
        </w:rPr>
        <w:t>this Conference in an unprecedented style which will be remembered by many in decades to come.</w:t>
      </w:r>
    </w:p>
    <w:p w14:paraId="0C6571E3" w14:textId="77777777" w:rsidR="009E59FA" w:rsidRPr="002A0212" w:rsidRDefault="006B213B" w:rsidP="006B213B">
      <w:pPr>
        <w:pStyle w:val="Heading1"/>
        <w:rPr>
          <w:lang w:val="en-US"/>
        </w:rPr>
      </w:pPr>
      <w:r w:rsidRPr="002A0212">
        <w:rPr>
          <w:lang w:val="en-US"/>
        </w:rPr>
        <w:t>3</w:t>
      </w:r>
      <w:r w:rsidR="009E59FA" w:rsidRPr="002A0212">
        <w:rPr>
          <w:lang w:val="en-US"/>
        </w:rPr>
        <w:tab/>
        <w:t>Terms of reference COM 3 - Conference Structure (D</w:t>
      </w:r>
      <w:r w:rsidRPr="002A0212">
        <w:rPr>
          <w:lang w:val="en-US"/>
        </w:rPr>
        <w:t>ocument</w:t>
      </w:r>
      <w:r w:rsidR="00384B80" w:rsidRPr="002A0212">
        <w:rPr>
          <w:lang w:val="en-US"/>
        </w:rPr>
        <w:t xml:space="preserve"> DT</w:t>
      </w:r>
      <w:r w:rsidR="009E59FA" w:rsidRPr="002A0212">
        <w:rPr>
          <w:lang w:val="en-US"/>
        </w:rPr>
        <w:t>/2)</w:t>
      </w:r>
    </w:p>
    <w:p w14:paraId="2ACED367" w14:textId="77777777" w:rsidR="009E59FA" w:rsidRPr="002A0212" w:rsidRDefault="006B213B" w:rsidP="009E59FA">
      <w:pPr>
        <w:rPr>
          <w:lang w:val="en-US"/>
        </w:rPr>
      </w:pPr>
      <w:r w:rsidRPr="002A0212">
        <w:rPr>
          <w:lang w:val="en-US"/>
        </w:rPr>
        <w:t>3</w:t>
      </w:r>
      <w:r w:rsidR="009E59FA" w:rsidRPr="002A0212">
        <w:rPr>
          <w:lang w:val="en-US"/>
        </w:rPr>
        <w:t>.1</w:t>
      </w:r>
      <w:r w:rsidR="009E59FA" w:rsidRPr="002A0212">
        <w:rPr>
          <w:lang w:val="en-US"/>
        </w:rPr>
        <w:tab/>
        <w:t>To determine the organization and the facilities available to delegates, to examine and approve the accounts for expenditure incurred throughout the duration of the Conference, and to report to the Plenary Meeting the estimated total expenditure of the Conference, as well as an estimate of the financial implications (No.</w:t>
      </w:r>
      <w:r w:rsidR="00B96CC3" w:rsidRPr="002A0212">
        <w:rPr>
          <w:lang w:val="en-US"/>
        </w:rPr>
        <w:t> </w:t>
      </w:r>
      <w:r w:rsidR="009E59FA" w:rsidRPr="002A0212">
        <w:rPr>
          <w:lang w:val="en-US"/>
        </w:rPr>
        <w:t>488 of the Convention) that may be entailed by the execution of the decisions taken by the Conference (Nos. 71 to 74 of the General Rules).</w:t>
      </w:r>
    </w:p>
    <w:p w14:paraId="5B90EA43" w14:textId="77777777" w:rsidR="009E59FA" w:rsidRPr="002A0212" w:rsidRDefault="006B213B" w:rsidP="009E59FA">
      <w:pPr>
        <w:pStyle w:val="Heading1"/>
        <w:rPr>
          <w:lang w:val="en-US"/>
        </w:rPr>
      </w:pPr>
      <w:r w:rsidRPr="002A0212">
        <w:rPr>
          <w:lang w:val="en-US"/>
        </w:rPr>
        <w:t>4</w:t>
      </w:r>
      <w:r w:rsidR="009E59FA" w:rsidRPr="002A0212">
        <w:rPr>
          <w:lang w:val="en-US"/>
        </w:rPr>
        <w:tab/>
        <w:t>Financial responsibilities of Conferences (Document 8)</w:t>
      </w:r>
    </w:p>
    <w:p w14:paraId="6177EFFE" w14:textId="77777777" w:rsidR="009E59FA" w:rsidRPr="002A0212" w:rsidRDefault="006B213B" w:rsidP="009E59FA">
      <w:pPr>
        <w:rPr>
          <w:lang w:val="en-US"/>
        </w:rPr>
      </w:pPr>
      <w:r w:rsidRPr="002A0212">
        <w:rPr>
          <w:lang w:val="en-US"/>
        </w:rPr>
        <w:t>4</w:t>
      </w:r>
      <w:r w:rsidR="009E59FA" w:rsidRPr="002A0212">
        <w:rPr>
          <w:lang w:val="en-US"/>
        </w:rPr>
        <w:t>.1</w:t>
      </w:r>
      <w:r w:rsidR="009E59FA" w:rsidRPr="002A0212">
        <w:rPr>
          <w:lang w:val="en-US"/>
        </w:rPr>
        <w:tab/>
        <w:t>The attention of the Conference is drawn to No.</w:t>
      </w:r>
      <w:r w:rsidR="00B96CC3" w:rsidRPr="002A0212">
        <w:rPr>
          <w:lang w:val="en-US"/>
        </w:rPr>
        <w:t> </w:t>
      </w:r>
      <w:r w:rsidR="009E59FA" w:rsidRPr="002A0212">
        <w:rPr>
          <w:lang w:val="en-US"/>
        </w:rPr>
        <w:t>92 (Article 13) of the Constitution of the International Telecommunication Union, which stipulates that:</w:t>
      </w:r>
    </w:p>
    <w:p w14:paraId="513ED371" w14:textId="77777777" w:rsidR="009E59FA" w:rsidRPr="002A0212" w:rsidRDefault="009E59FA" w:rsidP="009E59FA">
      <w:pPr>
        <w:rPr>
          <w:lang w:val="en-US"/>
        </w:rPr>
      </w:pPr>
      <w:r w:rsidRPr="002A0212">
        <w:rPr>
          <w:lang w:val="en-US"/>
        </w:rPr>
        <w:t xml:space="preserve">“The decisions of a world radiocommunication conference, of a radiocommunication assembly and of a regional radiocommunication conference shall in all circumstances be in conformity with this Constitution and the Convention. The decisions of a radiocommunication </w:t>
      </w:r>
      <w:r w:rsidRPr="002A0212">
        <w:rPr>
          <w:lang w:val="en-US"/>
        </w:rPr>
        <w:lastRenderedPageBreak/>
        <w:t>assembly or of a regional radiocommunication conference shall also in all circumstances be in conformity with the Radio Regulations. When adopting resolutions and decisions, the conferences shall take into account the foreseeable financial implications and should avoid adopting resolutions and decisions which might give rise to expenditure in excess of the financial limits laid down by the Plenipotentiary Conference.”</w:t>
      </w:r>
    </w:p>
    <w:p w14:paraId="72426CAA" w14:textId="77777777" w:rsidR="009E59FA" w:rsidRPr="002A0212" w:rsidRDefault="009E59FA" w:rsidP="009E59FA">
      <w:pPr>
        <w:rPr>
          <w:lang w:val="en-US"/>
        </w:rPr>
      </w:pPr>
      <w:r w:rsidRPr="002A0212">
        <w:rPr>
          <w:lang w:val="en-US"/>
        </w:rPr>
        <w:t>The attention of the Conference is also drawn to Article 34 of the Convention of the International Telecommunication Union, Nos.</w:t>
      </w:r>
      <w:r w:rsidR="00B96CC3" w:rsidRPr="002A0212">
        <w:rPr>
          <w:lang w:val="en-US"/>
        </w:rPr>
        <w:t> </w:t>
      </w:r>
      <w:r w:rsidRPr="002A0212">
        <w:rPr>
          <w:lang w:val="en-US"/>
        </w:rPr>
        <w:t>488 and 489 which stipulates that:</w:t>
      </w:r>
    </w:p>
    <w:p w14:paraId="794FB50F" w14:textId="77777777" w:rsidR="009E59FA" w:rsidRPr="002A0212" w:rsidRDefault="009E59FA" w:rsidP="009E59FA">
      <w:pPr>
        <w:rPr>
          <w:lang w:val="en-US"/>
        </w:rPr>
      </w:pPr>
      <w:r w:rsidRPr="002A0212">
        <w:rPr>
          <w:lang w:val="en-US"/>
        </w:rPr>
        <w:t>“Before adopting proposals or taking decisions with financial implications, the conferences of the Union shall take account of all the Union’s budgetary provisions with a view to ensuring that they will not result in expenses beyond the credits which the Council is empowered to authorize.</w:t>
      </w:r>
    </w:p>
    <w:p w14:paraId="01E1F1AC" w14:textId="77777777" w:rsidR="009E59FA" w:rsidRPr="002A0212" w:rsidRDefault="009E59FA" w:rsidP="009E59FA">
      <w:pPr>
        <w:rPr>
          <w:lang w:val="en-US"/>
        </w:rPr>
      </w:pPr>
      <w:r w:rsidRPr="002A0212">
        <w:rPr>
          <w:lang w:val="en-US"/>
        </w:rPr>
        <w:t>No decision of a conference shall be put into effect if it will result in a direct or indirect increase in expenses beyond the credits that the Council is empowered to authorize.”</w:t>
      </w:r>
    </w:p>
    <w:p w14:paraId="5400F247" w14:textId="77777777" w:rsidR="009E59FA" w:rsidRPr="002A0212" w:rsidRDefault="00686886" w:rsidP="004B42BF">
      <w:pPr>
        <w:pStyle w:val="Heading1"/>
        <w:rPr>
          <w:lang w:val="en-US"/>
        </w:rPr>
      </w:pPr>
      <w:r w:rsidRPr="002A0212">
        <w:rPr>
          <w:lang w:val="en-US"/>
        </w:rPr>
        <w:t>5</w:t>
      </w:r>
      <w:r w:rsidR="009E59FA" w:rsidRPr="002A0212">
        <w:rPr>
          <w:lang w:val="en-US"/>
        </w:rPr>
        <w:tab/>
        <w:t xml:space="preserve">Contribution of organizations of an international character and </w:t>
      </w:r>
      <w:r w:rsidR="004B42BF" w:rsidRPr="002A0212">
        <w:rPr>
          <w:lang w:val="en-US"/>
        </w:rPr>
        <w:t>S</w:t>
      </w:r>
      <w:r w:rsidR="009E59FA" w:rsidRPr="002A0212">
        <w:rPr>
          <w:lang w:val="en-US"/>
        </w:rPr>
        <w:t xml:space="preserve">ector </w:t>
      </w:r>
      <w:r w:rsidR="004B42BF" w:rsidRPr="002A0212">
        <w:rPr>
          <w:lang w:val="en-US"/>
        </w:rPr>
        <w:t>M</w:t>
      </w:r>
      <w:r w:rsidR="009E59FA" w:rsidRPr="002A0212">
        <w:rPr>
          <w:lang w:val="en-US"/>
        </w:rPr>
        <w:t>embers to the expenses of the Conference (Document 7)</w:t>
      </w:r>
    </w:p>
    <w:p w14:paraId="435B80BC" w14:textId="77777777" w:rsidR="009E59FA" w:rsidRPr="002A0212" w:rsidRDefault="00686886" w:rsidP="009E59FA">
      <w:pPr>
        <w:rPr>
          <w:lang w:val="en-US"/>
        </w:rPr>
      </w:pPr>
      <w:r w:rsidRPr="002A0212">
        <w:rPr>
          <w:lang w:val="en-US"/>
        </w:rPr>
        <w:t>5.</w:t>
      </w:r>
      <w:r w:rsidR="009E59FA" w:rsidRPr="002A0212">
        <w:rPr>
          <w:lang w:val="en-US"/>
        </w:rPr>
        <w:t>1</w:t>
      </w:r>
      <w:r w:rsidR="009E59FA" w:rsidRPr="002A0212">
        <w:rPr>
          <w:lang w:val="en-US"/>
        </w:rPr>
        <w:tab/>
        <w:t>No.</w:t>
      </w:r>
      <w:r w:rsidR="00B96CC3" w:rsidRPr="002A0212">
        <w:rPr>
          <w:lang w:val="en-US"/>
        </w:rPr>
        <w:t> </w:t>
      </w:r>
      <w:r w:rsidR="009E59FA" w:rsidRPr="002A0212">
        <w:rPr>
          <w:lang w:val="en-US"/>
        </w:rPr>
        <w:t>476 of the Convention of the International Telecommunication Union provides that:</w:t>
      </w:r>
    </w:p>
    <w:p w14:paraId="28668F34" w14:textId="77777777" w:rsidR="009E59FA" w:rsidRPr="002A0212" w:rsidRDefault="00C806D1" w:rsidP="006B213B">
      <w:pPr>
        <w:rPr>
          <w:lang w:val="en-US"/>
        </w:rPr>
      </w:pPr>
      <w:r w:rsidRPr="002A0212">
        <w:rPr>
          <w:lang w:val="en-US"/>
        </w:rPr>
        <w:t>“</w:t>
      </w:r>
      <w:r w:rsidR="009E59FA" w:rsidRPr="002A0212">
        <w:rPr>
          <w:lang w:val="en-US"/>
        </w:rPr>
        <w:t>The organizations referred to in Nos.</w:t>
      </w:r>
      <w:r w:rsidR="00B96CC3" w:rsidRPr="002A0212">
        <w:rPr>
          <w:lang w:val="en-US"/>
        </w:rPr>
        <w:t> </w:t>
      </w:r>
      <w:r w:rsidR="009E59FA" w:rsidRPr="002A0212">
        <w:rPr>
          <w:lang w:val="en-US"/>
        </w:rPr>
        <w:t>269A to 269E of this Convention and other organizations also specified in Chapter II thereof (unless they have been exempted by the Council, subject to reciprocity) and Sector Members referred to in No.</w:t>
      </w:r>
      <w:r w:rsidR="00B96CC3" w:rsidRPr="002A0212">
        <w:rPr>
          <w:lang w:val="en-US"/>
        </w:rPr>
        <w:t> </w:t>
      </w:r>
      <w:r w:rsidR="009E59FA" w:rsidRPr="002A0212">
        <w:rPr>
          <w:lang w:val="en-US"/>
        </w:rPr>
        <w:t>230 of this Convention which participate, in accordance with the provisions of this Convention, in a plenipotentiary conference, in a conference, assembly or meeting of a Sector of the Union, or in a world conference on international telecommunications, shall share in defraying the expenses of the conferences, assemblies and meetings in which they participate on the basis of the cost of these conferences and meetings and in accordance with the Financial Regulations. Nevertheless, Sector Members will not be charged separately for their attendance at a conference, assembly or meeting of their respective Sectors, except in the case of regional radiocommunication conferences.”</w:t>
      </w:r>
    </w:p>
    <w:p w14:paraId="01908EBE" w14:textId="77777777" w:rsidR="009E59FA" w:rsidRPr="002A0212" w:rsidRDefault="009E59FA" w:rsidP="009E59FA">
      <w:pPr>
        <w:rPr>
          <w:lang w:val="en-US"/>
        </w:rPr>
      </w:pPr>
      <w:r w:rsidRPr="002A0212">
        <w:rPr>
          <w:lang w:val="en-US"/>
        </w:rPr>
        <w:t xml:space="preserve">Article 7.5 of the Financial Regulations stipulates that: </w:t>
      </w:r>
    </w:p>
    <w:p w14:paraId="21C0C220" w14:textId="77777777" w:rsidR="009E59FA" w:rsidRPr="002A0212" w:rsidRDefault="009E59FA" w:rsidP="009E59FA">
      <w:pPr>
        <w:rPr>
          <w:lang w:val="en-US"/>
        </w:rPr>
      </w:pPr>
      <w:r w:rsidRPr="002A0212">
        <w:rPr>
          <w:lang w:val="en-US"/>
        </w:rPr>
        <w:t>“a)</w:t>
      </w:r>
      <w:r w:rsidRPr="002A0212">
        <w:rPr>
          <w:lang w:val="en-US"/>
        </w:rPr>
        <w:tab/>
        <w:t>Subject to the provisions of paragraph b) below, the contributions mentioned in No. 476 of the Convention shall be based on the free choice of a class of contribution from the scale given in No.</w:t>
      </w:r>
      <w:r w:rsidR="00B96CC3" w:rsidRPr="002A0212">
        <w:rPr>
          <w:lang w:val="en-US"/>
        </w:rPr>
        <w:t> </w:t>
      </w:r>
      <w:r w:rsidRPr="002A0212">
        <w:rPr>
          <w:lang w:val="en-US"/>
        </w:rPr>
        <w:t>468 of the Convention.</w:t>
      </w:r>
    </w:p>
    <w:p w14:paraId="7AE41AD1" w14:textId="77777777" w:rsidR="009E59FA" w:rsidRPr="002A0212" w:rsidRDefault="009E59FA" w:rsidP="009E59FA">
      <w:pPr>
        <w:rPr>
          <w:lang w:val="en-US"/>
        </w:rPr>
      </w:pPr>
      <w:r w:rsidRPr="002A0212">
        <w:rPr>
          <w:lang w:val="en-US"/>
        </w:rPr>
        <w:t>b)</w:t>
      </w:r>
      <w:r w:rsidRPr="002A0212">
        <w:rPr>
          <w:lang w:val="en-US"/>
        </w:rPr>
        <w:tab/>
        <w:t>The amount of the contribution per unit payable towards defraying the expenses of a conference or assembly shall be set by dividing the direct budgeted cost of the conference or assembly in question by the total number of units contributed by Member States as their share of Union expenses. The contributions shall be considered as Union income. They shall bear interest from the sixtieth day following the day on which accounts are sent out, at the rates set in No.</w:t>
      </w:r>
      <w:r w:rsidR="00B96CC3" w:rsidRPr="002A0212">
        <w:rPr>
          <w:lang w:val="en-US"/>
        </w:rPr>
        <w:t> </w:t>
      </w:r>
      <w:r w:rsidRPr="002A0212">
        <w:rPr>
          <w:lang w:val="en-US"/>
        </w:rPr>
        <w:t>474 of the Convention. Non-exempted international organizations and Sector Members shall contribute at a minimum level of one unit.”</w:t>
      </w:r>
    </w:p>
    <w:p w14:paraId="1BE5BD6D" w14:textId="77777777" w:rsidR="009E59FA" w:rsidRPr="002A0212" w:rsidRDefault="009E59FA" w:rsidP="009E59FA">
      <w:pPr>
        <w:rPr>
          <w:lang w:val="en-US"/>
        </w:rPr>
      </w:pPr>
      <w:r w:rsidRPr="002A0212">
        <w:rPr>
          <w:lang w:val="en-US"/>
        </w:rPr>
        <w:lastRenderedPageBreak/>
        <w:t>The budget of the World Radiocommunication Conference (WRC-19) amounts to CHF 6 684 000, including the cost of documentation. The total number of Member States’ contributory units being 344</w:t>
      </w:r>
      <w:r w:rsidR="00C806D1" w:rsidRPr="002A0212">
        <w:rPr>
          <w:lang w:val="en-US"/>
        </w:rPr>
        <w:t> </w:t>
      </w:r>
      <w:r w:rsidRPr="002A0212">
        <w:rPr>
          <w:lang w:val="en-US"/>
        </w:rPr>
        <w:t>1/2, the contributory unit for non-exempted international organizations and Sector Members (other than ITU-R Sector Members) to defraying the expenses of the Conference amounts to CHF 19 402.</w:t>
      </w:r>
    </w:p>
    <w:p w14:paraId="57A0B345" w14:textId="77777777" w:rsidR="009E59FA" w:rsidRPr="002A0212" w:rsidRDefault="009E59FA" w:rsidP="009E59FA">
      <w:pPr>
        <w:rPr>
          <w:lang w:val="en-US"/>
        </w:rPr>
      </w:pPr>
      <w:r w:rsidRPr="002A0212">
        <w:rPr>
          <w:lang w:val="en-US"/>
        </w:rPr>
        <w:t>A list of these organizations and Sector Members will be published later in the report of this Committee to the Plenary.</w:t>
      </w:r>
    </w:p>
    <w:p w14:paraId="4B0A5281" w14:textId="77777777" w:rsidR="009E59FA" w:rsidRPr="002A0212" w:rsidRDefault="006B213B" w:rsidP="00187183">
      <w:pPr>
        <w:rPr>
          <w:lang w:val="en-US"/>
        </w:rPr>
      </w:pPr>
      <w:r w:rsidRPr="002A0212">
        <w:rPr>
          <w:lang w:val="en-US"/>
        </w:rPr>
        <w:t>5</w:t>
      </w:r>
      <w:r w:rsidR="009E59FA" w:rsidRPr="002A0212">
        <w:rPr>
          <w:lang w:val="en-US"/>
        </w:rPr>
        <w:t>.2</w:t>
      </w:r>
      <w:r w:rsidR="009E59FA" w:rsidRPr="002A0212">
        <w:rPr>
          <w:lang w:val="en-US"/>
        </w:rPr>
        <w:tab/>
        <w:t>As of 1</w:t>
      </w:r>
      <w:r w:rsidR="00187183" w:rsidRPr="002A0212">
        <w:rPr>
          <w:lang w:val="en-US"/>
        </w:rPr>
        <w:t>4</w:t>
      </w:r>
      <w:r w:rsidR="009E59FA" w:rsidRPr="002A0212">
        <w:rPr>
          <w:lang w:val="en-US"/>
        </w:rPr>
        <w:t xml:space="preserve"> November 2019, no organization or Sector Member which must share in defraying the expenses of the conference have been registered.</w:t>
      </w:r>
    </w:p>
    <w:p w14:paraId="660C030A" w14:textId="77777777" w:rsidR="009E59FA" w:rsidRPr="002A0212" w:rsidRDefault="00686886" w:rsidP="00686886">
      <w:pPr>
        <w:pStyle w:val="Heading1"/>
        <w:rPr>
          <w:lang w:val="en-US"/>
        </w:rPr>
      </w:pPr>
      <w:r w:rsidRPr="002A0212">
        <w:rPr>
          <w:lang w:val="en-US"/>
        </w:rPr>
        <w:t>6</w:t>
      </w:r>
      <w:r w:rsidR="009E59FA" w:rsidRPr="002A0212">
        <w:rPr>
          <w:lang w:val="en-US"/>
        </w:rPr>
        <w:tab/>
        <w:t>Budget and expenditure of the 201</w:t>
      </w:r>
      <w:r w:rsidR="00C50127" w:rsidRPr="002A0212">
        <w:rPr>
          <w:lang w:val="en-US"/>
        </w:rPr>
        <w:t>9</w:t>
      </w:r>
      <w:r w:rsidR="009E59FA" w:rsidRPr="002A0212">
        <w:rPr>
          <w:lang w:val="en-US"/>
        </w:rPr>
        <w:t xml:space="preserve"> World Radiocom</w:t>
      </w:r>
      <w:r w:rsidR="0050616B" w:rsidRPr="002A0212">
        <w:rPr>
          <w:lang w:val="en-US"/>
        </w:rPr>
        <w:t>munication Conference (</w:t>
      </w:r>
      <w:r w:rsidR="00A424FF" w:rsidRPr="002A0212">
        <w:rPr>
          <w:lang w:val="en-US"/>
        </w:rPr>
        <w:t>Document</w:t>
      </w:r>
      <w:r w:rsidR="00187183" w:rsidRPr="002A0212">
        <w:rPr>
          <w:lang w:val="en-US"/>
        </w:rPr>
        <w:t>s</w:t>
      </w:r>
      <w:r w:rsidR="00A424FF" w:rsidRPr="002A0212">
        <w:rPr>
          <w:lang w:val="en-US"/>
        </w:rPr>
        <w:t xml:space="preserve"> </w:t>
      </w:r>
      <w:r w:rsidRPr="002A0212">
        <w:rPr>
          <w:lang w:val="en-US"/>
        </w:rPr>
        <w:t xml:space="preserve">6, 358 </w:t>
      </w:r>
      <w:r w:rsidR="00A424FF" w:rsidRPr="002A0212">
        <w:rPr>
          <w:lang w:val="en-US"/>
        </w:rPr>
        <w:t xml:space="preserve">and </w:t>
      </w:r>
      <w:r w:rsidR="0050616B" w:rsidRPr="002A0212">
        <w:rPr>
          <w:lang w:val="en-US"/>
        </w:rPr>
        <w:t>Annex</w:t>
      </w:r>
      <w:r w:rsidR="009E59FA" w:rsidRPr="002A0212">
        <w:rPr>
          <w:lang w:val="en-US"/>
        </w:rPr>
        <w:t>)</w:t>
      </w:r>
    </w:p>
    <w:p w14:paraId="75DD9136" w14:textId="77777777" w:rsidR="009E59FA" w:rsidRPr="002A0212" w:rsidRDefault="00686886" w:rsidP="00C50127">
      <w:pPr>
        <w:rPr>
          <w:lang w:val="en-US"/>
        </w:rPr>
      </w:pPr>
      <w:r w:rsidRPr="002A0212">
        <w:rPr>
          <w:lang w:val="en-US"/>
        </w:rPr>
        <w:t>6</w:t>
      </w:r>
      <w:r w:rsidR="009E59FA" w:rsidRPr="002A0212">
        <w:rPr>
          <w:lang w:val="en-US"/>
        </w:rPr>
        <w:t>.1</w:t>
      </w:r>
      <w:r w:rsidR="009E59FA" w:rsidRPr="002A0212">
        <w:rPr>
          <w:lang w:val="en-US"/>
        </w:rPr>
        <w:tab/>
        <w:t>The budget of the World Radiocommunication Conference (WRC-19) for the 2019 edition, as approved by Council at its 2017 session by its Resolution 1387,</w:t>
      </w:r>
      <w:r w:rsidR="008178AF" w:rsidRPr="002A0212">
        <w:rPr>
          <w:lang w:val="en-US"/>
        </w:rPr>
        <w:t xml:space="preserve"> is</w:t>
      </w:r>
      <w:r w:rsidR="009E59FA" w:rsidRPr="002A0212">
        <w:rPr>
          <w:lang w:val="en-US"/>
        </w:rPr>
        <w:t xml:space="preserve"> in the amount of CHF 2 </w:t>
      </w:r>
      <w:r w:rsidR="00C50127" w:rsidRPr="002A0212">
        <w:rPr>
          <w:lang w:val="en-US"/>
        </w:rPr>
        <w:t>638</w:t>
      </w:r>
      <w:r w:rsidR="009E59FA" w:rsidRPr="002A0212">
        <w:rPr>
          <w:lang w:val="en-US"/>
        </w:rPr>
        <w:t xml:space="preserve"> 000</w:t>
      </w:r>
      <w:r w:rsidR="008178AF" w:rsidRPr="002A0212">
        <w:rPr>
          <w:lang w:val="en-US"/>
        </w:rPr>
        <w:t xml:space="preserve"> for direct costs</w:t>
      </w:r>
      <w:r w:rsidR="009E59FA" w:rsidRPr="002A0212">
        <w:rPr>
          <w:lang w:val="en-US"/>
        </w:rPr>
        <w:t>, plus documentation costs of CHF</w:t>
      </w:r>
      <w:r w:rsidR="00B96CC3" w:rsidRPr="002A0212">
        <w:rPr>
          <w:lang w:val="en-US"/>
        </w:rPr>
        <w:t> </w:t>
      </w:r>
      <w:r w:rsidR="009E59FA" w:rsidRPr="002A0212">
        <w:rPr>
          <w:lang w:val="en-US"/>
        </w:rPr>
        <w:t>4</w:t>
      </w:r>
      <w:r w:rsidR="00B96CC3" w:rsidRPr="002A0212">
        <w:rPr>
          <w:lang w:val="en-US"/>
        </w:rPr>
        <w:t> </w:t>
      </w:r>
      <w:r w:rsidR="00C50127" w:rsidRPr="002A0212">
        <w:rPr>
          <w:lang w:val="en-US"/>
        </w:rPr>
        <w:t>046</w:t>
      </w:r>
      <w:r w:rsidR="00B96CC3" w:rsidRPr="002A0212">
        <w:rPr>
          <w:lang w:val="en-US"/>
        </w:rPr>
        <w:t> </w:t>
      </w:r>
      <w:r w:rsidR="009E59FA" w:rsidRPr="002A0212">
        <w:rPr>
          <w:lang w:val="en-US"/>
        </w:rPr>
        <w:t>000. Details are given in Document 6.</w:t>
      </w:r>
    </w:p>
    <w:p w14:paraId="5018CB1D" w14:textId="77777777" w:rsidR="009E59FA" w:rsidRPr="002A0212" w:rsidRDefault="009E59FA" w:rsidP="00187183">
      <w:pPr>
        <w:rPr>
          <w:lang w:val="en-US"/>
        </w:rPr>
      </w:pPr>
      <w:r w:rsidRPr="002A0212">
        <w:rPr>
          <w:lang w:val="en-US"/>
        </w:rPr>
        <w:t>The table in the Annex provides details and a projected financial statement as at 1</w:t>
      </w:r>
      <w:r w:rsidR="00187183" w:rsidRPr="002A0212">
        <w:rPr>
          <w:lang w:val="en-US"/>
        </w:rPr>
        <w:t>4</w:t>
      </w:r>
      <w:r w:rsidRPr="002A0212">
        <w:rPr>
          <w:lang w:val="en-US"/>
        </w:rPr>
        <w:t> November</w:t>
      </w:r>
      <w:r w:rsidR="00B96CC3" w:rsidRPr="002A0212">
        <w:rPr>
          <w:lang w:val="en-US"/>
        </w:rPr>
        <w:t> </w:t>
      </w:r>
      <w:r w:rsidRPr="002A0212">
        <w:rPr>
          <w:lang w:val="en-US"/>
        </w:rPr>
        <w:t>2019 for the 201</w:t>
      </w:r>
      <w:r w:rsidR="00087B42" w:rsidRPr="002A0212">
        <w:rPr>
          <w:lang w:val="en-US"/>
        </w:rPr>
        <w:t>9</w:t>
      </w:r>
      <w:r w:rsidRPr="002A0212">
        <w:rPr>
          <w:lang w:val="en-US"/>
        </w:rPr>
        <w:t xml:space="preserve"> World Radiocommunication Conference. The total estimated cost for the management of the Conference, including documentation, is </w:t>
      </w:r>
      <w:r w:rsidR="00087B42" w:rsidRPr="002A0212">
        <w:rPr>
          <w:lang w:val="en-US"/>
        </w:rPr>
        <w:t>in the amount of</w:t>
      </w:r>
      <w:r w:rsidRPr="002A0212">
        <w:rPr>
          <w:lang w:val="en-US"/>
        </w:rPr>
        <w:t xml:space="preserve"> CHF</w:t>
      </w:r>
      <w:r w:rsidR="00B96CC3" w:rsidRPr="002A0212">
        <w:rPr>
          <w:lang w:val="en-US"/>
        </w:rPr>
        <w:t> </w:t>
      </w:r>
      <w:r w:rsidR="00A424FF" w:rsidRPr="002A0212">
        <w:rPr>
          <w:lang w:val="en-US"/>
        </w:rPr>
        <w:t>5</w:t>
      </w:r>
      <w:r w:rsidR="00B96CC3" w:rsidRPr="002A0212">
        <w:rPr>
          <w:lang w:val="en-US"/>
        </w:rPr>
        <w:t> </w:t>
      </w:r>
      <w:r w:rsidR="00A424FF" w:rsidRPr="002A0212">
        <w:rPr>
          <w:lang w:val="en-US"/>
        </w:rPr>
        <w:t>350</w:t>
      </w:r>
      <w:r w:rsidR="00B96CC3" w:rsidRPr="002A0212">
        <w:rPr>
          <w:lang w:val="en-US"/>
        </w:rPr>
        <w:t> </w:t>
      </w:r>
      <w:r w:rsidR="00A424FF" w:rsidRPr="002A0212">
        <w:rPr>
          <w:lang w:val="en-US"/>
        </w:rPr>
        <w:t>000</w:t>
      </w:r>
      <w:r w:rsidR="00246BE8" w:rsidRPr="002A0212">
        <w:rPr>
          <w:lang w:val="en-US"/>
        </w:rPr>
        <w:t xml:space="preserve"> (Document </w:t>
      </w:r>
      <w:r w:rsidR="00032F6E" w:rsidRPr="002A0212">
        <w:rPr>
          <w:lang w:val="en-US"/>
        </w:rPr>
        <w:t xml:space="preserve">358 </w:t>
      </w:r>
      <w:r w:rsidR="00246BE8" w:rsidRPr="002A0212">
        <w:rPr>
          <w:lang w:val="en-US"/>
        </w:rPr>
        <w:t>and Annex</w:t>
      </w:r>
      <w:r w:rsidRPr="002A0212">
        <w:rPr>
          <w:lang w:val="en-US"/>
        </w:rPr>
        <w:t xml:space="preserve"> for details).</w:t>
      </w:r>
    </w:p>
    <w:p w14:paraId="6234F32C" w14:textId="77777777" w:rsidR="009B061C" w:rsidRPr="002A0212" w:rsidRDefault="009B061C" w:rsidP="009B061C">
      <w:pPr>
        <w:pStyle w:val="Heading1"/>
        <w:rPr>
          <w:lang w:val="en-US"/>
        </w:rPr>
      </w:pPr>
      <w:r w:rsidRPr="002A0212">
        <w:rPr>
          <w:lang w:val="en-US"/>
        </w:rPr>
        <w:t>7</w:t>
      </w:r>
      <w:r w:rsidRPr="002A0212">
        <w:rPr>
          <w:lang w:val="en-US"/>
        </w:rPr>
        <w:tab/>
        <w:t>Financial implications of decisions or resolutions of the Conference (Document 493)</w:t>
      </w:r>
    </w:p>
    <w:p w14:paraId="2461BE72" w14:textId="77777777" w:rsidR="009B061C" w:rsidRPr="002A0212" w:rsidRDefault="009B061C" w:rsidP="009B061C">
      <w:pPr>
        <w:rPr>
          <w:lang w:val="en-US"/>
        </w:rPr>
      </w:pPr>
      <w:r w:rsidRPr="002A0212">
        <w:rPr>
          <w:lang w:val="en-US"/>
        </w:rPr>
        <w:t xml:space="preserve">The Committee received and considered </w:t>
      </w:r>
      <w:r w:rsidR="009B404E" w:rsidRPr="002A0212">
        <w:rPr>
          <w:lang w:val="en-US"/>
        </w:rPr>
        <w:t>two draft new Resolutions as well as modifications to RR Nos.</w:t>
      </w:r>
      <w:r w:rsidR="00B96CC3" w:rsidRPr="002A0212">
        <w:rPr>
          <w:lang w:val="en-US"/>
        </w:rPr>
        <w:t> </w:t>
      </w:r>
      <w:r w:rsidR="009B404E" w:rsidRPr="002A0212">
        <w:rPr>
          <w:rStyle w:val="Artdef"/>
          <w:b w:val="0"/>
          <w:lang w:val="en-US"/>
        </w:rPr>
        <w:t>9.36, 9.53A,</w:t>
      </w:r>
      <w:r w:rsidR="009B404E" w:rsidRPr="002A0212">
        <w:rPr>
          <w:lang w:val="en-US"/>
        </w:rPr>
        <w:t xml:space="preserve"> Appendices</w:t>
      </w:r>
      <w:r w:rsidR="00B96CC3" w:rsidRPr="002A0212">
        <w:rPr>
          <w:lang w:val="en-US"/>
        </w:rPr>
        <w:t> </w:t>
      </w:r>
      <w:r w:rsidR="009B404E" w:rsidRPr="002A0212">
        <w:rPr>
          <w:lang w:val="en-US"/>
        </w:rPr>
        <w:t xml:space="preserve">30, 30A and 30B </w:t>
      </w:r>
      <w:r w:rsidRPr="002A0212">
        <w:rPr>
          <w:lang w:val="en-US"/>
        </w:rPr>
        <w:t>and evaluated the financial implications as follows:</w:t>
      </w:r>
    </w:p>
    <w:p w14:paraId="54D3DEA0" w14:textId="77777777" w:rsidR="006C7EBF" w:rsidRPr="002A0212" w:rsidRDefault="00AC359C" w:rsidP="00C806D1">
      <w:pPr>
        <w:pStyle w:val="Headingb"/>
        <w:rPr>
          <w:lang w:val="en-US"/>
        </w:rPr>
      </w:pPr>
      <w:r w:rsidRPr="002A0212">
        <w:rPr>
          <w:lang w:val="en-US"/>
        </w:rPr>
        <w:t>7.1</w:t>
      </w:r>
      <w:r w:rsidRPr="002A0212">
        <w:rPr>
          <w:lang w:val="en-US"/>
        </w:rPr>
        <w:tab/>
        <w:t xml:space="preserve">Draft Resolution </w:t>
      </w:r>
      <w:r w:rsidRPr="002A0212">
        <w:rPr>
          <w:bCs/>
          <w:lang w:val="en-US"/>
        </w:rPr>
        <w:t>[7(A)-NGSO-MILESTONES] (WRC</w:t>
      </w:r>
      <w:r w:rsidRPr="002A0212">
        <w:rPr>
          <w:bCs/>
          <w:lang w:val="en-US"/>
        </w:rPr>
        <w:noBreakHyphen/>
        <w:t xml:space="preserve">19) - </w:t>
      </w:r>
      <w:r w:rsidR="006C7EBF" w:rsidRPr="002A0212">
        <w:rPr>
          <w:lang w:val="en-US"/>
        </w:rPr>
        <w:t xml:space="preserve">A milestone-based approach for the implementation of frequency assignments to space stations in a non-geostationary-orbit satellite system in specific </w:t>
      </w:r>
      <w:r w:rsidR="006C7EBF" w:rsidRPr="002A0212">
        <w:rPr>
          <w:lang w:val="en-US" w:eastAsia="zh-CN"/>
        </w:rPr>
        <w:t xml:space="preserve">frequency </w:t>
      </w:r>
      <w:r w:rsidR="006C7EBF" w:rsidRPr="002A0212">
        <w:rPr>
          <w:lang w:val="en-US"/>
        </w:rPr>
        <w:t>bands and services</w:t>
      </w:r>
    </w:p>
    <w:p w14:paraId="5F107757" w14:textId="77777777" w:rsidR="00871D11" w:rsidRPr="002A0212" w:rsidRDefault="00871D11" w:rsidP="00F84BD9">
      <w:pPr>
        <w:rPr>
          <w:lang w:val="en-US"/>
        </w:rPr>
      </w:pPr>
      <w:r w:rsidRPr="002A0212">
        <w:rPr>
          <w:lang w:val="en-US"/>
        </w:rPr>
        <w:t>7.1.1</w:t>
      </w:r>
      <w:r w:rsidRPr="002A0212">
        <w:rPr>
          <w:lang w:val="en-US"/>
        </w:rPr>
        <w:tab/>
        <w:t xml:space="preserve">The financial implications relating to the implementation of this </w:t>
      </w:r>
      <w:r w:rsidR="00C82901" w:rsidRPr="002A0212">
        <w:rPr>
          <w:lang w:val="en-US"/>
        </w:rPr>
        <w:t xml:space="preserve">draft new </w:t>
      </w:r>
      <w:r w:rsidRPr="002A0212">
        <w:rPr>
          <w:lang w:val="en-US"/>
        </w:rPr>
        <w:t>Resolution is estimated at CHF</w:t>
      </w:r>
      <w:r w:rsidR="00B96CC3" w:rsidRPr="002A0212">
        <w:rPr>
          <w:lang w:val="en-US"/>
        </w:rPr>
        <w:t> </w:t>
      </w:r>
      <w:r w:rsidRPr="002A0212">
        <w:rPr>
          <w:lang w:val="en-US"/>
        </w:rPr>
        <w:t>340</w:t>
      </w:r>
      <w:r w:rsidR="00B96CC3" w:rsidRPr="002A0212">
        <w:rPr>
          <w:lang w:val="en-US"/>
        </w:rPr>
        <w:t> </w:t>
      </w:r>
      <w:r w:rsidRPr="002A0212">
        <w:rPr>
          <w:lang w:val="en-US"/>
        </w:rPr>
        <w:t>000</w:t>
      </w:r>
      <w:r w:rsidR="00C82901" w:rsidRPr="002A0212">
        <w:rPr>
          <w:lang w:val="en-US"/>
        </w:rPr>
        <w:t>.</w:t>
      </w:r>
      <w:r w:rsidR="00C01A83" w:rsidRPr="002A0212">
        <w:rPr>
          <w:lang w:val="en-US"/>
        </w:rPr>
        <w:t xml:space="preserve"> The estimates relate to software development </w:t>
      </w:r>
      <w:r w:rsidR="00C82901" w:rsidRPr="002A0212">
        <w:rPr>
          <w:lang w:val="en-US"/>
        </w:rPr>
        <w:t xml:space="preserve">with the assistance of external resources (details in Document </w:t>
      </w:r>
      <w:r w:rsidR="009B404E" w:rsidRPr="002A0212">
        <w:rPr>
          <w:lang w:val="en-US"/>
        </w:rPr>
        <w:t>453</w:t>
      </w:r>
      <w:r w:rsidR="00C82901" w:rsidRPr="002A0212">
        <w:rPr>
          <w:lang w:val="en-US"/>
        </w:rPr>
        <w:t xml:space="preserve"> and Table 1</w:t>
      </w:r>
      <w:r w:rsidR="009B404E" w:rsidRPr="002A0212">
        <w:rPr>
          <w:lang w:val="en-US"/>
        </w:rPr>
        <w:t xml:space="preserve"> below</w:t>
      </w:r>
      <w:r w:rsidR="00C82901" w:rsidRPr="002A0212">
        <w:rPr>
          <w:lang w:val="en-US"/>
        </w:rPr>
        <w:t>).</w:t>
      </w:r>
    </w:p>
    <w:p w14:paraId="15BF2EEE" w14:textId="77777777" w:rsidR="00C01A83" w:rsidRPr="002A0212" w:rsidRDefault="00871D11" w:rsidP="00C806D1">
      <w:pPr>
        <w:pStyle w:val="Headingb"/>
        <w:rPr>
          <w:lang w:val="en-US"/>
        </w:rPr>
      </w:pPr>
      <w:r w:rsidRPr="002A0212">
        <w:rPr>
          <w:lang w:val="en-US"/>
        </w:rPr>
        <w:t>7.2</w:t>
      </w:r>
      <w:r w:rsidRPr="002A0212">
        <w:rPr>
          <w:lang w:val="en-US"/>
        </w:rPr>
        <w:tab/>
      </w:r>
      <w:r w:rsidR="00AC359C" w:rsidRPr="002A0212">
        <w:rPr>
          <w:lang w:val="en-US"/>
        </w:rPr>
        <w:t xml:space="preserve">Draft Resolution </w:t>
      </w:r>
      <w:r w:rsidR="00AC359C" w:rsidRPr="002A0212">
        <w:rPr>
          <w:bCs/>
          <w:lang w:val="en-US"/>
        </w:rPr>
        <w:t xml:space="preserve">[COM5/6] (WRC-19) - </w:t>
      </w:r>
      <w:r w:rsidR="00C01A83" w:rsidRPr="002A0212">
        <w:rPr>
          <w:lang w:val="en-US"/>
        </w:rPr>
        <w:t>Use of the frequency bands 17.7-19.7 GHz and 27.5-29.5 GHz by earth stations in motion communicating with geostationary space stations in the fixed-satellite service</w:t>
      </w:r>
    </w:p>
    <w:p w14:paraId="627830A2" w14:textId="77777777" w:rsidR="00871D11" w:rsidRPr="002A0212" w:rsidRDefault="00C82901" w:rsidP="00187183">
      <w:pPr>
        <w:rPr>
          <w:lang w:val="en-US"/>
        </w:rPr>
      </w:pPr>
      <w:r w:rsidRPr="002A0212">
        <w:rPr>
          <w:lang w:val="en-US"/>
        </w:rPr>
        <w:t>7.2.1</w:t>
      </w:r>
      <w:r w:rsidRPr="002A0212">
        <w:rPr>
          <w:lang w:val="en-US"/>
        </w:rPr>
        <w:tab/>
        <w:t>The financial implications relating to the implementation of this draft new Resolution is estimated at CHF</w:t>
      </w:r>
      <w:r w:rsidR="00B96CC3" w:rsidRPr="002A0212">
        <w:rPr>
          <w:lang w:val="en-US"/>
        </w:rPr>
        <w:t> </w:t>
      </w:r>
      <w:r w:rsidRPr="002A0212">
        <w:rPr>
          <w:lang w:val="en-US"/>
        </w:rPr>
        <w:t>85</w:t>
      </w:r>
      <w:r w:rsidR="00B96CC3" w:rsidRPr="002A0212">
        <w:rPr>
          <w:lang w:val="en-US"/>
        </w:rPr>
        <w:t> </w:t>
      </w:r>
      <w:r w:rsidRPr="002A0212">
        <w:rPr>
          <w:lang w:val="en-US"/>
        </w:rPr>
        <w:t>000</w:t>
      </w:r>
      <w:r w:rsidR="00C01A83" w:rsidRPr="002A0212">
        <w:rPr>
          <w:lang w:val="en-US"/>
        </w:rPr>
        <w:t xml:space="preserve"> (details in Document 463 and Table 1 below). The estimates relate to</w:t>
      </w:r>
      <w:r w:rsidR="00287DB9" w:rsidRPr="002A0212">
        <w:rPr>
          <w:lang w:val="en-US"/>
        </w:rPr>
        <w:t xml:space="preserve"> </w:t>
      </w:r>
      <w:r w:rsidR="00C01A83" w:rsidRPr="002A0212">
        <w:rPr>
          <w:lang w:val="en-US"/>
        </w:rPr>
        <w:t>software development</w:t>
      </w:r>
      <w:r w:rsidR="00287DB9" w:rsidRPr="002A0212">
        <w:rPr>
          <w:lang w:val="en-US"/>
        </w:rPr>
        <w:t xml:space="preserve"> costs</w:t>
      </w:r>
      <w:r w:rsidR="00C01A83" w:rsidRPr="002A0212">
        <w:rPr>
          <w:lang w:val="en-US"/>
        </w:rPr>
        <w:t>.</w:t>
      </w:r>
    </w:p>
    <w:p w14:paraId="37EE9E54" w14:textId="77777777" w:rsidR="00871D11" w:rsidRPr="002A0212" w:rsidRDefault="00871D11" w:rsidP="00C806D1">
      <w:pPr>
        <w:pStyle w:val="Headingb"/>
        <w:rPr>
          <w:lang w:val="en-US"/>
        </w:rPr>
      </w:pPr>
      <w:r w:rsidRPr="002A0212">
        <w:rPr>
          <w:lang w:val="en-US"/>
        </w:rPr>
        <w:t>7.3</w:t>
      </w:r>
      <w:r w:rsidRPr="002A0212">
        <w:rPr>
          <w:lang w:val="en-US"/>
        </w:rPr>
        <w:tab/>
        <w:t>M</w:t>
      </w:r>
      <w:r w:rsidR="00AC359C" w:rsidRPr="002A0212">
        <w:rPr>
          <w:lang w:val="en-US"/>
        </w:rPr>
        <w:t xml:space="preserve">odifications to RR Nos. </w:t>
      </w:r>
      <w:r w:rsidR="00AC359C" w:rsidRPr="002A0212">
        <w:rPr>
          <w:rStyle w:val="Artdef"/>
          <w:bCs/>
          <w:szCs w:val="24"/>
          <w:lang w:val="en-US"/>
        </w:rPr>
        <w:t>9.36, 9.53A,</w:t>
      </w:r>
      <w:r w:rsidR="00AC359C" w:rsidRPr="002A0212">
        <w:rPr>
          <w:lang w:val="en-US"/>
        </w:rPr>
        <w:t xml:space="preserve"> Appendices 30, 30A and 30B</w:t>
      </w:r>
    </w:p>
    <w:p w14:paraId="583CD06F" w14:textId="77777777" w:rsidR="00C01A83" w:rsidRDefault="00C82901" w:rsidP="000913F7">
      <w:pPr>
        <w:rPr>
          <w:lang w:val="en-US"/>
        </w:rPr>
      </w:pPr>
      <w:r w:rsidRPr="002A0212">
        <w:rPr>
          <w:lang w:val="en-US"/>
        </w:rPr>
        <w:t>7.3.1</w:t>
      </w:r>
      <w:r w:rsidRPr="002A0212">
        <w:rPr>
          <w:lang w:val="en-US"/>
        </w:rPr>
        <w:tab/>
        <w:t>The financial implications relating to the modifications to RR Nos.</w:t>
      </w:r>
      <w:r w:rsidR="00B96CC3" w:rsidRPr="002A0212">
        <w:rPr>
          <w:lang w:val="en-US"/>
        </w:rPr>
        <w:t> </w:t>
      </w:r>
      <w:r w:rsidRPr="002A0212">
        <w:rPr>
          <w:rStyle w:val="Artdef"/>
          <w:lang w:val="en-US"/>
        </w:rPr>
        <w:t>9.36</w:t>
      </w:r>
      <w:r w:rsidRPr="002A0212">
        <w:rPr>
          <w:rStyle w:val="Artdef"/>
          <w:b w:val="0"/>
          <w:bCs/>
          <w:lang w:val="en-US"/>
        </w:rPr>
        <w:t xml:space="preserve">, </w:t>
      </w:r>
      <w:r w:rsidRPr="002A0212">
        <w:rPr>
          <w:rStyle w:val="Artdef"/>
          <w:lang w:val="en-US"/>
        </w:rPr>
        <w:t>9.53A</w:t>
      </w:r>
      <w:r w:rsidRPr="002A0212">
        <w:rPr>
          <w:rStyle w:val="Artdef"/>
          <w:b w:val="0"/>
          <w:bCs/>
          <w:lang w:val="en-US"/>
        </w:rPr>
        <w:t>,</w:t>
      </w:r>
      <w:r w:rsidRPr="002A0212">
        <w:rPr>
          <w:b/>
          <w:bCs/>
          <w:lang w:val="en-US"/>
        </w:rPr>
        <w:t xml:space="preserve"> </w:t>
      </w:r>
      <w:r w:rsidRPr="002A0212">
        <w:rPr>
          <w:lang w:val="en-US"/>
        </w:rPr>
        <w:t xml:space="preserve">Appendices </w:t>
      </w:r>
      <w:r w:rsidRPr="002A0212">
        <w:rPr>
          <w:b/>
          <w:bCs/>
          <w:lang w:val="en-US"/>
        </w:rPr>
        <w:t>30</w:t>
      </w:r>
      <w:r w:rsidRPr="002A0212">
        <w:rPr>
          <w:lang w:val="en-US"/>
        </w:rPr>
        <w:t xml:space="preserve">, </w:t>
      </w:r>
      <w:r w:rsidRPr="002A0212">
        <w:rPr>
          <w:b/>
          <w:bCs/>
          <w:lang w:val="en-US"/>
        </w:rPr>
        <w:t>30A</w:t>
      </w:r>
      <w:r w:rsidRPr="002A0212">
        <w:rPr>
          <w:lang w:val="en-US"/>
        </w:rPr>
        <w:t xml:space="preserve"> and </w:t>
      </w:r>
      <w:r w:rsidRPr="002A0212">
        <w:rPr>
          <w:b/>
          <w:bCs/>
          <w:lang w:val="en-US"/>
        </w:rPr>
        <w:t>30B</w:t>
      </w:r>
      <w:r w:rsidRPr="002A0212">
        <w:rPr>
          <w:lang w:val="en-US"/>
        </w:rPr>
        <w:t xml:space="preserve"> is estimated at CHF</w:t>
      </w:r>
      <w:r w:rsidR="00B96CC3" w:rsidRPr="002A0212">
        <w:rPr>
          <w:lang w:val="en-US"/>
        </w:rPr>
        <w:t> </w:t>
      </w:r>
      <w:r w:rsidRPr="002A0212">
        <w:rPr>
          <w:lang w:val="en-US"/>
        </w:rPr>
        <w:t>200</w:t>
      </w:r>
      <w:r w:rsidR="00B96CC3" w:rsidRPr="002A0212">
        <w:rPr>
          <w:lang w:val="en-US"/>
        </w:rPr>
        <w:t> </w:t>
      </w:r>
      <w:r w:rsidRPr="002A0212">
        <w:rPr>
          <w:lang w:val="en-US"/>
        </w:rPr>
        <w:t>000</w:t>
      </w:r>
      <w:r w:rsidR="00287DB9" w:rsidRPr="002A0212">
        <w:rPr>
          <w:lang w:val="en-US"/>
        </w:rPr>
        <w:t xml:space="preserve"> (details in</w:t>
      </w:r>
      <w:r w:rsidR="000913F7" w:rsidRPr="002A0212">
        <w:rPr>
          <w:lang w:val="en-US"/>
        </w:rPr>
        <w:t xml:space="preserve"> </w:t>
      </w:r>
      <w:r w:rsidR="00031BF2" w:rsidRPr="002A0212">
        <w:rPr>
          <w:lang w:val="en-US"/>
        </w:rPr>
        <w:t>Document</w:t>
      </w:r>
      <w:r w:rsidR="00204B12" w:rsidRPr="002A0212">
        <w:rPr>
          <w:lang w:val="en-US"/>
        </w:rPr>
        <w:t>s 325, 190, 332, 491, 492</w:t>
      </w:r>
      <w:r w:rsidR="00031BF2" w:rsidRPr="002A0212">
        <w:rPr>
          <w:lang w:val="en-US"/>
        </w:rPr>
        <w:t xml:space="preserve"> and </w:t>
      </w:r>
      <w:r w:rsidR="00287DB9" w:rsidRPr="002A0212">
        <w:rPr>
          <w:lang w:val="en-US"/>
        </w:rPr>
        <w:t>Table 1 below)</w:t>
      </w:r>
      <w:r w:rsidRPr="002A0212">
        <w:rPr>
          <w:lang w:val="en-US"/>
        </w:rPr>
        <w:t>.</w:t>
      </w:r>
    </w:p>
    <w:p w14:paraId="30151CF3" w14:textId="77777777" w:rsidR="0010706E" w:rsidRPr="00CE06A1" w:rsidRDefault="0010706E" w:rsidP="008F40E5">
      <w:pPr>
        <w:rPr>
          <w:bCs/>
          <w:lang w:val="en-US"/>
        </w:rPr>
      </w:pPr>
      <w:r w:rsidRPr="008F40E5">
        <w:rPr>
          <w:b/>
          <w:bCs/>
          <w:lang w:val="en-US"/>
        </w:rPr>
        <w:lastRenderedPageBreak/>
        <w:t>7.4</w:t>
      </w:r>
      <w:r w:rsidRPr="008F40E5">
        <w:rPr>
          <w:b/>
          <w:bCs/>
          <w:lang w:val="en-US"/>
        </w:rPr>
        <w:tab/>
      </w:r>
      <w:r w:rsidRPr="008F40E5">
        <w:rPr>
          <w:b/>
          <w:bCs/>
        </w:rPr>
        <w:t>Draft new Resolution [AHGPL6/IMT-WRC-23]</w:t>
      </w:r>
      <w:r w:rsidR="00B075B6">
        <w:rPr>
          <w:b/>
          <w:bCs/>
        </w:rPr>
        <w:t xml:space="preserve"> (WRC-19)</w:t>
      </w:r>
      <w:r w:rsidRPr="008F40E5">
        <w:rPr>
          <w:b/>
          <w:bCs/>
        </w:rPr>
        <w:t xml:space="preserve"> – </w:t>
      </w:r>
      <w:r w:rsidRPr="008F40E5">
        <w:rPr>
          <w:b/>
          <w:bCs/>
          <w:lang w:val="en-US"/>
        </w:rPr>
        <w:t>Studies on frequency-related matters for the terrestrial component of International Mobile Telecommunications (IMT) identification in the frequency bands 3 300-3 400 MHz, 3 600-3 800 MHz, 6 425-7 025 MHz, 7 025-7 125 MHz, and 10.0-10.5 GHz</w:t>
      </w:r>
    </w:p>
    <w:p w14:paraId="35045BF6" w14:textId="77777777" w:rsidR="0010706E" w:rsidRPr="008F40E5" w:rsidRDefault="0010706E" w:rsidP="000913F7">
      <w:pPr>
        <w:rPr>
          <w:b/>
          <w:bCs/>
          <w:lang w:val="en-US"/>
        </w:rPr>
      </w:pPr>
    </w:p>
    <w:p w14:paraId="0348C35D" w14:textId="77777777" w:rsidR="0010706E" w:rsidRDefault="0010706E" w:rsidP="000913F7">
      <w:r w:rsidRPr="008F40E5">
        <w:t>7.4.1</w:t>
      </w:r>
      <w:r w:rsidRPr="008F40E5">
        <w:tab/>
      </w:r>
      <w:r>
        <w:t xml:space="preserve">The financial implications relating to the implementation of this draft new Resolution is estimated at CHF </w:t>
      </w:r>
      <w:r w:rsidR="00CE06A1">
        <w:t>456 000</w:t>
      </w:r>
      <w:r>
        <w:t xml:space="preserve">.  </w:t>
      </w:r>
      <w:r w:rsidR="00CE06A1">
        <w:t xml:space="preserve">The estimates cover organizational and meeting support costs </w:t>
      </w:r>
      <w:r w:rsidR="009E61CB" w:rsidRPr="005757CE">
        <w:t>(</w:t>
      </w:r>
      <w:r w:rsidR="009E61CB">
        <w:t>details</w:t>
      </w:r>
      <w:r w:rsidR="00925F56">
        <w:t xml:space="preserve"> in </w:t>
      </w:r>
      <w:r w:rsidR="009E61CB" w:rsidRPr="005757CE">
        <w:t xml:space="preserve"> Document </w:t>
      </w:r>
      <w:hyperlink r:id="rId16" w:history="1">
        <w:r w:rsidR="009E61CB" w:rsidRPr="005757CE">
          <w:rPr>
            <w:rStyle w:val="Hyperlink"/>
          </w:rPr>
          <w:t>522</w:t>
        </w:r>
      </w:hyperlink>
      <w:r w:rsidR="009E61CB">
        <w:rPr>
          <w:rStyle w:val="Hyperlink"/>
        </w:rPr>
        <w:t xml:space="preserve"> and Table 1 below</w:t>
      </w:r>
      <w:r w:rsidR="009E61CB" w:rsidRPr="005757CE">
        <w:t>)</w:t>
      </w:r>
      <w:r>
        <w:t>.</w:t>
      </w:r>
    </w:p>
    <w:p w14:paraId="197B75D8" w14:textId="77777777" w:rsidR="0010706E" w:rsidRPr="008F40E5" w:rsidRDefault="0010706E" w:rsidP="000913F7">
      <w:pPr>
        <w:rPr>
          <w:b/>
          <w:bCs/>
          <w:szCs w:val="24"/>
        </w:rPr>
      </w:pPr>
      <w:r w:rsidRPr="008F40E5">
        <w:rPr>
          <w:b/>
          <w:bCs/>
        </w:rPr>
        <w:t>7.5</w:t>
      </w:r>
      <w:r w:rsidRPr="008F40E5">
        <w:rPr>
          <w:b/>
          <w:bCs/>
        </w:rPr>
        <w:tab/>
      </w:r>
      <w:r w:rsidR="009E61CB" w:rsidRPr="008F40E5">
        <w:rPr>
          <w:b/>
          <w:bCs/>
          <w:szCs w:val="24"/>
        </w:rPr>
        <w:t>Resolution </w:t>
      </w:r>
      <w:r w:rsidR="009E61CB" w:rsidRPr="00CE06A1">
        <w:rPr>
          <w:b/>
          <w:bCs/>
          <w:szCs w:val="24"/>
        </w:rPr>
        <w:t>235</w:t>
      </w:r>
      <w:r w:rsidR="009E61CB" w:rsidRPr="008F40E5">
        <w:rPr>
          <w:b/>
          <w:bCs/>
          <w:szCs w:val="24"/>
        </w:rPr>
        <w:t xml:space="preserve"> </w:t>
      </w:r>
      <w:r w:rsidR="00CE06A1">
        <w:rPr>
          <w:b/>
          <w:bCs/>
          <w:szCs w:val="24"/>
        </w:rPr>
        <w:t>in</w:t>
      </w:r>
      <w:r w:rsidR="009E61CB" w:rsidRPr="008F40E5">
        <w:rPr>
          <w:b/>
          <w:bCs/>
          <w:szCs w:val="24"/>
        </w:rPr>
        <w:t xml:space="preserve"> agenda item 1.5 for WRC</w:t>
      </w:r>
      <w:r w:rsidR="009E61CB" w:rsidRPr="008F40E5">
        <w:rPr>
          <w:b/>
          <w:bCs/>
          <w:szCs w:val="24"/>
        </w:rPr>
        <w:noBreakHyphen/>
        <w:t>23</w:t>
      </w:r>
      <w:r w:rsidR="00B075B6">
        <w:rPr>
          <w:b/>
          <w:bCs/>
          <w:szCs w:val="24"/>
        </w:rPr>
        <w:t xml:space="preserve"> </w:t>
      </w:r>
      <w:r w:rsidR="00C35514" w:rsidRPr="00CE06A1">
        <w:rPr>
          <w:b/>
          <w:bCs/>
          <w:szCs w:val="24"/>
        </w:rPr>
        <w:t xml:space="preserve">- </w:t>
      </w:r>
      <w:r w:rsidR="00C35514" w:rsidRPr="008F40E5">
        <w:rPr>
          <w:b/>
          <w:bCs/>
          <w:szCs w:val="24"/>
          <w:shd w:val="clear" w:color="auto" w:fill="FFFFFF"/>
        </w:rPr>
        <w:t>Review of the spectrum use of the frequency band 470-960 MHz in Region 1</w:t>
      </w:r>
    </w:p>
    <w:p w14:paraId="306495A5" w14:textId="77777777" w:rsidR="009E61CB" w:rsidRDefault="009E61CB" w:rsidP="000913F7">
      <w:r>
        <w:t>7.5.1</w:t>
      </w:r>
      <w:r>
        <w:tab/>
        <w:t xml:space="preserve">The financial implications relating to the implementation of this Resolution is estimated at CHF </w:t>
      </w:r>
      <w:r w:rsidR="00CE06A1">
        <w:t>340</w:t>
      </w:r>
      <w:r>
        <w:t xml:space="preserve"> 000.  </w:t>
      </w:r>
      <w:r w:rsidR="00CE06A1">
        <w:t xml:space="preserve">The estimates cover organizational and meeting support costs </w:t>
      </w:r>
      <w:r w:rsidRPr="005757CE">
        <w:t>(</w:t>
      </w:r>
      <w:r>
        <w:t>details</w:t>
      </w:r>
      <w:r w:rsidR="00925F56">
        <w:t xml:space="preserve"> </w:t>
      </w:r>
      <w:proofErr w:type="gramStart"/>
      <w:r w:rsidR="00925F56">
        <w:t xml:space="preserve">in </w:t>
      </w:r>
      <w:r w:rsidRPr="005757CE">
        <w:t xml:space="preserve"> Document</w:t>
      </w:r>
      <w:proofErr w:type="gramEnd"/>
      <w:r w:rsidRPr="005757CE">
        <w:t> </w:t>
      </w:r>
      <w:r w:rsidR="00CE06A1">
        <w:t>522</w:t>
      </w:r>
      <w:r>
        <w:rPr>
          <w:rStyle w:val="Hyperlink"/>
        </w:rPr>
        <w:t xml:space="preserve"> and Table 1 below</w:t>
      </w:r>
      <w:r w:rsidRPr="005757CE">
        <w:t>)</w:t>
      </w:r>
      <w:r>
        <w:t>.</w:t>
      </w:r>
    </w:p>
    <w:p w14:paraId="1DCDB1F0" w14:textId="77777777" w:rsidR="000D326F" w:rsidRDefault="000D326F" w:rsidP="000913F7">
      <w:r>
        <w:t>7.6</w:t>
      </w:r>
      <w:r>
        <w:tab/>
      </w:r>
      <w:r w:rsidRPr="008F40E5">
        <w:rPr>
          <w:b/>
          <w:bCs/>
        </w:rPr>
        <w:t xml:space="preserve">New provisions </w:t>
      </w:r>
      <w:r w:rsidRPr="00925F56">
        <w:rPr>
          <w:b/>
          <w:bCs/>
        </w:rPr>
        <w:t>5.A16, 5.B16, 22.5L, 22.5M</w:t>
      </w:r>
      <w:r w:rsidRPr="008F40E5">
        <w:rPr>
          <w:b/>
          <w:bCs/>
        </w:rPr>
        <w:t xml:space="preserve"> and new Resolutions </w:t>
      </w:r>
      <w:r w:rsidRPr="00925F56">
        <w:rPr>
          <w:b/>
          <w:bCs/>
        </w:rPr>
        <w:t>[A16-SINGLE.ENTRY] (WRC</w:t>
      </w:r>
      <w:r w:rsidRPr="00925F56">
        <w:rPr>
          <w:b/>
          <w:bCs/>
        </w:rPr>
        <w:noBreakHyphen/>
        <w:t>19)</w:t>
      </w:r>
      <w:r w:rsidRPr="008F40E5">
        <w:rPr>
          <w:b/>
          <w:bCs/>
        </w:rPr>
        <w:t xml:space="preserve"> and </w:t>
      </w:r>
      <w:r w:rsidRPr="00925F56">
        <w:rPr>
          <w:b/>
          <w:bCs/>
        </w:rPr>
        <w:t>[A16-</w:t>
      </w:r>
      <w:r w:rsidRPr="008F40E5">
        <w:rPr>
          <w:rFonts w:eastAsia="SimSun" w:cs="Traditional Arabic"/>
          <w:b/>
          <w:bCs/>
        </w:rPr>
        <w:t xml:space="preserve"> </w:t>
      </w:r>
      <w:r w:rsidRPr="00925F56">
        <w:rPr>
          <w:rFonts w:eastAsia="SimSun" w:cs="Traditional Arabic"/>
          <w:b/>
          <w:bCs/>
        </w:rPr>
        <w:t>AGG.SHARING</w:t>
      </w:r>
      <w:r w:rsidRPr="00925F56">
        <w:rPr>
          <w:b/>
          <w:bCs/>
        </w:rPr>
        <w:t>] (WRC</w:t>
      </w:r>
      <w:r w:rsidRPr="00925F56">
        <w:rPr>
          <w:b/>
          <w:bCs/>
        </w:rPr>
        <w:noBreakHyphen/>
        <w:t>19)</w:t>
      </w:r>
      <w:r w:rsidRPr="008F40E5">
        <w:rPr>
          <w:b/>
          <w:bCs/>
        </w:rPr>
        <w:t xml:space="preserve"> for agenda item 1.6, and also new Resolutions COM4/3 </w:t>
      </w:r>
      <w:r w:rsidRPr="00925F56">
        <w:rPr>
          <w:b/>
          <w:bCs/>
        </w:rPr>
        <w:t>(WRC</w:t>
      </w:r>
      <w:r w:rsidRPr="00925F56">
        <w:rPr>
          <w:b/>
          <w:bCs/>
        </w:rPr>
        <w:noBreakHyphen/>
        <w:t>19)</w:t>
      </w:r>
      <w:r w:rsidRPr="008F40E5">
        <w:rPr>
          <w:b/>
          <w:bCs/>
        </w:rPr>
        <w:t xml:space="preserve">, COM4/4 </w:t>
      </w:r>
      <w:r w:rsidRPr="00925F56">
        <w:rPr>
          <w:b/>
          <w:bCs/>
        </w:rPr>
        <w:t>(WRC</w:t>
      </w:r>
      <w:r w:rsidRPr="00925F56">
        <w:rPr>
          <w:b/>
          <w:bCs/>
        </w:rPr>
        <w:noBreakHyphen/>
        <w:t>19)</w:t>
      </w:r>
      <w:r w:rsidRPr="008F40E5">
        <w:rPr>
          <w:b/>
          <w:bCs/>
        </w:rPr>
        <w:t xml:space="preserve">, COM4/5 </w:t>
      </w:r>
      <w:r w:rsidRPr="00925F56">
        <w:rPr>
          <w:b/>
          <w:bCs/>
        </w:rPr>
        <w:t>(WRC</w:t>
      </w:r>
      <w:r w:rsidRPr="00925F56">
        <w:rPr>
          <w:b/>
          <w:bCs/>
        </w:rPr>
        <w:noBreakHyphen/>
        <w:t>19)</w:t>
      </w:r>
      <w:r w:rsidRPr="008F40E5">
        <w:rPr>
          <w:b/>
          <w:bCs/>
        </w:rPr>
        <w:t xml:space="preserve">, [38/39.5 GHz] </w:t>
      </w:r>
      <w:r w:rsidRPr="00925F56">
        <w:rPr>
          <w:b/>
          <w:bCs/>
        </w:rPr>
        <w:t>(WRC</w:t>
      </w:r>
      <w:r w:rsidRPr="00925F56">
        <w:rPr>
          <w:b/>
          <w:bCs/>
        </w:rPr>
        <w:noBreakHyphen/>
        <w:t xml:space="preserve">19) </w:t>
      </w:r>
      <w:r w:rsidRPr="008F40E5">
        <w:rPr>
          <w:b/>
          <w:bCs/>
        </w:rPr>
        <w:t>for agenda item 1.14</w:t>
      </w:r>
    </w:p>
    <w:p w14:paraId="772FF33D" w14:textId="77777777" w:rsidR="000D326F" w:rsidRDefault="000D326F" w:rsidP="000913F7">
      <w:r>
        <w:t>7.6.1</w:t>
      </w:r>
      <w:r>
        <w:tab/>
        <w:t>The financial implications relating to the implementation of regulatory provisions in response to WRC</w:t>
      </w:r>
      <w:r>
        <w:noBreakHyphen/>
        <w:t xml:space="preserve">19 agenda items 1.6 and 1.14 </w:t>
      </w:r>
      <w:r w:rsidR="000A407C">
        <w:t xml:space="preserve">is estimated at CHF 300 000.  The </w:t>
      </w:r>
      <w:r w:rsidR="00925F56">
        <w:t xml:space="preserve">costs </w:t>
      </w:r>
      <w:r w:rsidR="000A407C">
        <w:t xml:space="preserve">relate to </w:t>
      </w:r>
      <w:r w:rsidR="00925F56">
        <w:t xml:space="preserve">software </w:t>
      </w:r>
      <w:r w:rsidR="000A407C">
        <w:t>development</w:t>
      </w:r>
      <w:r w:rsidR="00925F56">
        <w:t xml:space="preserve"> </w:t>
      </w:r>
      <w:r w:rsidRPr="005757CE">
        <w:t>(</w:t>
      </w:r>
      <w:r>
        <w:t>details</w:t>
      </w:r>
      <w:r w:rsidRPr="005757CE">
        <w:t xml:space="preserve"> </w:t>
      </w:r>
      <w:r w:rsidR="00925F56">
        <w:t xml:space="preserve">in </w:t>
      </w:r>
      <w:r w:rsidR="00925F56" w:rsidRPr="004215D0">
        <w:t>Document</w:t>
      </w:r>
      <w:r w:rsidR="00925F56">
        <w:t xml:space="preserve">s </w:t>
      </w:r>
      <w:hyperlink r:id="rId17" w:history="1">
        <w:r w:rsidR="00925F56" w:rsidRPr="005B7552">
          <w:rPr>
            <w:rStyle w:val="Hyperlink"/>
          </w:rPr>
          <w:t>450</w:t>
        </w:r>
      </w:hyperlink>
      <w:r w:rsidR="00925F56">
        <w:t xml:space="preserve"> and </w:t>
      </w:r>
      <w:hyperlink r:id="rId18" w:history="1">
        <w:r w:rsidR="00925F56" w:rsidRPr="005B7552">
          <w:rPr>
            <w:rStyle w:val="Hyperlink"/>
          </w:rPr>
          <w:t>493</w:t>
        </w:r>
      </w:hyperlink>
      <w:r w:rsidR="00925F56">
        <w:t xml:space="preserve"> </w:t>
      </w:r>
      <w:r>
        <w:rPr>
          <w:rStyle w:val="Hyperlink"/>
        </w:rPr>
        <w:t>and Table 1 below</w:t>
      </w:r>
      <w:r w:rsidRPr="005757CE">
        <w:t>)</w:t>
      </w:r>
      <w:r>
        <w:t>.</w:t>
      </w:r>
    </w:p>
    <w:p w14:paraId="05936E10" w14:textId="77777777" w:rsidR="000D326F" w:rsidRDefault="000D326F" w:rsidP="000913F7"/>
    <w:p w14:paraId="03F21BE1" w14:textId="77777777" w:rsidR="00C82901" w:rsidRPr="002A0212" w:rsidRDefault="00C82901" w:rsidP="00187183">
      <w:pPr>
        <w:rPr>
          <w:lang w:val="en-US"/>
        </w:rPr>
      </w:pPr>
    </w:p>
    <w:p w14:paraId="7A2445D3" w14:textId="77777777" w:rsidR="00C26C09" w:rsidRPr="002A0212" w:rsidRDefault="00C26C09">
      <w:pPr>
        <w:tabs>
          <w:tab w:val="clear" w:pos="1134"/>
          <w:tab w:val="clear" w:pos="1871"/>
          <w:tab w:val="clear" w:pos="2268"/>
        </w:tabs>
        <w:overflowPunct/>
        <w:autoSpaceDE/>
        <w:autoSpaceDN/>
        <w:adjustRightInd/>
        <w:spacing w:before="0"/>
        <w:textAlignment w:val="auto"/>
        <w:rPr>
          <w:lang w:val="en-US"/>
        </w:rPr>
      </w:pPr>
      <w:r w:rsidRPr="002A0212">
        <w:rPr>
          <w:lang w:val="en-US"/>
        </w:rPr>
        <w:br w:type="page"/>
      </w:r>
    </w:p>
    <w:p w14:paraId="5C97AD9B" w14:textId="77777777" w:rsidR="00AC359C" w:rsidRPr="002A0212" w:rsidRDefault="00C82901" w:rsidP="00C806D1">
      <w:pPr>
        <w:pStyle w:val="TableNo"/>
        <w:rPr>
          <w:lang w:val="en-US"/>
        </w:rPr>
      </w:pPr>
      <w:r w:rsidRPr="002A0212">
        <w:rPr>
          <w:lang w:val="en-US"/>
        </w:rPr>
        <w:lastRenderedPageBreak/>
        <w:t>TABLE</w:t>
      </w:r>
      <w:r w:rsidR="00204B12" w:rsidRPr="002A0212">
        <w:rPr>
          <w:lang w:val="en-US"/>
        </w:rPr>
        <w:t xml:space="preserve"> 1</w:t>
      </w:r>
    </w:p>
    <w:p w14:paraId="41EBFA2F" w14:textId="77777777" w:rsidR="00C82901" w:rsidRPr="002A0212" w:rsidRDefault="00C82901" w:rsidP="00C806D1">
      <w:pPr>
        <w:pStyle w:val="Tabletitle"/>
        <w:rPr>
          <w:lang w:val="en-US"/>
        </w:rPr>
      </w:pPr>
      <w:r w:rsidRPr="002A0212">
        <w:rPr>
          <w:lang w:val="en-US"/>
        </w:rPr>
        <w:t xml:space="preserve">Estimated costs </w:t>
      </w:r>
    </w:p>
    <w:tbl>
      <w:tblPr>
        <w:tblStyle w:val="TableGrid"/>
        <w:tblW w:w="0" w:type="auto"/>
        <w:jc w:val="center"/>
        <w:tblLook w:val="04A0" w:firstRow="1" w:lastRow="0" w:firstColumn="1" w:lastColumn="0" w:noHBand="0" w:noVBand="1"/>
      </w:tblPr>
      <w:tblGrid>
        <w:gridCol w:w="6946"/>
        <w:gridCol w:w="1276"/>
      </w:tblGrid>
      <w:tr w:rsidR="00C82901" w:rsidRPr="002A0212" w14:paraId="6D3F109F" w14:textId="77777777" w:rsidTr="00C806D1">
        <w:trPr>
          <w:jc w:val="center"/>
        </w:trPr>
        <w:tc>
          <w:tcPr>
            <w:tcW w:w="6946" w:type="dxa"/>
          </w:tcPr>
          <w:p w14:paraId="14E9C5FA" w14:textId="77777777" w:rsidR="00C82901" w:rsidRPr="002A0212" w:rsidRDefault="00C82901" w:rsidP="00C806D1">
            <w:pPr>
              <w:pStyle w:val="Tabletext"/>
              <w:rPr>
                <w:lang w:val="en-US"/>
              </w:rPr>
            </w:pPr>
          </w:p>
        </w:tc>
        <w:tc>
          <w:tcPr>
            <w:tcW w:w="1276" w:type="dxa"/>
          </w:tcPr>
          <w:p w14:paraId="675CC6AF" w14:textId="77777777" w:rsidR="00C82901" w:rsidRPr="002A0212" w:rsidRDefault="00C82901" w:rsidP="00C806D1">
            <w:pPr>
              <w:pStyle w:val="Tabletext"/>
              <w:jc w:val="center"/>
              <w:rPr>
                <w:lang w:val="en-US"/>
              </w:rPr>
            </w:pPr>
            <w:r w:rsidRPr="002A0212">
              <w:rPr>
                <w:lang w:val="en-US"/>
              </w:rPr>
              <w:t>Amount CHF</w:t>
            </w:r>
          </w:p>
        </w:tc>
      </w:tr>
      <w:tr w:rsidR="00C82901" w:rsidRPr="002A0212" w14:paraId="71678BB3" w14:textId="77777777" w:rsidTr="00C806D1">
        <w:trPr>
          <w:jc w:val="center"/>
        </w:trPr>
        <w:tc>
          <w:tcPr>
            <w:tcW w:w="6946" w:type="dxa"/>
          </w:tcPr>
          <w:p w14:paraId="276D96EE" w14:textId="77777777" w:rsidR="00C82901" w:rsidRPr="002A0212" w:rsidRDefault="00C82901" w:rsidP="00C806D1">
            <w:pPr>
              <w:pStyle w:val="Tabletext"/>
              <w:rPr>
                <w:lang w:val="en-US"/>
              </w:rPr>
            </w:pPr>
            <w:r w:rsidRPr="002A0212">
              <w:rPr>
                <w:color w:val="000000"/>
                <w:sz w:val="22"/>
                <w:szCs w:val="22"/>
                <w:lang w:val="en-US"/>
              </w:rPr>
              <w:t>Resolution [7(A)-NGSO-MILESTONES] (WRC</w:t>
            </w:r>
            <w:r w:rsidR="00B075B6">
              <w:rPr>
                <w:color w:val="000000"/>
                <w:sz w:val="22"/>
                <w:szCs w:val="22"/>
                <w:lang w:val="en-US"/>
              </w:rPr>
              <w:t>-</w:t>
            </w:r>
            <w:r w:rsidRPr="002A0212">
              <w:rPr>
                <w:color w:val="000000"/>
                <w:sz w:val="22"/>
                <w:szCs w:val="22"/>
                <w:lang w:val="en-US"/>
              </w:rPr>
              <w:t>19)</w:t>
            </w:r>
          </w:p>
        </w:tc>
        <w:tc>
          <w:tcPr>
            <w:tcW w:w="1276" w:type="dxa"/>
          </w:tcPr>
          <w:p w14:paraId="3243E2FB" w14:textId="77777777" w:rsidR="00C82901" w:rsidRPr="002A0212" w:rsidRDefault="00C82901" w:rsidP="00C806D1">
            <w:pPr>
              <w:pStyle w:val="Tabletext"/>
              <w:jc w:val="right"/>
              <w:rPr>
                <w:lang w:val="en-US"/>
              </w:rPr>
            </w:pPr>
            <w:r w:rsidRPr="002A0212">
              <w:rPr>
                <w:lang w:val="en-US"/>
              </w:rPr>
              <w:t>340 000</w:t>
            </w:r>
          </w:p>
        </w:tc>
      </w:tr>
      <w:tr w:rsidR="00C82901" w:rsidRPr="002A0212" w14:paraId="5C4A6231" w14:textId="77777777" w:rsidTr="00C806D1">
        <w:trPr>
          <w:jc w:val="center"/>
        </w:trPr>
        <w:tc>
          <w:tcPr>
            <w:tcW w:w="6946" w:type="dxa"/>
          </w:tcPr>
          <w:p w14:paraId="2C674E09" w14:textId="77777777" w:rsidR="00C82901" w:rsidRPr="002A0212" w:rsidRDefault="00C82901" w:rsidP="00C806D1">
            <w:pPr>
              <w:pStyle w:val="Tabletext"/>
              <w:rPr>
                <w:lang w:val="en-US"/>
              </w:rPr>
            </w:pPr>
            <w:r w:rsidRPr="002A0212">
              <w:rPr>
                <w:color w:val="000000"/>
                <w:sz w:val="22"/>
                <w:szCs w:val="22"/>
                <w:lang w:val="en-US"/>
              </w:rPr>
              <w:t xml:space="preserve">Resolution [COM5/6] (WRC-19) </w:t>
            </w:r>
          </w:p>
        </w:tc>
        <w:tc>
          <w:tcPr>
            <w:tcW w:w="1276" w:type="dxa"/>
          </w:tcPr>
          <w:p w14:paraId="12297A6D" w14:textId="77777777" w:rsidR="00C82901" w:rsidRPr="002A0212" w:rsidRDefault="00C82901" w:rsidP="00C806D1">
            <w:pPr>
              <w:pStyle w:val="Tabletext"/>
              <w:jc w:val="right"/>
              <w:rPr>
                <w:lang w:val="en-US"/>
              </w:rPr>
            </w:pPr>
            <w:r w:rsidRPr="002A0212">
              <w:rPr>
                <w:lang w:val="en-US"/>
              </w:rPr>
              <w:t>85 000</w:t>
            </w:r>
          </w:p>
        </w:tc>
      </w:tr>
      <w:tr w:rsidR="00C82901" w:rsidRPr="002A0212" w14:paraId="68C29E3B" w14:textId="77777777" w:rsidTr="00C806D1">
        <w:trPr>
          <w:jc w:val="center"/>
        </w:trPr>
        <w:tc>
          <w:tcPr>
            <w:tcW w:w="6946" w:type="dxa"/>
          </w:tcPr>
          <w:p w14:paraId="2CA5CD4A" w14:textId="77777777" w:rsidR="00C82901" w:rsidRPr="002A0212" w:rsidRDefault="00C82901" w:rsidP="00C806D1">
            <w:pPr>
              <w:pStyle w:val="Tabletext"/>
              <w:rPr>
                <w:lang w:val="en-US"/>
              </w:rPr>
            </w:pPr>
            <w:r w:rsidRPr="002A0212">
              <w:rPr>
                <w:color w:val="000000"/>
                <w:sz w:val="22"/>
                <w:szCs w:val="22"/>
                <w:lang w:val="en-US"/>
              </w:rPr>
              <w:t xml:space="preserve">Modifications to RR Nos. 9.36, 9.53A, Appendices 30, 30A and 30B </w:t>
            </w:r>
          </w:p>
        </w:tc>
        <w:tc>
          <w:tcPr>
            <w:tcW w:w="1276" w:type="dxa"/>
          </w:tcPr>
          <w:p w14:paraId="6FC16167" w14:textId="77777777" w:rsidR="00C82901" w:rsidRPr="002A0212" w:rsidRDefault="00C82901" w:rsidP="00C806D1">
            <w:pPr>
              <w:pStyle w:val="Tabletext"/>
              <w:jc w:val="right"/>
              <w:rPr>
                <w:lang w:val="en-US"/>
              </w:rPr>
            </w:pPr>
            <w:r w:rsidRPr="002A0212">
              <w:rPr>
                <w:lang w:val="en-US"/>
              </w:rPr>
              <w:t>200 000</w:t>
            </w:r>
          </w:p>
        </w:tc>
      </w:tr>
      <w:tr w:rsidR="009E61CB" w:rsidRPr="009E61CB" w14:paraId="28EE15AB" w14:textId="77777777" w:rsidTr="00C806D1">
        <w:trPr>
          <w:jc w:val="center"/>
        </w:trPr>
        <w:tc>
          <w:tcPr>
            <w:tcW w:w="6946" w:type="dxa"/>
          </w:tcPr>
          <w:p w14:paraId="0D3D3A58" w14:textId="77777777" w:rsidR="009E61CB" w:rsidRPr="009E61CB" w:rsidRDefault="009E61CB" w:rsidP="00C806D1">
            <w:pPr>
              <w:pStyle w:val="Tabletext"/>
              <w:rPr>
                <w:color w:val="000000"/>
                <w:sz w:val="22"/>
                <w:szCs w:val="22"/>
                <w:lang w:val="en-US"/>
              </w:rPr>
            </w:pPr>
            <w:r w:rsidRPr="008F40E5">
              <w:rPr>
                <w:sz w:val="22"/>
                <w:szCs w:val="22"/>
              </w:rPr>
              <w:t>Resolution [AHGPL6/IMT-WRC-23]</w:t>
            </w:r>
            <w:r w:rsidR="00B075B6">
              <w:rPr>
                <w:sz w:val="22"/>
                <w:szCs w:val="22"/>
              </w:rPr>
              <w:t xml:space="preserve"> (WRC-19)</w:t>
            </w:r>
          </w:p>
        </w:tc>
        <w:tc>
          <w:tcPr>
            <w:tcW w:w="1276" w:type="dxa"/>
          </w:tcPr>
          <w:p w14:paraId="00F3ED95" w14:textId="77777777" w:rsidR="009E61CB" w:rsidRPr="009E61CB" w:rsidRDefault="00CE06A1" w:rsidP="00C806D1">
            <w:pPr>
              <w:pStyle w:val="Tabletext"/>
              <w:jc w:val="right"/>
              <w:rPr>
                <w:lang w:val="en-US"/>
              </w:rPr>
            </w:pPr>
            <w:r>
              <w:rPr>
                <w:lang w:val="en-US"/>
              </w:rPr>
              <w:t>456 000</w:t>
            </w:r>
          </w:p>
        </w:tc>
      </w:tr>
      <w:tr w:rsidR="009E61CB" w:rsidRPr="009E61CB" w14:paraId="70417535" w14:textId="77777777" w:rsidTr="00C806D1">
        <w:trPr>
          <w:jc w:val="center"/>
        </w:trPr>
        <w:tc>
          <w:tcPr>
            <w:tcW w:w="6946" w:type="dxa"/>
          </w:tcPr>
          <w:p w14:paraId="50C1FEDD" w14:textId="77777777" w:rsidR="009E61CB" w:rsidRPr="009E61CB" w:rsidRDefault="009E61CB" w:rsidP="00C806D1">
            <w:pPr>
              <w:pStyle w:val="Tabletext"/>
              <w:rPr>
                <w:color w:val="000000"/>
                <w:sz w:val="22"/>
                <w:szCs w:val="22"/>
                <w:lang w:val="en-US"/>
              </w:rPr>
            </w:pPr>
            <w:r w:rsidRPr="008F40E5">
              <w:rPr>
                <w:sz w:val="22"/>
                <w:szCs w:val="22"/>
              </w:rPr>
              <w:t>Resolution 235</w:t>
            </w:r>
            <w:r w:rsidR="009931DC" w:rsidRPr="008F40E5">
              <w:rPr>
                <w:sz w:val="22"/>
                <w:szCs w:val="22"/>
              </w:rPr>
              <w:t xml:space="preserve"> </w:t>
            </w:r>
            <w:r w:rsidR="00CF1BF1">
              <w:rPr>
                <w:sz w:val="22"/>
                <w:szCs w:val="22"/>
              </w:rPr>
              <w:t>in</w:t>
            </w:r>
            <w:r w:rsidR="009931DC" w:rsidRPr="008F40E5">
              <w:rPr>
                <w:sz w:val="22"/>
                <w:szCs w:val="22"/>
              </w:rPr>
              <w:t xml:space="preserve"> agenda item 1.5 for WRC</w:t>
            </w:r>
            <w:r w:rsidR="009931DC" w:rsidRPr="008F40E5">
              <w:rPr>
                <w:sz w:val="22"/>
                <w:szCs w:val="22"/>
              </w:rPr>
              <w:noBreakHyphen/>
              <w:t>23</w:t>
            </w:r>
          </w:p>
        </w:tc>
        <w:tc>
          <w:tcPr>
            <w:tcW w:w="1276" w:type="dxa"/>
          </w:tcPr>
          <w:p w14:paraId="3D5B3D0A" w14:textId="77777777" w:rsidR="009E61CB" w:rsidRPr="009E61CB" w:rsidRDefault="00CE06A1" w:rsidP="00C806D1">
            <w:pPr>
              <w:pStyle w:val="Tabletext"/>
              <w:jc w:val="right"/>
              <w:rPr>
                <w:lang w:val="en-US"/>
              </w:rPr>
            </w:pPr>
            <w:r>
              <w:rPr>
                <w:lang w:val="en-US"/>
              </w:rPr>
              <w:t>340 000</w:t>
            </w:r>
          </w:p>
        </w:tc>
      </w:tr>
      <w:tr w:rsidR="00925F56" w:rsidRPr="00925F56" w14:paraId="235DBBF2" w14:textId="77777777" w:rsidTr="00C806D1">
        <w:trPr>
          <w:jc w:val="center"/>
        </w:trPr>
        <w:tc>
          <w:tcPr>
            <w:tcW w:w="6946" w:type="dxa"/>
          </w:tcPr>
          <w:p w14:paraId="1A3A6486" w14:textId="77777777" w:rsidR="00925F56" w:rsidRPr="008F40E5" w:rsidRDefault="00925F56" w:rsidP="008F40E5">
            <w:pPr>
              <w:pStyle w:val="Tabletext"/>
              <w:rPr>
                <w:color w:val="000000"/>
                <w:sz w:val="22"/>
                <w:szCs w:val="22"/>
                <w:lang w:val="en-US"/>
              </w:rPr>
            </w:pPr>
            <w:r w:rsidRPr="008F40E5">
              <w:rPr>
                <w:sz w:val="22"/>
                <w:szCs w:val="22"/>
              </w:rPr>
              <w:t xml:space="preserve">Agenda items 1.6 and 1.14 </w:t>
            </w:r>
            <w:r w:rsidR="008F40E5">
              <w:rPr>
                <w:sz w:val="22"/>
                <w:szCs w:val="22"/>
              </w:rPr>
              <w:t>S</w:t>
            </w:r>
            <w:proofErr w:type="spellStart"/>
            <w:r w:rsidRPr="008F40E5">
              <w:rPr>
                <w:color w:val="000000"/>
                <w:sz w:val="22"/>
                <w:szCs w:val="22"/>
                <w:lang w:val="en-US"/>
              </w:rPr>
              <w:t>oftware</w:t>
            </w:r>
            <w:proofErr w:type="spellEnd"/>
            <w:r w:rsidRPr="008F40E5">
              <w:rPr>
                <w:color w:val="000000"/>
                <w:sz w:val="22"/>
                <w:szCs w:val="22"/>
                <w:lang w:val="en-US"/>
              </w:rPr>
              <w:t xml:space="preserve"> </w:t>
            </w:r>
            <w:r w:rsidRPr="00925F56">
              <w:rPr>
                <w:color w:val="000000"/>
                <w:sz w:val="22"/>
                <w:szCs w:val="22"/>
                <w:lang w:val="en-US"/>
              </w:rPr>
              <w:t>development</w:t>
            </w:r>
            <w:r w:rsidRPr="008F40E5">
              <w:rPr>
                <w:color w:val="000000"/>
                <w:sz w:val="22"/>
                <w:szCs w:val="22"/>
                <w:lang w:val="en-US"/>
              </w:rPr>
              <w:t xml:space="preserve"> </w:t>
            </w:r>
          </w:p>
        </w:tc>
        <w:tc>
          <w:tcPr>
            <w:tcW w:w="1276" w:type="dxa"/>
          </w:tcPr>
          <w:p w14:paraId="4D2F1C4E" w14:textId="77777777" w:rsidR="00925F56" w:rsidRPr="008F40E5" w:rsidDel="009E61CB" w:rsidRDefault="00925F56" w:rsidP="00C806D1">
            <w:pPr>
              <w:pStyle w:val="Tabletext"/>
              <w:jc w:val="right"/>
              <w:rPr>
                <w:lang w:val="en-US"/>
              </w:rPr>
            </w:pPr>
            <w:r w:rsidRPr="008F40E5">
              <w:rPr>
                <w:lang w:val="en-US"/>
              </w:rPr>
              <w:t>300 000</w:t>
            </w:r>
          </w:p>
        </w:tc>
      </w:tr>
      <w:tr w:rsidR="00C82901" w:rsidRPr="002A0212" w14:paraId="7E601217" w14:textId="77777777" w:rsidTr="00C806D1">
        <w:trPr>
          <w:jc w:val="center"/>
        </w:trPr>
        <w:tc>
          <w:tcPr>
            <w:tcW w:w="6946" w:type="dxa"/>
          </w:tcPr>
          <w:p w14:paraId="5E00040F" w14:textId="77777777" w:rsidR="00C82901" w:rsidRPr="002A0212" w:rsidRDefault="00C82901" w:rsidP="00C806D1">
            <w:pPr>
              <w:pStyle w:val="Tabletext"/>
              <w:rPr>
                <w:b/>
                <w:bCs/>
                <w:color w:val="000000"/>
                <w:sz w:val="22"/>
                <w:szCs w:val="22"/>
                <w:lang w:val="en-US"/>
              </w:rPr>
            </w:pPr>
            <w:r w:rsidRPr="002A0212">
              <w:rPr>
                <w:b/>
                <w:bCs/>
                <w:color w:val="000000"/>
                <w:sz w:val="22"/>
                <w:szCs w:val="22"/>
                <w:lang w:val="en-US"/>
              </w:rPr>
              <w:t>Total</w:t>
            </w:r>
          </w:p>
        </w:tc>
        <w:tc>
          <w:tcPr>
            <w:tcW w:w="1276" w:type="dxa"/>
          </w:tcPr>
          <w:p w14:paraId="41A8A8CA" w14:textId="77777777" w:rsidR="00C82901" w:rsidRPr="002A0212" w:rsidRDefault="00CE06A1" w:rsidP="00C806D1">
            <w:pPr>
              <w:pStyle w:val="Tabletext"/>
              <w:jc w:val="right"/>
              <w:rPr>
                <w:b/>
                <w:bCs/>
                <w:lang w:val="en-US"/>
              </w:rPr>
            </w:pPr>
            <w:r>
              <w:rPr>
                <w:b/>
                <w:bCs/>
                <w:lang w:val="en-US"/>
              </w:rPr>
              <w:t xml:space="preserve">1 </w:t>
            </w:r>
            <w:r w:rsidR="00925F56">
              <w:rPr>
                <w:b/>
                <w:bCs/>
                <w:lang w:val="en-US"/>
              </w:rPr>
              <w:t>7</w:t>
            </w:r>
            <w:r>
              <w:rPr>
                <w:b/>
                <w:bCs/>
                <w:lang w:val="en-US"/>
              </w:rPr>
              <w:t xml:space="preserve">21 </w:t>
            </w:r>
            <w:r w:rsidR="00C82901" w:rsidRPr="002A0212">
              <w:rPr>
                <w:b/>
                <w:bCs/>
                <w:lang w:val="en-US"/>
              </w:rPr>
              <w:t>000</w:t>
            </w:r>
          </w:p>
        </w:tc>
      </w:tr>
    </w:tbl>
    <w:p w14:paraId="46A2EBD9" w14:textId="77777777" w:rsidR="009E59FA" w:rsidRPr="002A0212" w:rsidRDefault="00287DB9" w:rsidP="00067E38">
      <w:pPr>
        <w:pStyle w:val="Heading1"/>
        <w:rPr>
          <w:lang w:val="en-US"/>
        </w:rPr>
      </w:pPr>
      <w:r w:rsidRPr="002A0212">
        <w:rPr>
          <w:lang w:val="en-US"/>
        </w:rPr>
        <w:t>8</w:t>
      </w:r>
      <w:r w:rsidR="00CA28D1" w:rsidRPr="002A0212">
        <w:rPr>
          <w:lang w:val="en-US"/>
        </w:rPr>
        <w:tab/>
        <w:t>Conclusions</w:t>
      </w:r>
    </w:p>
    <w:p w14:paraId="733EC875" w14:textId="77777777" w:rsidR="00A90FE7" w:rsidRPr="002A0212" w:rsidRDefault="00287DB9" w:rsidP="004523FC">
      <w:pPr>
        <w:rPr>
          <w:lang w:val="en-US"/>
        </w:rPr>
      </w:pPr>
      <w:r w:rsidRPr="002A0212">
        <w:rPr>
          <w:lang w:val="en-US"/>
        </w:rPr>
        <w:t>8</w:t>
      </w:r>
      <w:r w:rsidR="00067E38" w:rsidRPr="002A0212">
        <w:rPr>
          <w:lang w:val="en-US"/>
        </w:rPr>
        <w:t>.1</w:t>
      </w:r>
      <w:r w:rsidR="00067E38" w:rsidRPr="002A0212">
        <w:rPr>
          <w:lang w:val="en-US"/>
        </w:rPr>
        <w:tab/>
        <w:t>A number of questions were raised by administration</w:t>
      </w:r>
      <w:r w:rsidR="004B42BF" w:rsidRPr="002A0212">
        <w:rPr>
          <w:lang w:val="en-US"/>
        </w:rPr>
        <w:t>s</w:t>
      </w:r>
      <w:r w:rsidR="00067E38" w:rsidRPr="002A0212">
        <w:rPr>
          <w:lang w:val="en-US"/>
        </w:rPr>
        <w:t xml:space="preserve"> on the application of ITU’s paperless p</w:t>
      </w:r>
      <w:r w:rsidR="0050616B" w:rsidRPr="002A0212">
        <w:rPr>
          <w:lang w:val="en-US"/>
        </w:rPr>
        <w:t xml:space="preserve">olicy as contained in </w:t>
      </w:r>
      <w:r w:rsidR="00067E38" w:rsidRPr="002A0212">
        <w:rPr>
          <w:lang w:val="en-US"/>
        </w:rPr>
        <w:t xml:space="preserve">Decision 5, Annex 2 (PP-18) </w:t>
      </w:r>
      <w:r w:rsidR="0050616B" w:rsidRPr="002A0212">
        <w:rPr>
          <w:lang w:val="en-US"/>
        </w:rPr>
        <w:t xml:space="preserve">of which </w:t>
      </w:r>
      <w:r w:rsidR="00067E38" w:rsidRPr="002A0212">
        <w:rPr>
          <w:lang w:val="en-US"/>
        </w:rPr>
        <w:t>the Secretariat clarified the points</w:t>
      </w:r>
      <w:r w:rsidR="0050616B" w:rsidRPr="002A0212">
        <w:rPr>
          <w:lang w:val="en-US"/>
        </w:rPr>
        <w:t xml:space="preserve"> raised</w:t>
      </w:r>
      <w:r w:rsidR="00067E38" w:rsidRPr="002A0212">
        <w:rPr>
          <w:lang w:val="en-US"/>
        </w:rPr>
        <w:t xml:space="preserve">, </w:t>
      </w:r>
      <w:r w:rsidR="009F7DC3" w:rsidRPr="002A0212">
        <w:rPr>
          <w:lang w:val="en-US"/>
        </w:rPr>
        <w:t xml:space="preserve">indicating that the results are shown on the financial statement in the annex of this document. The results of this policy </w:t>
      </w:r>
      <w:r w:rsidR="004B42BF" w:rsidRPr="002A0212">
        <w:rPr>
          <w:lang w:val="en-US"/>
        </w:rPr>
        <w:t>are</w:t>
      </w:r>
      <w:r w:rsidR="009F7DC3" w:rsidRPr="002A0212">
        <w:rPr>
          <w:lang w:val="en-US"/>
        </w:rPr>
        <w:t xml:space="preserve"> primarily illustrated in the documentation section </w:t>
      </w:r>
      <w:r w:rsidR="0050616B" w:rsidRPr="002A0212">
        <w:rPr>
          <w:lang w:val="en-US"/>
        </w:rPr>
        <w:t xml:space="preserve">with emphasis </w:t>
      </w:r>
      <w:r w:rsidR="009F7DC3" w:rsidRPr="002A0212">
        <w:rPr>
          <w:lang w:val="en-US"/>
        </w:rPr>
        <w:t>on reprography.</w:t>
      </w:r>
    </w:p>
    <w:p w14:paraId="4A9D2E88" w14:textId="77777777" w:rsidR="00A90FE7" w:rsidRPr="002A0212" w:rsidRDefault="00A90FE7" w:rsidP="00A90FE7">
      <w:pPr>
        <w:rPr>
          <w:lang w:val="en-US"/>
        </w:rPr>
      </w:pPr>
      <w:r w:rsidRPr="002A0212">
        <w:rPr>
          <w:lang w:val="en-US"/>
        </w:rPr>
        <w:t>Based on the above analysis of the financial consequences resulting from the various decisions and resolutions, the total amount is estimated at CHF</w:t>
      </w:r>
      <w:r w:rsidR="00B96CC3" w:rsidRPr="002A0212">
        <w:rPr>
          <w:lang w:val="en-US"/>
        </w:rPr>
        <w:t> </w:t>
      </w:r>
      <w:r w:rsidR="00CE06A1">
        <w:rPr>
          <w:lang w:val="en-US"/>
        </w:rPr>
        <w:t xml:space="preserve">1 </w:t>
      </w:r>
      <w:r w:rsidR="00925F56">
        <w:rPr>
          <w:lang w:val="en-US"/>
        </w:rPr>
        <w:t>7</w:t>
      </w:r>
      <w:r w:rsidR="00CE06A1">
        <w:rPr>
          <w:lang w:val="en-US"/>
        </w:rPr>
        <w:t>21</w:t>
      </w:r>
      <w:r w:rsidR="00B96CC3" w:rsidRPr="002A0212">
        <w:rPr>
          <w:lang w:val="en-US"/>
        </w:rPr>
        <w:t> </w:t>
      </w:r>
      <w:r w:rsidRPr="002A0212">
        <w:rPr>
          <w:lang w:val="en-US"/>
        </w:rPr>
        <w:t xml:space="preserve">000. The implementation of these activities will at the initial stages be covered from savings </w:t>
      </w:r>
      <w:r w:rsidR="00CE06A1">
        <w:rPr>
          <w:lang w:val="en-US"/>
        </w:rPr>
        <w:t xml:space="preserve">to the extent possible </w:t>
      </w:r>
      <w:r w:rsidRPr="002A0212">
        <w:rPr>
          <w:lang w:val="en-US"/>
        </w:rPr>
        <w:t>within the allocated budget; however, in the event that the Bureau is not able to accommodate these activities within its current allocation, other funding sources may be envisaged. The Council will be requested to identify alternative sources of funding to address these demands resulting from these new resolutions</w:t>
      </w:r>
      <w:r w:rsidR="00CE06A1">
        <w:rPr>
          <w:lang w:val="en-US"/>
        </w:rPr>
        <w:t xml:space="preserve">, revisions to </w:t>
      </w:r>
      <w:r w:rsidR="00B075B6">
        <w:rPr>
          <w:lang w:val="en-US"/>
        </w:rPr>
        <w:t xml:space="preserve">Resolution 235 and </w:t>
      </w:r>
      <w:r w:rsidRPr="002A0212">
        <w:rPr>
          <w:lang w:val="en-US"/>
        </w:rPr>
        <w:t>RR Nos.</w:t>
      </w:r>
      <w:r w:rsidR="00B96CC3" w:rsidRPr="002A0212">
        <w:rPr>
          <w:lang w:val="en-US"/>
        </w:rPr>
        <w:t> </w:t>
      </w:r>
      <w:r w:rsidRPr="002A0212">
        <w:rPr>
          <w:b/>
          <w:bCs/>
          <w:lang w:val="en-US"/>
        </w:rPr>
        <w:t>9.36</w:t>
      </w:r>
      <w:r w:rsidR="00B96CC3" w:rsidRPr="002A0212">
        <w:rPr>
          <w:lang w:val="en-US"/>
        </w:rPr>
        <w:t>,</w:t>
      </w:r>
      <w:r w:rsidRPr="002A0212">
        <w:rPr>
          <w:lang w:val="en-US"/>
        </w:rPr>
        <w:t xml:space="preserve"> </w:t>
      </w:r>
      <w:r w:rsidRPr="002A0212">
        <w:rPr>
          <w:b/>
          <w:bCs/>
          <w:lang w:val="en-US"/>
        </w:rPr>
        <w:t>9.53A</w:t>
      </w:r>
      <w:r w:rsidRPr="002A0212">
        <w:rPr>
          <w:lang w:val="en-US"/>
        </w:rPr>
        <w:t>, Appendices</w:t>
      </w:r>
      <w:r w:rsidR="00B96CC3" w:rsidRPr="002A0212">
        <w:rPr>
          <w:lang w:val="en-US"/>
        </w:rPr>
        <w:t> </w:t>
      </w:r>
      <w:r w:rsidRPr="002A0212">
        <w:rPr>
          <w:b/>
          <w:bCs/>
          <w:lang w:val="en-US"/>
        </w:rPr>
        <w:t>30</w:t>
      </w:r>
      <w:r w:rsidR="00B96CC3" w:rsidRPr="002A0212">
        <w:rPr>
          <w:lang w:val="en-US"/>
        </w:rPr>
        <w:t>,</w:t>
      </w:r>
      <w:r w:rsidRPr="002A0212">
        <w:rPr>
          <w:b/>
          <w:bCs/>
          <w:lang w:val="en-US"/>
        </w:rPr>
        <w:t xml:space="preserve"> 30A</w:t>
      </w:r>
      <w:r w:rsidRPr="002A0212">
        <w:rPr>
          <w:lang w:val="en-US"/>
        </w:rPr>
        <w:t xml:space="preserve"> and </w:t>
      </w:r>
      <w:r w:rsidRPr="002A0212">
        <w:rPr>
          <w:b/>
          <w:bCs/>
          <w:lang w:val="en-US"/>
        </w:rPr>
        <w:t>30B</w:t>
      </w:r>
      <w:r w:rsidR="00F02D92" w:rsidRPr="00F02D92">
        <w:rPr>
          <w:lang w:val="en-US"/>
        </w:rPr>
        <w:t>.</w:t>
      </w:r>
    </w:p>
    <w:p w14:paraId="0B0F0554" w14:textId="77777777" w:rsidR="009E59FA" w:rsidRPr="002A0212" w:rsidRDefault="00287DB9" w:rsidP="009F7DC3">
      <w:pPr>
        <w:rPr>
          <w:lang w:val="en-US"/>
        </w:rPr>
      </w:pPr>
      <w:r w:rsidRPr="002A0212">
        <w:rPr>
          <w:lang w:val="en-US"/>
        </w:rPr>
        <w:t>8</w:t>
      </w:r>
      <w:r w:rsidR="00067E38" w:rsidRPr="002A0212">
        <w:rPr>
          <w:lang w:val="en-US"/>
        </w:rPr>
        <w:t>.2</w:t>
      </w:r>
      <w:r w:rsidR="009E59FA" w:rsidRPr="002A0212">
        <w:rPr>
          <w:lang w:val="en-US"/>
        </w:rPr>
        <w:tab/>
        <w:t xml:space="preserve">The Conference is requested to consider and approve this report which will thereafter be forwarded to the Secretary-General, including but not limited to comments and minutes of the </w:t>
      </w:r>
      <w:proofErr w:type="gramStart"/>
      <w:r w:rsidR="009E59FA" w:rsidRPr="002A0212">
        <w:rPr>
          <w:lang w:val="en-US"/>
        </w:rPr>
        <w:t>Plenary</w:t>
      </w:r>
      <w:proofErr w:type="gramEnd"/>
      <w:r w:rsidR="009E59FA" w:rsidRPr="002A0212">
        <w:rPr>
          <w:lang w:val="en-US"/>
        </w:rPr>
        <w:t xml:space="preserve"> meeting</w:t>
      </w:r>
      <w:r w:rsidR="00891B0A" w:rsidRPr="002A0212">
        <w:rPr>
          <w:lang w:val="en-US"/>
        </w:rPr>
        <w:t>,</w:t>
      </w:r>
      <w:r w:rsidR="009E59FA" w:rsidRPr="002A0212">
        <w:rPr>
          <w:lang w:val="en-US"/>
        </w:rPr>
        <w:t xml:space="preserve"> if and when required, and for submission to Council at its forthcoming session of 20</w:t>
      </w:r>
      <w:r w:rsidR="009F7DC3" w:rsidRPr="002A0212">
        <w:rPr>
          <w:lang w:val="en-US"/>
        </w:rPr>
        <w:t>20</w:t>
      </w:r>
      <w:r w:rsidR="009E59FA" w:rsidRPr="002A0212">
        <w:rPr>
          <w:lang w:val="en-US"/>
        </w:rPr>
        <w:t>.</w:t>
      </w:r>
    </w:p>
    <w:p w14:paraId="5A4C2CE6" w14:textId="77777777" w:rsidR="00424085" w:rsidRPr="002A0212" w:rsidRDefault="004523FC" w:rsidP="00424085">
      <w:pPr>
        <w:rPr>
          <w:lang w:val="en-US"/>
        </w:rPr>
      </w:pPr>
      <w:r w:rsidRPr="002A0212">
        <w:rPr>
          <w:lang w:val="en-US"/>
        </w:rPr>
        <w:t>8</w:t>
      </w:r>
      <w:r w:rsidR="00424085" w:rsidRPr="002A0212">
        <w:rPr>
          <w:lang w:val="en-US"/>
        </w:rPr>
        <w:t>.</w:t>
      </w:r>
      <w:r w:rsidR="004A221C" w:rsidRPr="002A0212">
        <w:rPr>
          <w:lang w:val="en-US"/>
        </w:rPr>
        <w:t>3</w:t>
      </w:r>
      <w:r w:rsidR="00C2236B" w:rsidRPr="002A0212">
        <w:rPr>
          <w:lang w:val="en-US"/>
        </w:rPr>
        <w:tab/>
      </w:r>
      <w:r w:rsidR="00424085" w:rsidRPr="002A0212">
        <w:rPr>
          <w:lang w:val="en-US"/>
        </w:rPr>
        <w:t>The Committee expressed their appreciation to the Secretary-General, the Director of the Radiocommunication Bureau and to the staff of the Secretariat for their support and excellent preparatory work for Committee 3.</w:t>
      </w:r>
    </w:p>
    <w:p w14:paraId="3763550A" w14:textId="77777777" w:rsidR="002310E5" w:rsidRPr="002A0212" w:rsidRDefault="002310E5" w:rsidP="002310E5">
      <w:pPr>
        <w:jc w:val="center"/>
        <w:rPr>
          <w:lang w:val="en-US"/>
        </w:rPr>
        <w:sectPr w:rsidR="002310E5" w:rsidRPr="002A0212" w:rsidSect="00680B78">
          <w:pgSz w:w="11907" w:h="16840" w:code="9"/>
          <w:pgMar w:top="993" w:right="1134" w:bottom="1418" w:left="1134" w:header="720" w:footer="720" w:gutter="0"/>
          <w:paperSrc w:first="15" w:other="15"/>
          <w:pgNumType w:start="1"/>
          <w:cols w:space="720"/>
          <w:titlePg/>
          <w:docGrid w:linePitch="326"/>
        </w:sectPr>
      </w:pPr>
    </w:p>
    <w:p w14:paraId="78C2202B" w14:textId="77777777" w:rsidR="002310E5" w:rsidRPr="002A0212" w:rsidRDefault="002310E5" w:rsidP="00891B0A">
      <w:pPr>
        <w:pStyle w:val="AnnexNo"/>
        <w:rPr>
          <w:lang w:val="en-US"/>
        </w:rPr>
      </w:pPr>
      <w:r w:rsidRPr="002A0212">
        <w:rPr>
          <w:lang w:val="en-US"/>
        </w:rPr>
        <w:lastRenderedPageBreak/>
        <w:t>ANNEX</w:t>
      </w:r>
    </w:p>
    <w:p w14:paraId="4A591306" w14:textId="77777777" w:rsidR="00891B0A" w:rsidRPr="002A0212" w:rsidRDefault="00891B0A" w:rsidP="00891B0A">
      <w:pPr>
        <w:rPr>
          <w:lang w:val="en-US"/>
        </w:rPr>
      </w:pPr>
    </w:p>
    <w:p w14:paraId="563B9B54" w14:textId="77777777" w:rsidR="002310E5" w:rsidRPr="002A0212" w:rsidRDefault="002310E5" w:rsidP="002310E5">
      <w:pPr>
        <w:rPr>
          <w:lang w:val="en-US"/>
        </w:rPr>
      </w:pPr>
      <w:r w:rsidRPr="002A0212">
        <w:rPr>
          <w:noProof/>
          <w:lang w:eastAsia="zh-CN"/>
        </w:rPr>
        <w:drawing>
          <wp:inline distT="0" distB="0" distL="0" distR="0" wp14:anchorId="2D527B3C" wp14:editId="504E66A4">
            <wp:extent cx="8559800" cy="429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59800" cy="4292600"/>
                    </a:xfrm>
                    <a:prstGeom prst="rect">
                      <a:avLst/>
                    </a:prstGeom>
                    <a:noFill/>
                    <a:ln>
                      <a:noFill/>
                    </a:ln>
                  </pic:spPr>
                </pic:pic>
              </a:graphicData>
            </a:graphic>
          </wp:inline>
        </w:drawing>
      </w:r>
    </w:p>
    <w:p w14:paraId="47C2D0AA" w14:textId="77777777" w:rsidR="002310E5" w:rsidRPr="002A0212" w:rsidRDefault="002310E5" w:rsidP="002310E5">
      <w:pPr>
        <w:rPr>
          <w:lang w:val="en-US"/>
        </w:rPr>
      </w:pPr>
    </w:p>
    <w:p w14:paraId="17CBD9DC" w14:textId="77777777" w:rsidR="005A6590" w:rsidRPr="002A0212" w:rsidRDefault="005A6590" w:rsidP="005A6590">
      <w:pPr>
        <w:jc w:val="center"/>
        <w:rPr>
          <w:lang w:val="en-US"/>
        </w:rPr>
      </w:pPr>
      <w:r w:rsidRPr="002A0212">
        <w:rPr>
          <w:lang w:val="en-US"/>
        </w:rPr>
        <w:t>___________</w:t>
      </w:r>
      <w:r w:rsidR="00891B0A" w:rsidRPr="002A0212">
        <w:rPr>
          <w:lang w:val="en-US"/>
        </w:rPr>
        <w:t>___</w:t>
      </w:r>
    </w:p>
    <w:sectPr w:rsidR="005A6590" w:rsidRPr="002A0212" w:rsidSect="002310E5">
      <w:headerReference w:type="first" r:id="rId20"/>
      <w:pgSz w:w="16840" w:h="11907" w:orient="landscape" w:code="9"/>
      <w:pgMar w:top="1134" w:right="1418" w:bottom="1134" w:left="1418"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6B4DC" w14:textId="77777777" w:rsidR="00B17564" w:rsidRDefault="00B17564">
      <w:r>
        <w:separator/>
      </w:r>
    </w:p>
  </w:endnote>
  <w:endnote w:type="continuationSeparator" w:id="0">
    <w:p w14:paraId="6548179C" w14:textId="77777777" w:rsidR="00B17564" w:rsidRDefault="00B1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raditional Arabic">
    <w:altName w:val="Times New Roman"/>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36CA0" w14:textId="77777777" w:rsidR="00E45D05" w:rsidRDefault="00E45D05">
    <w:pPr>
      <w:framePr w:wrap="around" w:vAnchor="text" w:hAnchor="margin" w:xAlign="right" w:y="1"/>
    </w:pPr>
    <w:r>
      <w:fldChar w:fldCharType="begin"/>
    </w:r>
    <w:r>
      <w:instrText xml:space="preserve">PAGE  </w:instrText>
    </w:r>
    <w:r>
      <w:fldChar w:fldCharType="end"/>
    </w:r>
  </w:p>
  <w:p w14:paraId="02AB0301" w14:textId="4963844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7A436E">
      <w:rPr>
        <w:noProof/>
        <w:lang w:val="en-US"/>
      </w:rPr>
      <w:t>N:\CWFHR\2020\ELEVENTH MEETING\11 5 Outcome WRC-19.docx</w:t>
    </w:r>
    <w:r>
      <w:fldChar w:fldCharType="end"/>
    </w:r>
    <w:r w:rsidRPr="0041348E">
      <w:rPr>
        <w:lang w:val="en-US"/>
      </w:rPr>
      <w:tab/>
    </w:r>
    <w:r>
      <w:fldChar w:fldCharType="begin"/>
    </w:r>
    <w:r>
      <w:instrText xml:space="preserve"> SAVEDATE \@ DD.MM.YY </w:instrText>
    </w:r>
    <w:r>
      <w:fldChar w:fldCharType="separate"/>
    </w:r>
    <w:r w:rsidR="00C13735">
      <w:rPr>
        <w:noProof/>
      </w:rPr>
      <w:t>13.12.19</w:t>
    </w:r>
    <w:r>
      <w:fldChar w:fldCharType="end"/>
    </w:r>
    <w:r w:rsidRPr="0041348E">
      <w:rPr>
        <w:lang w:val="en-US"/>
      </w:rPr>
      <w:tab/>
    </w:r>
    <w:r>
      <w:fldChar w:fldCharType="begin"/>
    </w:r>
    <w:r>
      <w:instrText xml:space="preserve"> PRINTDATE \@ DD.MM.YY </w:instrText>
    </w:r>
    <w:r>
      <w:fldChar w:fldCharType="separate"/>
    </w:r>
    <w:r w:rsidR="007A436E">
      <w:rPr>
        <w:noProof/>
      </w:rPr>
      <w:t>19.11.19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4841B" w14:textId="77777777" w:rsidR="00B17564" w:rsidRDefault="00B17564">
      <w:r>
        <w:rPr>
          <w:b/>
        </w:rPr>
        <w:t>_______________</w:t>
      </w:r>
    </w:p>
  </w:footnote>
  <w:footnote w:type="continuationSeparator" w:id="0">
    <w:p w14:paraId="5CF46E33" w14:textId="77777777" w:rsidR="00B17564" w:rsidRDefault="00B17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9CB44" w14:textId="77777777" w:rsidR="00E45D05" w:rsidRDefault="00A066F1" w:rsidP="00187BD9">
    <w:pPr>
      <w:pStyle w:val="Header"/>
    </w:pPr>
    <w:r>
      <w:fldChar w:fldCharType="begin"/>
    </w:r>
    <w:r>
      <w:instrText xml:space="preserve"> PAGE  \* MERGEFORMAT </w:instrText>
    </w:r>
    <w:r>
      <w:fldChar w:fldCharType="separate"/>
    </w:r>
    <w:r w:rsidR="00C13735">
      <w:rPr>
        <w:noProof/>
      </w:rPr>
      <w:t>5</w:t>
    </w:r>
    <w:r>
      <w:fldChar w:fldCharType="end"/>
    </w:r>
  </w:p>
  <w:p w14:paraId="69C7C711" w14:textId="77777777" w:rsidR="00A907B8" w:rsidRPr="00A066F1" w:rsidRDefault="00A907B8" w:rsidP="00A907B8">
    <w:pPr>
      <w:pStyle w:val="Header"/>
    </w:pPr>
    <w:r>
      <w:t>CMR19/337</w:t>
    </w:r>
    <w:r w:rsidR="005D1FF6">
      <w:t>(Rev.1)</w:t>
    </w:r>
    <w:r>
      <w:t>-</w:t>
    </w:r>
    <w:r w:rsidRPr="004A26C4">
      <w:t>E</w:t>
    </w:r>
  </w:p>
  <w:p w14:paraId="302CCF70" w14:textId="77777777" w:rsidR="00A066F1" w:rsidRPr="00A066F1" w:rsidRDefault="00A066F1" w:rsidP="00374C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454FD" w14:textId="77777777" w:rsidR="00CF32E8" w:rsidRDefault="00C26C09" w:rsidP="00CF32E8">
    <w:pPr>
      <w:pStyle w:val="Header"/>
    </w:pPr>
    <w:r>
      <w:t>5</w:t>
    </w:r>
  </w:p>
  <w:p w14:paraId="299D47D3" w14:textId="77777777" w:rsidR="00CF32E8" w:rsidRDefault="00CF32E8" w:rsidP="00CF32E8">
    <w:pPr>
      <w:pStyle w:val="Header"/>
    </w:pPr>
    <w:r>
      <w:t>CMR19/337(Rev.1)-</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6DF12DC"/>
    <w:multiLevelType w:val="multilevel"/>
    <w:tmpl w:val="0E2AA1FC"/>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8DA0A35"/>
    <w:multiLevelType w:val="hybridMultilevel"/>
    <w:tmpl w:val="93A0101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EE5D85"/>
    <w:multiLevelType w:val="multilevel"/>
    <w:tmpl w:val="F9105DA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5" w15:restartNumberingAfterBreak="0">
    <w:nsid w:val="5605548D"/>
    <w:multiLevelType w:val="hybridMultilevel"/>
    <w:tmpl w:val="A660203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B75220"/>
    <w:multiLevelType w:val="hybridMultilevel"/>
    <w:tmpl w:val="11E84CB6"/>
    <w:lvl w:ilvl="0" w:tplc="0809000F">
      <w:start w:val="1"/>
      <w:numFmt w:val="decimal"/>
      <w:lvlText w:val="%1."/>
      <w:lvlJc w:val="left"/>
      <w:pPr>
        <w:ind w:left="1080" w:hanging="360"/>
      </w:pPr>
      <w:rPr>
        <w:rFonts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7167BB"/>
    <w:multiLevelType w:val="multilevel"/>
    <w:tmpl w:val="6D828640"/>
    <w:lvl w:ilvl="0">
      <w:start w:val="1"/>
      <w:numFmt w:val="decimal"/>
      <w:lvlText w:val="%1."/>
      <w:lvlJc w:val="left"/>
      <w:pPr>
        <w:tabs>
          <w:tab w:val="num" w:pos="720"/>
        </w:tabs>
        <w:ind w:left="720" w:hanging="720"/>
      </w:pPr>
      <w:rPr>
        <w:rFonts w:ascii="Times New Roman" w:hAnsi="Times New Roman" w:cs="Times New Roman"/>
        <w:b w:val="0"/>
        <w:i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0"/>
        </w:tabs>
        <w:ind w:left="0" w:firstLine="0"/>
      </w:pPr>
      <w:rPr>
        <w:rFonts w:ascii="Times New Roman" w:hAnsi="Times New Roman" w:cs="Times New Roman"/>
        <w:b w:val="0"/>
        <w:sz w:val="22"/>
      </w:rPr>
    </w:lvl>
  </w:abstractNum>
  <w:abstractNum w:abstractNumId="8" w15:restartNumberingAfterBreak="0">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 w:numId="4">
    <w:abstractNumId w:val="4"/>
  </w:num>
  <w:num w:numId="5">
    <w:abstractNumId w:val="8"/>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04AEE"/>
    <w:rsid w:val="00016A3E"/>
    <w:rsid w:val="00022A29"/>
    <w:rsid w:val="00031BF2"/>
    <w:rsid w:val="00032F6E"/>
    <w:rsid w:val="000355FD"/>
    <w:rsid w:val="00051E39"/>
    <w:rsid w:val="00056DC8"/>
    <w:rsid w:val="000618C8"/>
    <w:rsid w:val="00067E38"/>
    <w:rsid w:val="000705F2"/>
    <w:rsid w:val="00077239"/>
    <w:rsid w:val="0007795D"/>
    <w:rsid w:val="00086491"/>
    <w:rsid w:val="00087B42"/>
    <w:rsid w:val="00091346"/>
    <w:rsid w:val="000913F7"/>
    <w:rsid w:val="0009706C"/>
    <w:rsid w:val="000A407C"/>
    <w:rsid w:val="000D154B"/>
    <w:rsid w:val="000D2DAF"/>
    <w:rsid w:val="000D326F"/>
    <w:rsid w:val="000E463E"/>
    <w:rsid w:val="000F73FF"/>
    <w:rsid w:val="00100719"/>
    <w:rsid w:val="00104339"/>
    <w:rsid w:val="0010591E"/>
    <w:rsid w:val="0010706E"/>
    <w:rsid w:val="00114CF7"/>
    <w:rsid w:val="00116C7A"/>
    <w:rsid w:val="001227B0"/>
    <w:rsid w:val="00123B68"/>
    <w:rsid w:val="00126F2E"/>
    <w:rsid w:val="00131490"/>
    <w:rsid w:val="00146F6F"/>
    <w:rsid w:val="00180340"/>
    <w:rsid w:val="00187183"/>
    <w:rsid w:val="00187BD9"/>
    <w:rsid w:val="00190B55"/>
    <w:rsid w:val="00194FD7"/>
    <w:rsid w:val="001C3B5F"/>
    <w:rsid w:val="001D058F"/>
    <w:rsid w:val="002009EA"/>
    <w:rsid w:val="00202756"/>
    <w:rsid w:val="00202CA0"/>
    <w:rsid w:val="002045F4"/>
    <w:rsid w:val="00204B12"/>
    <w:rsid w:val="00216B6D"/>
    <w:rsid w:val="0022333D"/>
    <w:rsid w:val="002310E5"/>
    <w:rsid w:val="002349E7"/>
    <w:rsid w:val="00241FA2"/>
    <w:rsid w:val="00246BE8"/>
    <w:rsid w:val="00254D28"/>
    <w:rsid w:val="00271316"/>
    <w:rsid w:val="00287DB9"/>
    <w:rsid w:val="002A0212"/>
    <w:rsid w:val="002A6E21"/>
    <w:rsid w:val="002B349C"/>
    <w:rsid w:val="002D58BE"/>
    <w:rsid w:val="003010E5"/>
    <w:rsid w:val="00361B37"/>
    <w:rsid w:val="00374C38"/>
    <w:rsid w:val="00377BD3"/>
    <w:rsid w:val="00384088"/>
    <w:rsid w:val="00384B80"/>
    <w:rsid w:val="003852CE"/>
    <w:rsid w:val="0039169B"/>
    <w:rsid w:val="00391C3E"/>
    <w:rsid w:val="003A5263"/>
    <w:rsid w:val="003A791C"/>
    <w:rsid w:val="003A7F8C"/>
    <w:rsid w:val="003B2284"/>
    <w:rsid w:val="003B532E"/>
    <w:rsid w:val="003C0955"/>
    <w:rsid w:val="003C630B"/>
    <w:rsid w:val="003D0F8B"/>
    <w:rsid w:val="003E0DB6"/>
    <w:rsid w:val="003E2B1E"/>
    <w:rsid w:val="0041348E"/>
    <w:rsid w:val="00420873"/>
    <w:rsid w:val="00424085"/>
    <w:rsid w:val="004523FC"/>
    <w:rsid w:val="00463396"/>
    <w:rsid w:val="00491EBB"/>
    <w:rsid w:val="00492075"/>
    <w:rsid w:val="004969AD"/>
    <w:rsid w:val="004A221C"/>
    <w:rsid w:val="004A26C4"/>
    <w:rsid w:val="004B09FD"/>
    <w:rsid w:val="004B13CB"/>
    <w:rsid w:val="004B42BF"/>
    <w:rsid w:val="004B46F6"/>
    <w:rsid w:val="004D26EA"/>
    <w:rsid w:val="004D2BFB"/>
    <w:rsid w:val="004D5D5C"/>
    <w:rsid w:val="004E2E1A"/>
    <w:rsid w:val="004F3DC0"/>
    <w:rsid w:val="0050139F"/>
    <w:rsid w:val="00501830"/>
    <w:rsid w:val="0050616B"/>
    <w:rsid w:val="00543637"/>
    <w:rsid w:val="0055140B"/>
    <w:rsid w:val="005964AB"/>
    <w:rsid w:val="005A6590"/>
    <w:rsid w:val="005B34DB"/>
    <w:rsid w:val="005C099A"/>
    <w:rsid w:val="005C31A5"/>
    <w:rsid w:val="005D1FF6"/>
    <w:rsid w:val="005E10C9"/>
    <w:rsid w:val="005E290B"/>
    <w:rsid w:val="005E61DD"/>
    <w:rsid w:val="005F04D8"/>
    <w:rsid w:val="006023DF"/>
    <w:rsid w:val="006055AB"/>
    <w:rsid w:val="00615426"/>
    <w:rsid w:val="00616219"/>
    <w:rsid w:val="00622B5B"/>
    <w:rsid w:val="00640B84"/>
    <w:rsid w:val="006457F8"/>
    <w:rsid w:val="00645B7D"/>
    <w:rsid w:val="00657DE0"/>
    <w:rsid w:val="00680B78"/>
    <w:rsid w:val="00685313"/>
    <w:rsid w:val="006854F1"/>
    <w:rsid w:val="00686886"/>
    <w:rsid w:val="00692833"/>
    <w:rsid w:val="006A6E9B"/>
    <w:rsid w:val="006A6F02"/>
    <w:rsid w:val="006B213B"/>
    <w:rsid w:val="006B3A56"/>
    <w:rsid w:val="006B7C2A"/>
    <w:rsid w:val="006C23DA"/>
    <w:rsid w:val="006C7EBF"/>
    <w:rsid w:val="006E3D45"/>
    <w:rsid w:val="006E549A"/>
    <w:rsid w:val="0070607A"/>
    <w:rsid w:val="007149F9"/>
    <w:rsid w:val="00733A30"/>
    <w:rsid w:val="00745AEE"/>
    <w:rsid w:val="00747DFD"/>
    <w:rsid w:val="00750F10"/>
    <w:rsid w:val="00767C48"/>
    <w:rsid w:val="007742CA"/>
    <w:rsid w:val="00790D70"/>
    <w:rsid w:val="007A436E"/>
    <w:rsid w:val="007A6F1F"/>
    <w:rsid w:val="007D5320"/>
    <w:rsid w:val="007E0519"/>
    <w:rsid w:val="00800972"/>
    <w:rsid w:val="00804475"/>
    <w:rsid w:val="008052F1"/>
    <w:rsid w:val="00806B66"/>
    <w:rsid w:val="00811633"/>
    <w:rsid w:val="00814037"/>
    <w:rsid w:val="008178AF"/>
    <w:rsid w:val="00841216"/>
    <w:rsid w:val="00842AF0"/>
    <w:rsid w:val="0086171E"/>
    <w:rsid w:val="00871D11"/>
    <w:rsid w:val="00872ED7"/>
    <w:rsid w:val="00872FC8"/>
    <w:rsid w:val="008845D0"/>
    <w:rsid w:val="00884D60"/>
    <w:rsid w:val="00891B0A"/>
    <w:rsid w:val="008B43F2"/>
    <w:rsid w:val="008B5EEB"/>
    <w:rsid w:val="008B6CFF"/>
    <w:rsid w:val="008E008A"/>
    <w:rsid w:val="008F40E5"/>
    <w:rsid w:val="009256C6"/>
    <w:rsid w:val="00925870"/>
    <w:rsid w:val="00925F56"/>
    <w:rsid w:val="009274B4"/>
    <w:rsid w:val="00934EA2"/>
    <w:rsid w:val="00944A5C"/>
    <w:rsid w:val="00952A66"/>
    <w:rsid w:val="009931DC"/>
    <w:rsid w:val="00997786"/>
    <w:rsid w:val="009A3FDB"/>
    <w:rsid w:val="009B029F"/>
    <w:rsid w:val="009B061C"/>
    <w:rsid w:val="009B404E"/>
    <w:rsid w:val="009B52D6"/>
    <w:rsid w:val="009B7C9A"/>
    <w:rsid w:val="009C56E5"/>
    <w:rsid w:val="009C658A"/>
    <w:rsid w:val="009C7716"/>
    <w:rsid w:val="009E59FA"/>
    <w:rsid w:val="009E5FC8"/>
    <w:rsid w:val="009E61CB"/>
    <w:rsid w:val="009E687A"/>
    <w:rsid w:val="009F236F"/>
    <w:rsid w:val="009F7DC3"/>
    <w:rsid w:val="00A066F1"/>
    <w:rsid w:val="00A12AFD"/>
    <w:rsid w:val="00A141AF"/>
    <w:rsid w:val="00A16D29"/>
    <w:rsid w:val="00A22154"/>
    <w:rsid w:val="00A251D1"/>
    <w:rsid w:val="00A30305"/>
    <w:rsid w:val="00A31D2D"/>
    <w:rsid w:val="00A424FF"/>
    <w:rsid w:val="00A4600A"/>
    <w:rsid w:val="00A538A6"/>
    <w:rsid w:val="00A54C25"/>
    <w:rsid w:val="00A710E7"/>
    <w:rsid w:val="00A7372E"/>
    <w:rsid w:val="00A82FCA"/>
    <w:rsid w:val="00A845DF"/>
    <w:rsid w:val="00A907B8"/>
    <w:rsid w:val="00A90FE7"/>
    <w:rsid w:val="00A93B85"/>
    <w:rsid w:val="00A93BEC"/>
    <w:rsid w:val="00AA0B18"/>
    <w:rsid w:val="00AA3C65"/>
    <w:rsid w:val="00AA5E4F"/>
    <w:rsid w:val="00AA666F"/>
    <w:rsid w:val="00AB2811"/>
    <w:rsid w:val="00AC359C"/>
    <w:rsid w:val="00AD7914"/>
    <w:rsid w:val="00B075B6"/>
    <w:rsid w:val="00B17564"/>
    <w:rsid w:val="00B24A43"/>
    <w:rsid w:val="00B40888"/>
    <w:rsid w:val="00B43821"/>
    <w:rsid w:val="00B55422"/>
    <w:rsid w:val="00B639E9"/>
    <w:rsid w:val="00B73BCF"/>
    <w:rsid w:val="00B76058"/>
    <w:rsid w:val="00B817CD"/>
    <w:rsid w:val="00B81A7D"/>
    <w:rsid w:val="00B94AD0"/>
    <w:rsid w:val="00B96CC3"/>
    <w:rsid w:val="00BB3A95"/>
    <w:rsid w:val="00BD6CCE"/>
    <w:rsid w:val="00C0018F"/>
    <w:rsid w:val="00C01A83"/>
    <w:rsid w:val="00C13735"/>
    <w:rsid w:val="00C16A5A"/>
    <w:rsid w:val="00C20466"/>
    <w:rsid w:val="00C214ED"/>
    <w:rsid w:val="00C2236B"/>
    <w:rsid w:val="00C234E6"/>
    <w:rsid w:val="00C26C09"/>
    <w:rsid w:val="00C3069F"/>
    <w:rsid w:val="00C324A8"/>
    <w:rsid w:val="00C35514"/>
    <w:rsid w:val="00C44EB5"/>
    <w:rsid w:val="00C50127"/>
    <w:rsid w:val="00C54517"/>
    <w:rsid w:val="00C55B2A"/>
    <w:rsid w:val="00C56F70"/>
    <w:rsid w:val="00C57B91"/>
    <w:rsid w:val="00C64CD8"/>
    <w:rsid w:val="00C72991"/>
    <w:rsid w:val="00C806D1"/>
    <w:rsid w:val="00C82695"/>
    <w:rsid w:val="00C82901"/>
    <w:rsid w:val="00C84D02"/>
    <w:rsid w:val="00C97C68"/>
    <w:rsid w:val="00CA1A47"/>
    <w:rsid w:val="00CA28D1"/>
    <w:rsid w:val="00CA3660"/>
    <w:rsid w:val="00CA3DFC"/>
    <w:rsid w:val="00CB44E5"/>
    <w:rsid w:val="00CB4A93"/>
    <w:rsid w:val="00CC247A"/>
    <w:rsid w:val="00CD5110"/>
    <w:rsid w:val="00CE06A1"/>
    <w:rsid w:val="00CE388F"/>
    <w:rsid w:val="00CE5E47"/>
    <w:rsid w:val="00CF020F"/>
    <w:rsid w:val="00CF02FA"/>
    <w:rsid w:val="00CF1BF1"/>
    <w:rsid w:val="00CF2B5B"/>
    <w:rsid w:val="00CF32E8"/>
    <w:rsid w:val="00CF688A"/>
    <w:rsid w:val="00D14CE0"/>
    <w:rsid w:val="00D268B3"/>
    <w:rsid w:val="00D43E17"/>
    <w:rsid w:val="00D47683"/>
    <w:rsid w:val="00D52FD6"/>
    <w:rsid w:val="00D54009"/>
    <w:rsid w:val="00D5651D"/>
    <w:rsid w:val="00D56FE3"/>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56F8F"/>
    <w:rsid w:val="00E63E1D"/>
    <w:rsid w:val="00E976C1"/>
    <w:rsid w:val="00EA12E5"/>
    <w:rsid w:val="00EB55C6"/>
    <w:rsid w:val="00EC0691"/>
    <w:rsid w:val="00EF1932"/>
    <w:rsid w:val="00EF71B6"/>
    <w:rsid w:val="00F02766"/>
    <w:rsid w:val="00F02D92"/>
    <w:rsid w:val="00F05BD4"/>
    <w:rsid w:val="00F06473"/>
    <w:rsid w:val="00F6155B"/>
    <w:rsid w:val="00F65C19"/>
    <w:rsid w:val="00F66ACD"/>
    <w:rsid w:val="00F8436B"/>
    <w:rsid w:val="00F84BD9"/>
    <w:rsid w:val="00F94339"/>
    <w:rsid w:val="00FC7077"/>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3AF9D1"/>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Appel note de bas de p1,Appel note de bas de p2"/>
    <w:basedOn w:val="DefaultParagraphFont"/>
    <w:uiPriority w:val="99"/>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745AEE"/>
    <w:rPr>
      <w:rFonts w:ascii="Times New Roman" w:hAnsi="Times New Roman"/>
      <w:sz w:val="24"/>
      <w:lang w:val="en-GB" w:eastAsia="en-US"/>
    </w:rPr>
  </w:style>
  <w:style w:type="paragraph" w:styleId="Header">
    <w:name w:val="header"/>
    <w:aliases w:val="encabezado,header odd,header odd1,header odd2,header,he,h,Header/Footer,Page No"/>
    <w:basedOn w:val="Normal"/>
    <w:link w:val="HeaderChar"/>
    <w:uiPriority w:val="99"/>
    <w:rsid w:val="00745AEE"/>
    <w:pPr>
      <w:spacing w:before="0"/>
      <w:jc w:val="center"/>
    </w:pPr>
    <w:rPr>
      <w:sz w:val="18"/>
    </w:rPr>
  </w:style>
  <w:style w:type="character" w:customStyle="1" w:styleId="HeaderChar">
    <w:name w:val="Header Char"/>
    <w:aliases w:val="encabezado Char,header odd Char,header odd1 Char,header odd2 Char,header Char,he Char,h Char,Header/Footer Char,Page No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2Para">
    <w:name w:val="2Para"/>
    <w:basedOn w:val="Normal"/>
    <w:link w:val="2ParaChar"/>
    <w:rsid w:val="00CD5110"/>
    <w:pPr>
      <w:numPr>
        <w:ilvl w:val="1"/>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2"/>
    </w:rPr>
  </w:style>
  <w:style w:type="paragraph" w:customStyle="1" w:styleId="3Para">
    <w:name w:val="3Para"/>
    <w:basedOn w:val="Normal"/>
    <w:rsid w:val="00CD5110"/>
    <w:pPr>
      <w:numPr>
        <w:ilvl w:val="2"/>
        <w:numId w:val="4"/>
      </w:numPr>
      <w:tabs>
        <w:tab w:val="clear" w:pos="0"/>
        <w:tab w:val="clear" w:pos="1134"/>
        <w:tab w:val="clear" w:pos="1871"/>
        <w:tab w:val="clear" w:pos="2268"/>
        <w:tab w:val="left" w:pos="1440"/>
      </w:tabs>
      <w:overflowPunct/>
      <w:spacing w:before="260" w:after="260"/>
      <w:jc w:val="both"/>
      <w:textAlignment w:val="auto"/>
    </w:pPr>
    <w:rPr>
      <w:sz w:val="22"/>
      <w:szCs w:val="24"/>
    </w:rPr>
  </w:style>
  <w:style w:type="paragraph" w:customStyle="1" w:styleId="4Para">
    <w:name w:val="4Para"/>
    <w:basedOn w:val="Normal"/>
    <w:rsid w:val="00CD5110"/>
    <w:pPr>
      <w:numPr>
        <w:ilvl w:val="3"/>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5Para">
    <w:name w:val="5Para"/>
    <w:basedOn w:val="Normal"/>
    <w:rsid w:val="00CD5110"/>
    <w:pPr>
      <w:numPr>
        <w:ilvl w:val="4"/>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6Para">
    <w:name w:val="6Para"/>
    <w:basedOn w:val="Normal"/>
    <w:rsid w:val="00CD5110"/>
    <w:pPr>
      <w:numPr>
        <w:ilvl w:val="5"/>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7Para">
    <w:name w:val="7Para"/>
    <w:basedOn w:val="Normal"/>
    <w:rsid w:val="00CD5110"/>
    <w:pPr>
      <w:numPr>
        <w:ilvl w:val="6"/>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8Para">
    <w:name w:val="8Para"/>
    <w:basedOn w:val="Normal"/>
    <w:rsid w:val="00CD5110"/>
    <w:pPr>
      <w:numPr>
        <w:ilvl w:val="7"/>
        <w:numId w:val="4"/>
      </w:numPr>
      <w:tabs>
        <w:tab w:val="clear" w:pos="0"/>
        <w:tab w:val="clear" w:pos="1134"/>
        <w:tab w:val="clear" w:pos="1871"/>
        <w:tab w:val="clear" w:pos="2268"/>
        <w:tab w:val="left" w:pos="1440"/>
      </w:tabs>
      <w:overflowPunct/>
      <w:autoSpaceDE/>
      <w:autoSpaceDN/>
      <w:adjustRightInd/>
      <w:spacing w:before="260" w:after="260"/>
      <w:jc w:val="both"/>
      <w:textAlignment w:val="auto"/>
    </w:pPr>
    <w:rPr>
      <w:sz w:val="22"/>
      <w:szCs w:val="24"/>
    </w:rPr>
  </w:style>
  <w:style w:type="paragraph" w:customStyle="1" w:styleId="Listabc">
    <w:name w:val="List_a_b_c"/>
    <w:basedOn w:val="Normal"/>
    <w:rsid w:val="00CD5110"/>
    <w:pPr>
      <w:tabs>
        <w:tab w:val="clear" w:pos="1134"/>
        <w:tab w:val="clear" w:pos="1871"/>
        <w:tab w:val="clear" w:pos="2268"/>
        <w:tab w:val="num" w:pos="1440"/>
      </w:tabs>
      <w:overflowPunct/>
      <w:spacing w:before="260" w:after="260"/>
      <w:ind w:left="1800" w:hanging="360"/>
      <w:jc w:val="both"/>
      <w:textAlignment w:val="auto"/>
    </w:pPr>
    <w:rPr>
      <w:sz w:val="22"/>
      <w:szCs w:val="24"/>
    </w:rPr>
  </w:style>
  <w:style w:type="paragraph" w:customStyle="1" w:styleId="1Heading">
    <w:name w:val="1Heading"/>
    <w:basedOn w:val="TOC1"/>
    <w:next w:val="2Para"/>
    <w:link w:val="1HeadingChar"/>
    <w:rsid w:val="00CD5110"/>
    <w:pPr>
      <w:keepNext/>
      <w:keepLines w:val="0"/>
      <w:numPr>
        <w:numId w:val="4"/>
      </w:numPr>
      <w:tabs>
        <w:tab w:val="clear" w:pos="567"/>
        <w:tab w:val="clear" w:pos="7938"/>
        <w:tab w:val="clear" w:pos="9526"/>
      </w:tabs>
      <w:overflowPunct/>
      <w:autoSpaceDE/>
      <w:autoSpaceDN/>
      <w:adjustRightInd/>
      <w:spacing w:before="520" w:after="260"/>
      <w:ind w:right="2880"/>
      <w:jc w:val="both"/>
      <w:textAlignment w:val="auto"/>
    </w:pPr>
    <w:rPr>
      <w:b/>
      <w:caps/>
      <w:sz w:val="22"/>
      <w:szCs w:val="22"/>
    </w:rPr>
  </w:style>
  <w:style w:type="character" w:customStyle="1" w:styleId="2ParaChar">
    <w:name w:val="2Para Char"/>
    <w:link w:val="2Para"/>
    <w:rsid w:val="00CD5110"/>
    <w:rPr>
      <w:rFonts w:ascii="Times New Roman" w:hAnsi="Times New Roman"/>
      <w:sz w:val="22"/>
      <w:szCs w:val="22"/>
      <w:lang w:val="en-GB" w:eastAsia="en-US"/>
    </w:rPr>
  </w:style>
  <w:style w:type="table" w:styleId="TableGrid">
    <w:name w:val="Table Grid"/>
    <w:basedOn w:val="TableNormal"/>
    <w:rsid w:val="00CD5110"/>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Main">
    <w:name w:val="TitleMain"/>
    <w:basedOn w:val="Normal"/>
    <w:rsid w:val="00CD5110"/>
    <w:pPr>
      <w:tabs>
        <w:tab w:val="clear" w:pos="1134"/>
        <w:tab w:val="clear" w:pos="1871"/>
        <w:tab w:val="clear" w:pos="2268"/>
      </w:tabs>
      <w:overflowPunct/>
      <w:spacing w:before="0"/>
      <w:ind w:left="1080" w:right="1080"/>
      <w:jc w:val="center"/>
      <w:textAlignment w:val="auto"/>
      <w:outlineLvl w:val="0"/>
    </w:pPr>
    <w:rPr>
      <w:b/>
      <w:sz w:val="22"/>
      <w:szCs w:val="22"/>
    </w:rPr>
  </w:style>
  <w:style w:type="paragraph" w:styleId="ListParagraph">
    <w:name w:val="List Paragraph"/>
    <w:basedOn w:val="Normal"/>
    <w:uiPriority w:val="34"/>
    <w:qFormat/>
    <w:rsid w:val="00CD5110"/>
    <w:pPr>
      <w:tabs>
        <w:tab w:val="clear" w:pos="1134"/>
        <w:tab w:val="clear" w:pos="1871"/>
        <w:tab w:val="clear" w:pos="2268"/>
      </w:tabs>
      <w:overflowPunct/>
      <w:spacing w:before="0"/>
      <w:ind w:left="720"/>
      <w:contextualSpacing/>
      <w:jc w:val="both"/>
      <w:textAlignment w:val="auto"/>
    </w:pPr>
    <w:rPr>
      <w:sz w:val="22"/>
      <w:szCs w:val="24"/>
    </w:rPr>
  </w:style>
  <w:style w:type="character" w:customStyle="1" w:styleId="1HeadingChar">
    <w:name w:val="1Heading Char"/>
    <w:link w:val="1Heading"/>
    <w:rsid w:val="00CD5110"/>
    <w:rPr>
      <w:rFonts w:ascii="Times New Roman" w:hAnsi="Times New Roman"/>
      <w:b/>
      <w:caps/>
      <w:sz w:val="22"/>
      <w:szCs w:val="22"/>
      <w:lang w:val="en-GB" w:eastAsia="en-US"/>
    </w:rPr>
  </w:style>
  <w:style w:type="character" w:styleId="Hyperlink">
    <w:name w:val="Hyperlink"/>
    <w:basedOn w:val="DefaultParagraphFont"/>
    <w:rsid w:val="00CD5110"/>
    <w:rPr>
      <w:color w:val="0000FF"/>
      <w:u w:val="single"/>
    </w:rPr>
  </w:style>
  <w:style w:type="paragraph" w:customStyle="1" w:styleId="PositionBox">
    <w:name w:val="PositionBox"/>
    <w:basedOn w:val="Normal"/>
    <w:next w:val="Normal"/>
    <w:rsid w:val="00CD511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Theme="minorEastAsia"/>
      <w:sz w:val="22"/>
    </w:rPr>
  </w:style>
  <w:style w:type="paragraph" w:styleId="BodyText">
    <w:name w:val="Body Text"/>
    <w:basedOn w:val="Normal"/>
    <w:link w:val="BodyTextChar"/>
    <w:rsid w:val="00CD5110"/>
    <w:pPr>
      <w:tabs>
        <w:tab w:val="clear" w:pos="1134"/>
        <w:tab w:val="clear" w:pos="1871"/>
        <w:tab w:val="clear" w:pos="2268"/>
      </w:tabs>
      <w:overflowPunct/>
      <w:autoSpaceDE/>
      <w:autoSpaceDN/>
      <w:adjustRightInd/>
      <w:jc w:val="both"/>
      <w:textAlignment w:val="auto"/>
    </w:pPr>
    <w:rPr>
      <w:rFonts w:eastAsiaTheme="minorEastAsia"/>
      <w:lang w:val="en-US"/>
    </w:rPr>
  </w:style>
  <w:style w:type="character" w:customStyle="1" w:styleId="BodyTextChar">
    <w:name w:val="Body Text Char"/>
    <w:basedOn w:val="DefaultParagraphFont"/>
    <w:link w:val="BodyText"/>
    <w:rsid w:val="00CD5110"/>
    <w:rPr>
      <w:rFonts w:ascii="Times New Roman" w:eastAsiaTheme="minorEastAsia" w:hAnsi="Times New Roman"/>
      <w:sz w:val="24"/>
      <w:lang w:eastAsia="en-US"/>
    </w:rPr>
  </w:style>
  <w:style w:type="character" w:styleId="CommentReference">
    <w:name w:val="annotation reference"/>
    <w:basedOn w:val="DefaultParagraphFont"/>
    <w:semiHidden/>
    <w:unhideWhenUsed/>
    <w:rsid w:val="00C44EB5"/>
    <w:rPr>
      <w:sz w:val="16"/>
      <w:szCs w:val="16"/>
    </w:rPr>
  </w:style>
  <w:style w:type="paragraph" w:styleId="CommentText">
    <w:name w:val="annotation text"/>
    <w:basedOn w:val="Normal"/>
    <w:link w:val="CommentTextChar"/>
    <w:semiHidden/>
    <w:unhideWhenUsed/>
    <w:rsid w:val="00C44EB5"/>
    <w:rPr>
      <w:sz w:val="20"/>
    </w:rPr>
  </w:style>
  <w:style w:type="character" w:customStyle="1" w:styleId="CommentTextChar">
    <w:name w:val="Comment Text Char"/>
    <w:basedOn w:val="DefaultParagraphFont"/>
    <w:link w:val="CommentText"/>
    <w:semiHidden/>
    <w:rsid w:val="00C44EB5"/>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44EB5"/>
    <w:rPr>
      <w:b/>
      <w:bCs/>
    </w:rPr>
  </w:style>
  <w:style w:type="character" w:customStyle="1" w:styleId="CommentSubjectChar">
    <w:name w:val="Comment Subject Char"/>
    <w:basedOn w:val="CommentTextChar"/>
    <w:link w:val="CommentSubject"/>
    <w:semiHidden/>
    <w:rsid w:val="00C44EB5"/>
    <w:rPr>
      <w:rFonts w:ascii="Times New Roman" w:hAnsi="Times New Roman"/>
      <w:b/>
      <w:bCs/>
      <w:lang w:val="en-GB" w:eastAsia="en-US"/>
    </w:rPr>
  </w:style>
  <w:style w:type="character" w:customStyle="1" w:styleId="RestitleChar">
    <w:name w:val="Res_title Char"/>
    <w:basedOn w:val="DefaultParagraphFont"/>
    <w:link w:val="Restitle"/>
    <w:rsid w:val="0010706E"/>
    <w:rPr>
      <w:rFonts w:ascii="Times New Roman Bold" w:hAnsi="Times New Roman Bold"/>
      <w:b/>
      <w:sz w:val="28"/>
      <w:lang w:val="en-GB" w:eastAsia="en-US"/>
    </w:rPr>
  </w:style>
  <w:style w:type="character" w:styleId="FollowedHyperlink">
    <w:name w:val="FollowedHyperlink"/>
    <w:basedOn w:val="DefaultParagraphFont"/>
    <w:semiHidden/>
    <w:unhideWhenUsed/>
    <w:rsid w:val="009E6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0403">
      <w:bodyDiv w:val="1"/>
      <w:marLeft w:val="0"/>
      <w:marRight w:val="0"/>
      <w:marTop w:val="0"/>
      <w:marBottom w:val="0"/>
      <w:divBdr>
        <w:top w:val="none" w:sz="0" w:space="0" w:color="auto"/>
        <w:left w:val="none" w:sz="0" w:space="0" w:color="auto"/>
        <w:bottom w:val="none" w:sz="0" w:space="0" w:color="auto"/>
        <w:right w:val="none" w:sz="0" w:space="0" w:color="auto"/>
      </w:divBdr>
    </w:div>
    <w:div w:id="558201876">
      <w:bodyDiv w:val="1"/>
      <w:marLeft w:val="0"/>
      <w:marRight w:val="0"/>
      <w:marTop w:val="0"/>
      <w:marBottom w:val="0"/>
      <w:divBdr>
        <w:top w:val="none" w:sz="0" w:space="0" w:color="auto"/>
        <w:left w:val="none" w:sz="0" w:space="0" w:color="auto"/>
        <w:bottom w:val="none" w:sz="0" w:space="0" w:color="auto"/>
        <w:right w:val="none" w:sz="0" w:space="0" w:color="auto"/>
      </w:divBdr>
    </w:div>
    <w:div w:id="722294280">
      <w:bodyDiv w:val="1"/>
      <w:marLeft w:val="0"/>
      <w:marRight w:val="0"/>
      <w:marTop w:val="0"/>
      <w:marBottom w:val="0"/>
      <w:divBdr>
        <w:top w:val="none" w:sz="0" w:space="0" w:color="auto"/>
        <w:left w:val="none" w:sz="0" w:space="0" w:color="auto"/>
        <w:bottom w:val="none" w:sz="0" w:space="0" w:color="auto"/>
        <w:right w:val="none" w:sz="0" w:space="0" w:color="auto"/>
      </w:divBdr>
    </w:div>
    <w:div w:id="1197040345">
      <w:bodyDiv w:val="1"/>
      <w:marLeft w:val="0"/>
      <w:marRight w:val="0"/>
      <w:marTop w:val="0"/>
      <w:marBottom w:val="0"/>
      <w:divBdr>
        <w:top w:val="none" w:sz="0" w:space="0" w:color="auto"/>
        <w:left w:val="none" w:sz="0" w:space="0" w:color="auto"/>
        <w:bottom w:val="none" w:sz="0" w:space="0" w:color="auto"/>
        <w:right w:val="none" w:sz="0" w:space="0" w:color="auto"/>
      </w:divBdr>
    </w:div>
    <w:div w:id="1302148802">
      <w:bodyDiv w:val="1"/>
      <w:marLeft w:val="0"/>
      <w:marRight w:val="0"/>
      <w:marTop w:val="0"/>
      <w:marBottom w:val="0"/>
      <w:divBdr>
        <w:top w:val="none" w:sz="0" w:space="0" w:color="auto"/>
        <w:left w:val="none" w:sz="0" w:space="0" w:color="auto"/>
        <w:bottom w:val="none" w:sz="0" w:space="0" w:color="auto"/>
        <w:right w:val="none" w:sz="0" w:space="0" w:color="auto"/>
      </w:divBdr>
    </w:div>
    <w:div w:id="203530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itu.int/md/R16-WRC19-C-0493/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itu.int/md/R16-WRC19-C-0450/en" TargetMode="External"/><Relationship Id="rId2" Type="http://schemas.openxmlformats.org/officeDocument/2006/relationships/customXml" Target="../customXml/item2.xml"/><Relationship Id="rId16" Type="http://schemas.openxmlformats.org/officeDocument/2006/relationships/hyperlink" Target="https://www.itu.int/md/R16-WRC19-C-0522/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R16-WRC19-C-565656!!MSW-E</DPM_x0020_File_x0020_name>
    <DPM_x0020_Author xmlns="32a1a8c5-2265-4ebc-b7a0-2071e2c5c9bb" xsi:nil="false">DPM</DPM_x0020_Author>
    <DPM_x0020_Version xmlns="32a1a8c5-2265-4ebc-b7a0-2071e2c5c9bb" xsi:nil="false">DPM_2018.11.08.1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4706A-AFA4-4E6C-A029-87E805750FF5}">
  <ds:schemaRefs>
    <ds:schemaRef ds:uri="http://schemas.microsoft.com/sharepoint/v3/contenttype/forms"/>
  </ds:schemaRefs>
</ds:datastoreItem>
</file>

<file path=customXml/itemProps2.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3DD539-62B7-4D6B-803B-C0ED08D1C7C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2a1a8c5-2265-4ebc-b7a0-2071e2c5c9bb"/>
    <ds:schemaRef ds:uri="http://schemas.microsoft.com/office/2006/documentManagement/types"/>
    <ds:schemaRef ds:uri="996b2e75-67fd-4955-a3b0-5ab9934cb50b"/>
    <ds:schemaRef ds:uri="http://www.w3.org/XML/1998/namespace"/>
    <ds:schemaRef ds:uri="http://purl.org/dc/dcmitype/"/>
  </ds:schemaRefs>
</ds:datastoreItem>
</file>

<file path=customXml/itemProps5.xml><?xml version="1.0" encoding="utf-8"?>
<ds:datastoreItem xmlns:ds="http://schemas.openxmlformats.org/officeDocument/2006/customXml" ds:itemID="{A2E3EE4F-2778-41ED-BD64-D028F61F1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1866</Words>
  <Characters>10538</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R16-WRC19-C-565656!!MSW-E</vt:lpstr>
    </vt:vector>
  </TitlesOfParts>
  <Manager>General Secretariat - Pool</Manager>
  <Company>International Telecommunication Union (ITU)</Company>
  <LinksUpToDate>false</LinksUpToDate>
  <CharactersWithSpaces>12380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R16-WRC19-C-565656!!MSW-E</dc:title>
  <dc:subject>World Radiocommunication Conference - 2019</dc:subject>
  <dc:creator>Documents Proposals Manager (DPM)</dc:creator>
  <cp:keywords>DPM_v2019.4.3.1_prod</cp:keywords>
  <dc:description>Uploaded on 2015.07.06</dc:description>
  <cp:lastModifiedBy>Brouard, Ricarda</cp:lastModifiedBy>
  <cp:revision>2</cp:revision>
  <cp:lastPrinted>2019-11-19T18:50:00Z</cp:lastPrinted>
  <dcterms:created xsi:type="dcterms:W3CDTF">2019-12-13T11:50:00Z</dcterms:created>
  <dcterms:modified xsi:type="dcterms:W3CDTF">2019-12-13T11:50:00Z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