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31" w:type="dxa"/>
        <w:tblLayout w:type="fixed"/>
        <w:tblLook w:val="0000" w:firstRow="0" w:lastRow="0" w:firstColumn="0" w:lastColumn="0" w:noHBand="0" w:noVBand="0"/>
      </w:tblPr>
      <w:tblGrid>
        <w:gridCol w:w="6911"/>
        <w:gridCol w:w="3120"/>
      </w:tblGrid>
      <w:tr w:rsidR="00ED4F28" w:rsidRPr="00232B42" w14:paraId="157C5945" w14:textId="77777777" w:rsidTr="0080108F">
        <w:trPr>
          <w:cantSplit/>
          <w:trHeight w:val="1276"/>
        </w:trPr>
        <w:tc>
          <w:tcPr>
            <w:tcW w:w="6911" w:type="dxa"/>
          </w:tcPr>
          <w:p w14:paraId="082AD1AA" w14:textId="3294BBD3" w:rsidR="00ED4F28" w:rsidRPr="00232B42" w:rsidRDefault="00ED4F28" w:rsidP="008D7CEA">
            <w:pPr>
              <w:spacing w:before="360" w:after="48" w:line="240" w:lineRule="auto"/>
              <w:rPr>
                <w:b/>
                <w:bCs/>
                <w:position w:val="6"/>
                <w:sz w:val="26"/>
                <w:szCs w:val="26"/>
              </w:rPr>
            </w:pPr>
            <w:r w:rsidRPr="00232B42">
              <w:rPr>
                <w:b/>
                <w:bCs/>
                <w:position w:val="6"/>
                <w:sz w:val="26"/>
                <w:szCs w:val="26"/>
              </w:rPr>
              <w:t xml:space="preserve">Consultation virtuelle des Conseillers </w:t>
            </w:r>
            <w:r w:rsidRPr="00232B42">
              <w:rPr>
                <w:b/>
                <w:bCs/>
                <w:position w:val="6"/>
                <w:sz w:val="26"/>
                <w:szCs w:val="26"/>
              </w:rPr>
              <w:br/>
              <w:t xml:space="preserve">débutant le </w:t>
            </w:r>
            <w:r w:rsidR="004718F1" w:rsidRPr="00232B42">
              <w:rPr>
                <w:b/>
                <w:bCs/>
                <w:position w:val="6"/>
                <w:sz w:val="26"/>
                <w:szCs w:val="26"/>
              </w:rPr>
              <w:t xml:space="preserve">16 novembre </w:t>
            </w:r>
            <w:r w:rsidRPr="00232B42">
              <w:rPr>
                <w:b/>
                <w:bCs/>
                <w:position w:val="6"/>
                <w:sz w:val="26"/>
                <w:szCs w:val="26"/>
              </w:rPr>
              <w:t>2020</w:t>
            </w:r>
          </w:p>
        </w:tc>
        <w:tc>
          <w:tcPr>
            <w:tcW w:w="3120" w:type="dxa"/>
            <w:vAlign w:val="center"/>
          </w:tcPr>
          <w:p w14:paraId="6DBA0C72" w14:textId="77777777" w:rsidR="00ED4F28" w:rsidRPr="00232B42" w:rsidRDefault="00ED4F28" w:rsidP="008D7CEA">
            <w:pPr>
              <w:spacing w:before="0" w:line="240" w:lineRule="auto"/>
            </w:pPr>
            <w:bookmarkStart w:id="0" w:name="ditulogo"/>
            <w:bookmarkEnd w:id="0"/>
            <w:r w:rsidRPr="00232B42">
              <w:rPr>
                <w:noProof/>
                <w:lang w:val="en-US"/>
              </w:rPr>
              <w:drawing>
                <wp:inline distT="0" distB="0" distL="0" distR="0" wp14:anchorId="382FA432" wp14:editId="16BAE1AA">
                  <wp:extent cx="682402" cy="720000"/>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ED4F28" w:rsidRPr="00232B42" w14:paraId="3443E592" w14:textId="77777777" w:rsidTr="0080108F">
        <w:trPr>
          <w:cantSplit/>
        </w:trPr>
        <w:tc>
          <w:tcPr>
            <w:tcW w:w="6911" w:type="dxa"/>
            <w:tcBorders>
              <w:bottom w:val="single" w:sz="12" w:space="0" w:color="auto"/>
            </w:tcBorders>
          </w:tcPr>
          <w:p w14:paraId="5E795640" w14:textId="77777777" w:rsidR="00ED4F28" w:rsidRPr="00232B42" w:rsidRDefault="00ED4F28" w:rsidP="008D7CEA">
            <w:pPr>
              <w:spacing w:before="0" w:after="48" w:line="240" w:lineRule="auto"/>
              <w:rPr>
                <w:b/>
                <w:smallCaps/>
                <w:szCs w:val="24"/>
              </w:rPr>
            </w:pPr>
          </w:p>
        </w:tc>
        <w:tc>
          <w:tcPr>
            <w:tcW w:w="3120" w:type="dxa"/>
            <w:tcBorders>
              <w:bottom w:val="single" w:sz="12" w:space="0" w:color="auto"/>
            </w:tcBorders>
          </w:tcPr>
          <w:p w14:paraId="6FEEB934" w14:textId="77777777" w:rsidR="00ED4F28" w:rsidRPr="00232B42" w:rsidRDefault="00ED4F28" w:rsidP="008D7CEA">
            <w:pPr>
              <w:spacing w:before="0" w:line="240" w:lineRule="auto"/>
              <w:rPr>
                <w:szCs w:val="24"/>
              </w:rPr>
            </w:pPr>
          </w:p>
        </w:tc>
      </w:tr>
      <w:tr w:rsidR="00ED4F28" w:rsidRPr="00232B42" w14:paraId="41E9FDB6" w14:textId="77777777" w:rsidTr="0080108F">
        <w:trPr>
          <w:cantSplit/>
        </w:trPr>
        <w:tc>
          <w:tcPr>
            <w:tcW w:w="6911" w:type="dxa"/>
            <w:tcBorders>
              <w:top w:val="single" w:sz="12" w:space="0" w:color="auto"/>
            </w:tcBorders>
          </w:tcPr>
          <w:p w14:paraId="2BCAD840" w14:textId="77777777" w:rsidR="00ED4F28" w:rsidRPr="00232B42" w:rsidRDefault="00ED4F28" w:rsidP="008D7CEA">
            <w:pPr>
              <w:spacing w:before="0" w:after="48" w:line="240" w:lineRule="auto"/>
              <w:rPr>
                <w:b/>
                <w:smallCaps/>
                <w:szCs w:val="24"/>
              </w:rPr>
            </w:pPr>
          </w:p>
        </w:tc>
        <w:tc>
          <w:tcPr>
            <w:tcW w:w="3120" w:type="dxa"/>
            <w:tcBorders>
              <w:top w:val="single" w:sz="12" w:space="0" w:color="auto"/>
            </w:tcBorders>
          </w:tcPr>
          <w:p w14:paraId="1FD6CA4C" w14:textId="33EA4C20" w:rsidR="00ED4F28" w:rsidRPr="00232B42" w:rsidRDefault="00ED4F28" w:rsidP="008D7CEA">
            <w:pPr>
              <w:spacing w:before="240" w:line="240" w:lineRule="auto"/>
              <w:rPr>
                <w:b/>
                <w:bCs/>
                <w:szCs w:val="24"/>
              </w:rPr>
            </w:pPr>
            <w:r w:rsidRPr="00232B42">
              <w:rPr>
                <w:b/>
                <w:bCs/>
              </w:rPr>
              <w:t>Document VC</w:t>
            </w:r>
            <w:r w:rsidR="004718F1" w:rsidRPr="00232B42">
              <w:rPr>
                <w:b/>
                <w:bCs/>
              </w:rPr>
              <w:t>-2</w:t>
            </w:r>
            <w:r w:rsidRPr="00232B42">
              <w:rPr>
                <w:b/>
                <w:bCs/>
              </w:rPr>
              <w:t>/</w:t>
            </w:r>
            <w:r w:rsidR="004718F1" w:rsidRPr="00232B42">
              <w:rPr>
                <w:b/>
                <w:bCs/>
              </w:rPr>
              <w:t>12</w:t>
            </w:r>
            <w:r w:rsidRPr="00232B42">
              <w:rPr>
                <w:b/>
                <w:bCs/>
              </w:rPr>
              <w:t>-F</w:t>
            </w:r>
          </w:p>
          <w:p w14:paraId="0E1B7E2F" w14:textId="138953E2" w:rsidR="00ED4F28" w:rsidRPr="00232B42" w:rsidRDefault="000B384F" w:rsidP="008D7CEA">
            <w:pPr>
              <w:spacing w:before="0" w:line="240" w:lineRule="auto"/>
              <w:rPr>
                <w:b/>
                <w:bCs/>
                <w:szCs w:val="24"/>
              </w:rPr>
            </w:pPr>
            <w:r>
              <w:rPr>
                <w:b/>
                <w:bCs/>
              </w:rPr>
              <w:t>14 janvier 2021</w:t>
            </w:r>
          </w:p>
          <w:p w14:paraId="4FC489DF" w14:textId="77777777" w:rsidR="00ED4F28" w:rsidRPr="00232B42" w:rsidRDefault="00ED4F28" w:rsidP="008D7CEA">
            <w:pPr>
              <w:spacing w:before="0" w:line="240" w:lineRule="auto"/>
              <w:rPr>
                <w:szCs w:val="24"/>
              </w:rPr>
            </w:pPr>
            <w:proofErr w:type="gramStart"/>
            <w:r w:rsidRPr="00232B42">
              <w:rPr>
                <w:b/>
                <w:bCs/>
              </w:rPr>
              <w:t>Original:</w:t>
            </w:r>
            <w:proofErr w:type="gramEnd"/>
            <w:r w:rsidRPr="00232B42">
              <w:rPr>
                <w:b/>
                <w:bCs/>
              </w:rPr>
              <w:t xml:space="preserve"> anglais</w:t>
            </w:r>
          </w:p>
        </w:tc>
      </w:tr>
    </w:tbl>
    <w:p w14:paraId="39971336" w14:textId="77777777" w:rsidR="004718F1" w:rsidRPr="00232B42" w:rsidRDefault="004718F1" w:rsidP="008D7CEA">
      <w:pPr>
        <w:pStyle w:val="Title1"/>
      </w:pPr>
      <w:r w:rsidRPr="00232B42">
        <w:t>COMPTE RENDU</w:t>
      </w:r>
    </w:p>
    <w:p w14:paraId="73C8C1E6" w14:textId="77777777" w:rsidR="004718F1" w:rsidRPr="00232B42" w:rsidRDefault="004718F1" w:rsidP="008D7CEA">
      <w:pPr>
        <w:pStyle w:val="Title1"/>
      </w:pPr>
      <w:r w:rsidRPr="00232B42">
        <w:t xml:space="preserve">DE LA </w:t>
      </w:r>
    </w:p>
    <w:p w14:paraId="77C3991A" w14:textId="77777777" w:rsidR="004718F1" w:rsidRPr="00232B42" w:rsidRDefault="004718F1" w:rsidP="008D7CEA">
      <w:pPr>
        <w:pStyle w:val="Title1"/>
      </w:pPr>
      <w:r w:rsidRPr="00232B42">
        <w:t>TROISIÈME séance</w:t>
      </w:r>
    </w:p>
    <w:p w14:paraId="25D560B9" w14:textId="025E57A4" w:rsidR="004718F1" w:rsidRPr="00232B42" w:rsidRDefault="004718F1" w:rsidP="008D7CEA">
      <w:pPr>
        <w:spacing w:line="240" w:lineRule="auto"/>
        <w:jc w:val="center"/>
      </w:pPr>
      <w:r w:rsidRPr="00232B42">
        <w:t>Mercredi 18 novembre 2020, de 12 h 00 à 15 h 15</w:t>
      </w:r>
    </w:p>
    <w:p w14:paraId="4A36ED05" w14:textId="7854E353" w:rsidR="009C353C" w:rsidRPr="00232B42" w:rsidRDefault="004718F1" w:rsidP="00D90F44">
      <w:pPr>
        <w:spacing w:after="480" w:line="240" w:lineRule="auto"/>
        <w:jc w:val="center"/>
      </w:pPr>
      <w:proofErr w:type="gramStart"/>
      <w:r w:rsidRPr="00232B42">
        <w:rPr>
          <w:b/>
          <w:bCs/>
        </w:rPr>
        <w:t>Président</w:t>
      </w:r>
      <w:r w:rsidRPr="00232B42">
        <w:t>:</w:t>
      </w:r>
      <w:proofErr w:type="gramEnd"/>
      <w:r w:rsidRPr="00232B42">
        <w:t xml:space="preserve"> M. S. BIN GHELAITA (Émirats arabes unis)</w:t>
      </w:r>
    </w:p>
    <w:tbl>
      <w:tblPr>
        <w:tblW w:w="5147" w:type="pct"/>
        <w:tblLook w:val="0000" w:firstRow="0" w:lastRow="0" w:firstColumn="0" w:lastColumn="0" w:noHBand="0" w:noVBand="0"/>
      </w:tblPr>
      <w:tblGrid>
        <w:gridCol w:w="504"/>
        <w:gridCol w:w="7261"/>
        <w:gridCol w:w="2157"/>
      </w:tblGrid>
      <w:tr w:rsidR="004718F1" w:rsidRPr="00232B42" w14:paraId="468BE4F3" w14:textId="77777777" w:rsidTr="008D7CEA">
        <w:tc>
          <w:tcPr>
            <w:tcW w:w="254" w:type="pct"/>
          </w:tcPr>
          <w:p w14:paraId="064E0775" w14:textId="77777777" w:rsidR="004718F1" w:rsidRPr="00232B42" w:rsidRDefault="004718F1" w:rsidP="008D7CEA">
            <w:pPr>
              <w:spacing w:line="240" w:lineRule="auto"/>
              <w:rPr>
                <w:b/>
              </w:rPr>
            </w:pPr>
            <w:r w:rsidRPr="00232B42">
              <w:rPr>
                <w:b/>
              </w:rPr>
              <w:br w:type="page"/>
            </w:r>
            <w:r w:rsidRPr="00232B42">
              <w:rPr>
                <w:b/>
              </w:rPr>
              <w:br w:type="page"/>
            </w:r>
          </w:p>
        </w:tc>
        <w:tc>
          <w:tcPr>
            <w:tcW w:w="3659" w:type="pct"/>
          </w:tcPr>
          <w:p w14:paraId="7A80D1FE" w14:textId="77777777" w:rsidR="004718F1" w:rsidRPr="00232B42" w:rsidRDefault="004718F1" w:rsidP="008D7CEA">
            <w:pPr>
              <w:pStyle w:val="Tablehead"/>
              <w:jc w:val="left"/>
            </w:pPr>
            <w:r w:rsidRPr="00232B42">
              <w:t>Sujets traités</w:t>
            </w:r>
          </w:p>
        </w:tc>
        <w:tc>
          <w:tcPr>
            <w:tcW w:w="1087" w:type="pct"/>
          </w:tcPr>
          <w:p w14:paraId="3B04E9D8" w14:textId="77777777" w:rsidR="004718F1" w:rsidRPr="00232B42" w:rsidRDefault="004718F1" w:rsidP="008D7CEA">
            <w:pPr>
              <w:pStyle w:val="Tablehead"/>
            </w:pPr>
            <w:r w:rsidRPr="00232B42">
              <w:t>Documents</w:t>
            </w:r>
          </w:p>
        </w:tc>
      </w:tr>
      <w:tr w:rsidR="004718F1" w:rsidRPr="00232B42" w14:paraId="5C0774B3" w14:textId="77777777" w:rsidTr="008D7CEA">
        <w:tc>
          <w:tcPr>
            <w:tcW w:w="254" w:type="pct"/>
          </w:tcPr>
          <w:p w14:paraId="7FDB242D" w14:textId="77777777" w:rsidR="004718F1" w:rsidRPr="00232B42" w:rsidRDefault="004718F1" w:rsidP="008D7CEA">
            <w:pPr>
              <w:pStyle w:val="Tabletext"/>
            </w:pPr>
            <w:r w:rsidRPr="00232B42">
              <w:t>1</w:t>
            </w:r>
          </w:p>
        </w:tc>
        <w:tc>
          <w:tcPr>
            <w:tcW w:w="3659" w:type="pct"/>
          </w:tcPr>
          <w:p w14:paraId="1507D3C0" w14:textId="340D6A87" w:rsidR="004718F1" w:rsidRPr="00232B42" w:rsidRDefault="004718F1" w:rsidP="008D7CEA">
            <w:pPr>
              <w:pStyle w:val="Tabletext"/>
              <w:rPr>
                <w:b/>
              </w:rPr>
            </w:pPr>
            <w:r w:rsidRPr="00232B42">
              <w:t>Résultats des débats du 17 novembre 2020</w:t>
            </w:r>
          </w:p>
        </w:tc>
        <w:tc>
          <w:tcPr>
            <w:tcW w:w="1087" w:type="pct"/>
          </w:tcPr>
          <w:p w14:paraId="68533AE6" w14:textId="6B1A73F9" w:rsidR="004718F1" w:rsidRPr="00232B42" w:rsidRDefault="000B384F" w:rsidP="008D7CEA">
            <w:pPr>
              <w:pStyle w:val="Tabletext"/>
              <w:jc w:val="center"/>
              <w:rPr>
                <w:b/>
              </w:rPr>
            </w:pPr>
            <w:hyperlink r:id="rId8" w:history="1">
              <w:r w:rsidR="004718F1" w:rsidRPr="00232B42">
                <w:rPr>
                  <w:rStyle w:val="Hyperlink"/>
                </w:rPr>
                <w:t>VCC-2/DT/1(Rév.1)</w:t>
              </w:r>
            </w:hyperlink>
          </w:p>
        </w:tc>
      </w:tr>
      <w:tr w:rsidR="004718F1" w:rsidRPr="00232B42" w14:paraId="4D9C6D64" w14:textId="77777777" w:rsidTr="008D7CEA">
        <w:tc>
          <w:tcPr>
            <w:tcW w:w="254" w:type="pct"/>
          </w:tcPr>
          <w:p w14:paraId="2514ED7E" w14:textId="77777777" w:rsidR="004718F1" w:rsidRPr="00232B42" w:rsidRDefault="004718F1" w:rsidP="008D7CEA">
            <w:pPr>
              <w:pStyle w:val="Tabletext"/>
            </w:pPr>
            <w:r w:rsidRPr="00232B42">
              <w:t>2</w:t>
            </w:r>
          </w:p>
        </w:tc>
        <w:tc>
          <w:tcPr>
            <w:tcW w:w="3659" w:type="pct"/>
          </w:tcPr>
          <w:p w14:paraId="2EE7B4EB" w14:textId="37DEA937" w:rsidR="004718F1" w:rsidRPr="00232B42" w:rsidRDefault="00E50591" w:rsidP="008D7CEA">
            <w:pPr>
              <w:pStyle w:val="Tabletext"/>
            </w:pPr>
            <w:r w:rsidRPr="00232B42">
              <w:t>Travaux préparatoires en vue de la</w:t>
            </w:r>
            <w:r w:rsidR="004718F1" w:rsidRPr="00232B42">
              <w:t xml:space="preserve"> </w:t>
            </w:r>
            <w:r w:rsidRPr="00232B42">
              <w:t>CMDT</w:t>
            </w:r>
            <w:r w:rsidR="004718F1" w:rsidRPr="00232B42">
              <w:t>-21</w:t>
            </w:r>
          </w:p>
        </w:tc>
        <w:tc>
          <w:tcPr>
            <w:tcW w:w="1087" w:type="pct"/>
          </w:tcPr>
          <w:p w14:paraId="0A14736A" w14:textId="73B3D94E" w:rsidR="004718F1" w:rsidRPr="00232B42" w:rsidRDefault="000B384F" w:rsidP="008D7CEA">
            <w:pPr>
              <w:pStyle w:val="Tabletext"/>
              <w:jc w:val="center"/>
              <w:rPr>
                <w:rStyle w:val="Hyperlink"/>
              </w:rPr>
            </w:pPr>
            <w:hyperlink r:id="rId9" w:history="1">
              <w:r w:rsidR="004718F1" w:rsidRPr="00232B42">
                <w:rPr>
                  <w:rStyle w:val="Hyperlink"/>
                </w:rPr>
                <w:t>C20/30(Rév.1)</w:t>
              </w:r>
            </w:hyperlink>
          </w:p>
        </w:tc>
      </w:tr>
      <w:tr w:rsidR="004718F1" w:rsidRPr="00232B42" w14:paraId="4F7DDA3E" w14:textId="77777777" w:rsidTr="008D7CEA">
        <w:tc>
          <w:tcPr>
            <w:tcW w:w="254" w:type="pct"/>
          </w:tcPr>
          <w:p w14:paraId="051D84E6" w14:textId="77777777" w:rsidR="004718F1" w:rsidRPr="00232B42" w:rsidRDefault="004718F1" w:rsidP="008D7CEA">
            <w:pPr>
              <w:pStyle w:val="Tabletext"/>
            </w:pPr>
            <w:r w:rsidRPr="00232B42">
              <w:t>3</w:t>
            </w:r>
          </w:p>
        </w:tc>
        <w:tc>
          <w:tcPr>
            <w:tcW w:w="3659" w:type="pct"/>
          </w:tcPr>
          <w:p w14:paraId="588030CA" w14:textId="253339A8" w:rsidR="004718F1" w:rsidRPr="00232B42" w:rsidRDefault="00E50591" w:rsidP="008D7CEA">
            <w:pPr>
              <w:pStyle w:val="Tabletext"/>
            </w:pPr>
            <w:r w:rsidRPr="00232B42">
              <w:t>Travaux préparatoires en vue de l</w:t>
            </w:r>
            <w:r w:rsidR="00125C02" w:rsidRPr="00232B42">
              <w:t>'</w:t>
            </w:r>
            <w:r w:rsidRPr="00232B42">
              <w:t>AMNT</w:t>
            </w:r>
            <w:r w:rsidR="004718F1" w:rsidRPr="00232B42">
              <w:t>-20 (</w:t>
            </w:r>
            <w:r w:rsidR="00B47907" w:rsidRPr="00232B42">
              <w:t>suite</w:t>
            </w:r>
            <w:r w:rsidR="004718F1" w:rsidRPr="00232B42">
              <w:t>)</w:t>
            </w:r>
          </w:p>
        </w:tc>
        <w:tc>
          <w:tcPr>
            <w:tcW w:w="1087" w:type="pct"/>
          </w:tcPr>
          <w:p w14:paraId="48DC88ED" w14:textId="733117AA" w:rsidR="004718F1" w:rsidRPr="00232B42" w:rsidRDefault="000B384F" w:rsidP="008D7CEA">
            <w:pPr>
              <w:pStyle w:val="Tabletext"/>
              <w:jc w:val="center"/>
              <w:rPr>
                <w:rStyle w:val="Hyperlink"/>
              </w:rPr>
            </w:pPr>
            <w:hyperlink r:id="rId10" w:history="1">
              <w:r w:rsidR="004718F1" w:rsidRPr="00232B42">
                <w:rPr>
                  <w:rStyle w:val="Hyperlink"/>
                </w:rPr>
                <w:t>C20/24(Rév.1)</w:t>
              </w:r>
            </w:hyperlink>
            <w:r w:rsidR="004718F1" w:rsidRPr="00232B42">
              <w:t xml:space="preserve">, </w:t>
            </w:r>
            <w:hyperlink r:id="rId11" w:history="1">
              <w:r w:rsidR="004718F1" w:rsidRPr="00232B42">
                <w:rPr>
                  <w:rStyle w:val="Hyperlink"/>
                </w:rPr>
                <w:t>C20/72</w:t>
              </w:r>
            </w:hyperlink>
            <w:r w:rsidR="004718F1" w:rsidRPr="00232B42">
              <w:rPr>
                <w:rStyle w:val="Hyperlink"/>
              </w:rPr>
              <w:t xml:space="preserve">, </w:t>
            </w:r>
            <w:hyperlink r:id="rId12" w:history="1">
              <w:r w:rsidR="004718F1" w:rsidRPr="00232B42">
                <w:rPr>
                  <w:rStyle w:val="Hyperlink"/>
                </w:rPr>
                <w:t>VC-2/2</w:t>
              </w:r>
            </w:hyperlink>
            <w:r w:rsidR="004718F1" w:rsidRPr="00232B42">
              <w:t xml:space="preserve">, </w:t>
            </w:r>
            <w:r w:rsidR="004718F1" w:rsidRPr="00232B42">
              <w:rPr>
                <w:rStyle w:val="Hyperlink"/>
              </w:rPr>
              <w:br/>
            </w:r>
            <w:hyperlink r:id="rId13" w:history="1">
              <w:r w:rsidR="004718F1" w:rsidRPr="00232B42">
                <w:rPr>
                  <w:rStyle w:val="Hyperlink"/>
                </w:rPr>
                <w:t>VC-2/3</w:t>
              </w:r>
            </w:hyperlink>
            <w:r w:rsidR="004718F1" w:rsidRPr="00232B42">
              <w:t xml:space="preserve">, </w:t>
            </w:r>
            <w:r w:rsidR="004718F1" w:rsidRPr="00232B42">
              <w:rPr>
                <w:rStyle w:val="Hyperlink"/>
              </w:rPr>
              <w:br/>
            </w:r>
            <w:hyperlink r:id="rId14" w:history="1">
              <w:r w:rsidR="004718F1" w:rsidRPr="00232B42">
                <w:rPr>
                  <w:rStyle w:val="Hyperlink"/>
                </w:rPr>
                <w:t>VC-2/4(Corr.1)</w:t>
              </w:r>
            </w:hyperlink>
            <w:r w:rsidR="004718F1" w:rsidRPr="00232B42">
              <w:t xml:space="preserve">, </w:t>
            </w:r>
            <w:r w:rsidR="004718F1" w:rsidRPr="00232B42">
              <w:rPr>
                <w:rStyle w:val="Hyperlink"/>
              </w:rPr>
              <w:br/>
            </w:r>
            <w:hyperlink r:id="rId15" w:history="1">
              <w:r w:rsidR="004718F1" w:rsidRPr="00232B42">
                <w:rPr>
                  <w:rStyle w:val="Hyperlink"/>
                </w:rPr>
                <w:t>VC-2/7</w:t>
              </w:r>
            </w:hyperlink>
            <w:r w:rsidR="004718F1" w:rsidRPr="00232B42">
              <w:rPr>
                <w:rStyle w:val="Hyperlink"/>
              </w:rPr>
              <w:t xml:space="preserve">, </w:t>
            </w:r>
            <w:hyperlink r:id="rId16" w:history="1">
              <w:r w:rsidR="004718F1" w:rsidRPr="00232B42">
                <w:rPr>
                  <w:rStyle w:val="Hyperlink"/>
                </w:rPr>
                <w:t>VC-2/8</w:t>
              </w:r>
            </w:hyperlink>
            <w:r w:rsidR="004718F1" w:rsidRPr="00232B42">
              <w:t xml:space="preserve">, </w:t>
            </w:r>
            <w:r w:rsidR="004718F1" w:rsidRPr="00232B42">
              <w:rPr>
                <w:rStyle w:val="Hyperlink"/>
              </w:rPr>
              <w:br/>
            </w:r>
            <w:hyperlink r:id="rId17" w:history="1">
              <w:r w:rsidR="004718F1" w:rsidRPr="00232B42">
                <w:rPr>
                  <w:rStyle w:val="Hyperlink"/>
                </w:rPr>
                <w:t>VC-2/9</w:t>
              </w:r>
            </w:hyperlink>
          </w:p>
        </w:tc>
      </w:tr>
      <w:tr w:rsidR="004718F1" w:rsidRPr="00232B42" w14:paraId="5AEA74A2" w14:textId="77777777" w:rsidTr="008D7CEA">
        <w:tc>
          <w:tcPr>
            <w:tcW w:w="254" w:type="pct"/>
          </w:tcPr>
          <w:p w14:paraId="2A2A56D0" w14:textId="77777777" w:rsidR="004718F1" w:rsidRPr="00232B42" w:rsidRDefault="004718F1" w:rsidP="008D7CEA">
            <w:pPr>
              <w:pStyle w:val="Tabletext"/>
            </w:pPr>
            <w:r w:rsidRPr="00232B42">
              <w:t>4</w:t>
            </w:r>
          </w:p>
        </w:tc>
        <w:tc>
          <w:tcPr>
            <w:tcW w:w="3659" w:type="pct"/>
          </w:tcPr>
          <w:p w14:paraId="35513EAF" w14:textId="2ED96363" w:rsidR="004718F1" w:rsidRPr="00232B42" w:rsidRDefault="00E50591" w:rsidP="008D7CEA">
            <w:pPr>
              <w:pStyle w:val="Tabletext"/>
            </w:pPr>
            <w:r w:rsidRPr="00232B42">
              <w:rPr>
                <w:color w:val="000000"/>
              </w:rPr>
              <w:t>Travaux préparatoires en vue du FMPT-21</w:t>
            </w:r>
            <w:r w:rsidRPr="00232B42">
              <w:t xml:space="preserve"> </w:t>
            </w:r>
            <w:r w:rsidR="004718F1" w:rsidRPr="00232B42">
              <w:t>(</w:t>
            </w:r>
            <w:r w:rsidRPr="00232B42">
              <w:t>suite</w:t>
            </w:r>
            <w:r w:rsidR="004718F1" w:rsidRPr="00232B42">
              <w:t>)</w:t>
            </w:r>
          </w:p>
        </w:tc>
        <w:tc>
          <w:tcPr>
            <w:tcW w:w="1087" w:type="pct"/>
          </w:tcPr>
          <w:p w14:paraId="08DE803E" w14:textId="054622F3" w:rsidR="004718F1" w:rsidRPr="00232B42" w:rsidRDefault="000B384F" w:rsidP="008D7CEA">
            <w:pPr>
              <w:pStyle w:val="Tabletext"/>
              <w:jc w:val="center"/>
              <w:rPr>
                <w:rStyle w:val="Hyperlink"/>
              </w:rPr>
            </w:pPr>
            <w:hyperlink r:id="rId18" w:history="1">
              <w:r w:rsidR="004718F1" w:rsidRPr="00232B42">
                <w:rPr>
                  <w:rStyle w:val="Hyperlink"/>
                </w:rPr>
                <w:t>C20/5(Rév.1)</w:t>
              </w:r>
            </w:hyperlink>
          </w:p>
        </w:tc>
      </w:tr>
      <w:tr w:rsidR="004718F1" w:rsidRPr="00232B42" w14:paraId="2AD78696" w14:textId="77777777" w:rsidTr="008D7CEA">
        <w:tc>
          <w:tcPr>
            <w:tcW w:w="254" w:type="pct"/>
          </w:tcPr>
          <w:p w14:paraId="11F252CB" w14:textId="2952F632" w:rsidR="004718F1" w:rsidRPr="00232B42" w:rsidRDefault="004718F1" w:rsidP="008D7CEA">
            <w:pPr>
              <w:pStyle w:val="Tabletext"/>
            </w:pPr>
            <w:r w:rsidRPr="00232B42">
              <w:t>5</w:t>
            </w:r>
          </w:p>
        </w:tc>
        <w:tc>
          <w:tcPr>
            <w:tcW w:w="3659" w:type="pct"/>
          </w:tcPr>
          <w:p w14:paraId="185EF0CB" w14:textId="57D3DE88" w:rsidR="004718F1" w:rsidRPr="00232B42" w:rsidRDefault="004718F1" w:rsidP="008D7CEA">
            <w:pPr>
              <w:pStyle w:val="Tabletext"/>
            </w:pPr>
            <w:bookmarkStart w:id="1" w:name="_Hlk41408187"/>
            <w:r w:rsidRPr="00232B42">
              <w:t xml:space="preserve">Calendrier des conférences, assemblées et réunions futures </w:t>
            </w:r>
            <w:r w:rsidRPr="00232B42">
              <w:br/>
              <w:t>de l'Union pour la période 2020-2023</w:t>
            </w:r>
            <w:bookmarkEnd w:id="1"/>
          </w:p>
        </w:tc>
        <w:tc>
          <w:tcPr>
            <w:tcW w:w="1087" w:type="pct"/>
          </w:tcPr>
          <w:p w14:paraId="0D485452" w14:textId="110C57BC" w:rsidR="004718F1" w:rsidRPr="00232B42" w:rsidRDefault="000B384F" w:rsidP="008D7CEA">
            <w:pPr>
              <w:pStyle w:val="Tabletext"/>
              <w:jc w:val="center"/>
              <w:rPr>
                <w:rStyle w:val="Hyperlink"/>
              </w:rPr>
            </w:pPr>
            <w:hyperlink r:id="rId19" w:history="1">
              <w:r w:rsidR="004718F1" w:rsidRPr="00232B42">
                <w:rPr>
                  <w:rStyle w:val="Hyperlink"/>
                </w:rPr>
                <w:t>C20/37(Rév.1)</w:t>
              </w:r>
            </w:hyperlink>
          </w:p>
        </w:tc>
      </w:tr>
      <w:tr w:rsidR="004718F1" w:rsidRPr="00232B42" w14:paraId="195FE9C2" w14:textId="77777777" w:rsidTr="008D7CEA">
        <w:tc>
          <w:tcPr>
            <w:tcW w:w="254" w:type="pct"/>
          </w:tcPr>
          <w:p w14:paraId="2C0ADF21" w14:textId="6EBB9D80" w:rsidR="004718F1" w:rsidRPr="00232B42" w:rsidRDefault="004718F1" w:rsidP="008D7CEA">
            <w:pPr>
              <w:pStyle w:val="Tabletext"/>
            </w:pPr>
            <w:r w:rsidRPr="00232B42">
              <w:t>6</w:t>
            </w:r>
          </w:p>
        </w:tc>
        <w:tc>
          <w:tcPr>
            <w:tcW w:w="3659" w:type="pct"/>
          </w:tcPr>
          <w:p w14:paraId="381EBB59" w14:textId="5504863E" w:rsidR="004718F1" w:rsidRPr="00232B42" w:rsidRDefault="0023155A" w:rsidP="008D7CEA">
            <w:pPr>
              <w:pStyle w:val="Tabletext"/>
            </w:pPr>
            <w:r w:rsidRPr="00232B42">
              <w:t xml:space="preserve">Décisions </w:t>
            </w:r>
            <w:r w:rsidRPr="00232B42">
              <w:rPr>
                <w:color w:val="000000"/>
              </w:rPr>
              <w:t>de l'Assemblée générale des Nations Unies</w:t>
            </w:r>
            <w:r w:rsidRPr="00232B42">
              <w:t xml:space="preserve"> sur les conditions d'emploi dans le cadre du régime commun des Nations Unies</w:t>
            </w:r>
            <w:r w:rsidR="008D7CEA" w:rsidRPr="00232B42">
              <w:t xml:space="preserve"> </w:t>
            </w:r>
          </w:p>
        </w:tc>
        <w:tc>
          <w:tcPr>
            <w:tcW w:w="1087" w:type="pct"/>
          </w:tcPr>
          <w:p w14:paraId="0E060E51" w14:textId="410ACB77" w:rsidR="004718F1" w:rsidRPr="00232B42" w:rsidRDefault="000B384F" w:rsidP="008D7CEA">
            <w:pPr>
              <w:pStyle w:val="Tabletext"/>
              <w:jc w:val="center"/>
              <w:rPr>
                <w:rStyle w:val="Hyperlink"/>
              </w:rPr>
            </w:pPr>
            <w:hyperlink r:id="rId20" w:history="1">
              <w:r w:rsidR="004718F1" w:rsidRPr="00232B42">
                <w:rPr>
                  <w:rStyle w:val="Hyperlink"/>
                </w:rPr>
                <w:t>C20/23</w:t>
              </w:r>
            </w:hyperlink>
          </w:p>
        </w:tc>
      </w:tr>
    </w:tbl>
    <w:p w14:paraId="6BA1E28F" w14:textId="4010C282" w:rsidR="00F21B58" w:rsidRPr="00232B42" w:rsidRDefault="00F21B58" w:rsidP="008D7CEA">
      <w:pPr>
        <w:spacing w:line="240" w:lineRule="auto"/>
      </w:pPr>
      <w:r w:rsidRPr="00232B42">
        <w:br w:type="page"/>
      </w:r>
    </w:p>
    <w:p w14:paraId="4424E602" w14:textId="358F9378" w:rsidR="00F21B58" w:rsidRPr="00232B42" w:rsidRDefault="00F21B58" w:rsidP="008D7CEA">
      <w:pPr>
        <w:pStyle w:val="Heading1"/>
      </w:pPr>
      <w:r w:rsidRPr="00232B42">
        <w:lastRenderedPageBreak/>
        <w:t>1</w:t>
      </w:r>
      <w:r w:rsidRPr="00232B42">
        <w:tab/>
      </w:r>
      <w:r w:rsidR="00E50591" w:rsidRPr="00232B42">
        <w:t xml:space="preserve">Résultats des débats du 17 novembre </w:t>
      </w:r>
      <w:r w:rsidRPr="00232B42">
        <w:t xml:space="preserve">2020 (Document </w:t>
      </w:r>
      <w:hyperlink r:id="rId21" w:history="1">
        <w:r w:rsidRPr="00232B42">
          <w:rPr>
            <w:rStyle w:val="Hyperlink"/>
            <w:rFonts w:asciiTheme="minorHAnsi" w:hAnsiTheme="minorHAnsi" w:cstheme="minorHAnsi"/>
            <w:bCs/>
            <w:sz w:val="26"/>
            <w:szCs w:val="26"/>
          </w:rPr>
          <w:t>VCC-2/DT/1(</w:t>
        </w:r>
        <w:r w:rsidR="00E50591" w:rsidRPr="00232B42">
          <w:rPr>
            <w:rStyle w:val="Hyperlink"/>
            <w:rFonts w:asciiTheme="minorHAnsi" w:hAnsiTheme="minorHAnsi" w:cstheme="minorHAnsi"/>
            <w:bCs/>
            <w:sz w:val="26"/>
            <w:szCs w:val="26"/>
          </w:rPr>
          <w:t>Rév</w:t>
        </w:r>
        <w:r w:rsidRPr="00232B42">
          <w:rPr>
            <w:rStyle w:val="Hyperlink"/>
            <w:rFonts w:asciiTheme="minorHAnsi" w:hAnsiTheme="minorHAnsi" w:cstheme="minorHAnsi"/>
            <w:bCs/>
            <w:sz w:val="26"/>
            <w:szCs w:val="26"/>
          </w:rPr>
          <w:t>.1)</w:t>
        </w:r>
      </w:hyperlink>
      <w:r w:rsidRPr="00232B42">
        <w:t>)</w:t>
      </w:r>
    </w:p>
    <w:p w14:paraId="5698B8FC" w14:textId="4A4308F1" w:rsidR="00F21B58" w:rsidRPr="00232B42" w:rsidRDefault="00F21B58" w:rsidP="00D90F44">
      <w:pPr>
        <w:spacing w:before="120"/>
        <w:rPr>
          <w:lang w:eastAsia="en-GB"/>
        </w:rPr>
      </w:pPr>
      <w:r w:rsidRPr="00232B42">
        <w:rPr>
          <w:lang w:eastAsia="en-GB"/>
        </w:rPr>
        <w:t>1.1</w:t>
      </w:r>
      <w:r w:rsidRPr="00232B42">
        <w:rPr>
          <w:lang w:eastAsia="en-GB"/>
        </w:rPr>
        <w:tab/>
      </w:r>
      <w:r w:rsidR="00E50591" w:rsidRPr="00232B42">
        <w:rPr>
          <w:lang w:eastAsia="en-GB"/>
        </w:rPr>
        <w:t xml:space="preserve">Il est </w:t>
      </w:r>
      <w:r w:rsidR="00E50591" w:rsidRPr="00232B42">
        <w:rPr>
          <w:b/>
          <w:bCs/>
          <w:lang w:eastAsia="en-GB"/>
        </w:rPr>
        <w:t>pris note</w:t>
      </w:r>
      <w:r w:rsidR="00E50591" w:rsidRPr="00232B42">
        <w:rPr>
          <w:lang w:eastAsia="en-GB"/>
        </w:rPr>
        <w:t xml:space="preserve"> du </w:t>
      </w:r>
      <w:r w:rsidRPr="00232B42">
        <w:rPr>
          <w:lang w:eastAsia="en-GB"/>
        </w:rPr>
        <w:t>Document VCC-2/DT/1(</w:t>
      </w:r>
      <w:r w:rsidR="00E50591" w:rsidRPr="00232B42">
        <w:rPr>
          <w:lang w:eastAsia="en-GB"/>
        </w:rPr>
        <w:t>Rév</w:t>
      </w:r>
      <w:r w:rsidRPr="00232B42">
        <w:rPr>
          <w:lang w:eastAsia="en-GB"/>
        </w:rPr>
        <w:t>.1).</w:t>
      </w:r>
    </w:p>
    <w:p w14:paraId="3BFD88B8" w14:textId="1ACD3D0B" w:rsidR="00F21B58" w:rsidRPr="00232B42" w:rsidRDefault="00F21B58" w:rsidP="00D90F44">
      <w:pPr>
        <w:pStyle w:val="Heading1"/>
        <w:spacing w:before="360"/>
        <w:rPr>
          <w:rFonts w:asciiTheme="minorHAnsi" w:eastAsiaTheme="minorHAnsi" w:hAnsiTheme="minorHAnsi" w:cstheme="minorHAnsi"/>
          <w:bCs/>
          <w:sz w:val="26"/>
          <w:szCs w:val="26"/>
        </w:rPr>
      </w:pPr>
      <w:r w:rsidRPr="00232B42">
        <w:rPr>
          <w:rFonts w:asciiTheme="minorHAnsi" w:eastAsiaTheme="minorHAnsi" w:hAnsiTheme="minorHAnsi" w:cstheme="minorHAnsi"/>
          <w:bCs/>
          <w:sz w:val="26"/>
          <w:szCs w:val="26"/>
        </w:rPr>
        <w:t>2</w:t>
      </w:r>
      <w:r w:rsidRPr="00232B42">
        <w:rPr>
          <w:rFonts w:asciiTheme="minorHAnsi" w:eastAsiaTheme="minorHAnsi" w:hAnsiTheme="minorHAnsi" w:cstheme="minorHAnsi"/>
          <w:bCs/>
          <w:sz w:val="26"/>
          <w:szCs w:val="26"/>
        </w:rPr>
        <w:tab/>
      </w:r>
      <w:r w:rsidR="00E50591" w:rsidRPr="00232B42">
        <w:t>Travaux préparatoires en vue de la CMDT-21</w:t>
      </w:r>
      <w:r w:rsidR="00E50591" w:rsidRPr="00232B42">
        <w:rPr>
          <w:rFonts w:asciiTheme="minorHAnsi" w:eastAsiaTheme="minorHAnsi" w:hAnsiTheme="minorHAnsi" w:cstheme="minorHAnsi"/>
          <w:bCs/>
          <w:sz w:val="26"/>
          <w:szCs w:val="26"/>
        </w:rPr>
        <w:t xml:space="preserve"> </w:t>
      </w:r>
      <w:r w:rsidRPr="00232B42">
        <w:rPr>
          <w:rFonts w:asciiTheme="minorHAnsi" w:eastAsiaTheme="minorHAnsi" w:hAnsiTheme="minorHAnsi" w:cstheme="minorHAnsi"/>
          <w:bCs/>
          <w:sz w:val="26"/>
          <w:szCs w:val="26"/>
        </w:rPr>
        <w:t>(Document</w:t>
      </w:r>
      <w:r w:rsidRPr="00232B42">
        <w:rPr>
          <w:rFonts w:asciiTheme="minorHAnsi" w:hAnsiTheme="minorHAnsi" w:cstheme="minorHAnsi"/>
          <w:sz w:val="26"/>
          <w:szCs w:val="26"/>
        </w:rPr>
        <w:t xml:space="preserve"> </w:t>
      </w:r>
      <w:hyperlink r:id="rId22" w:history="1">
        <w:r w:rsidRPr="00232B42">
          <w:rPr>
            <w:rStyle w:val="Hyperlink"/>
            <w:rFonts w:asciiTheme="minorHAnsi" w:eastAsiaTheme="minorHAnsi" w:hAnsiTheme="minorHAnsi" w:cstheme="minorHAnsi"/>
            <w:bCs/>
            <w:sz w:val="26"/>
            <w:szCs w:val="26"/>
          </w:rPr>
          <w:t>C20/30(</w:t>
        </w:r>
        <w:r w:rsidR="00E50591" w:rsidRPr="00232B42">
          <w:rPr>
            <w:rStyle w:val="Hyperlink"/>
            <w:rFonts w:asciiTheme="minorHAnsi" w:eastAsiaTheme="minorHAnsi" w:hAnsiTheme="minorHAnsi" w:cstheme="minorHAnsi"/>
            <w:bCs/>
            <w:sz w:val="26"/>
            <w:szCs w:val="26"/>
          </w:rPr>
          <w:t>Rév</w:t>
        </w:r>
        <w:r w:rsidRPr="00232B42">
          <w:rPr>
            <w:rStyle w:val="Hyperlink"/>
            <w:rFonts w:asciiTheme="minorHAnsi" w:eastAsiaTheme="minorHAnsi" w:hAnsiTheme="minorHAnsi" w:cstheme="minorHAnsi"/>
            <w:bCs/>
            <w:sz w:val="26"/>
            <w:szCs w:val="26"/>
          </w:rPr>
          <w:t>.1)</w:t>
        </w:r>
      </w:hyperlink>
      <w:r w:rsidRPr="00232B42">
        <w:rPr>
          <w:rFonts w:asciiTheme="minorHAnsi" w:eastAsiaTheme="minorHAnsi" w:hAnsiTheme="minorHAnsi" w:cstheme="minorHAnsi"/>
          <w:bCs/>
          <w:sz w:val="26"/>
          <w:szCs w:val="26"/>
        </w:rPr>
        <w:t xml:space="preserve">) </w:t>
      </w:r>
    </w:p>
    <w:p w14:paraId="0872C746" w14:textId="287FFF16" w:rsidR="00F21B58" w:rsidRPr="00232B42" w:rsidRDefault="00F21B58" w:rsidP="00D90F44">
      <w:pPr>
        <w:spacing w:before="120"/>
      </w:pPr>
      <w:r w:rsidRPr="00232B42">
        <w:t>2.1</w:t>
      </w:r>
      <w:r w:rsidRPr="00232B42">
        <w:tab/>
      </w:r>
      <w:r w:rsidR="00E50591" w:rsidRPr="00232B42">
        <w:t>La Directrice du</w:t>
      </w:r>
      <w:r w:rsidRPr="00232B42">
        <w:t xml:space="preserve"> BDT </w:t>
      </w:r>
      <w:r w:rsidR="00522C0A" w:rsidRPr="00232B42">
        <w:rPr>
          <w:color w:val="000000"/>
        </w:rPr>
        <w:t>communique aux participants des informations actualisées</w:t>
      </w:r>
      <w:r w:rsidR="008D7CEA" w:rsidRPr="00232B42">
        <w:rPr>
          <w:color w:val="000000"/>
        </w:rPr>
        <w:t xml:space="preserve"> </w:t>
      </w:r>
      <w:r w:rsidR="00687824" w:rsidRPr="00232B42">
        <w:t xml:space="preserve">concernant le </w:t>
      </w:r>
      <w:r w:rsidRPr="00232B42">
        <w:t>Document C20/30(</w:t>
      </w:r>
      <w:r w:rsidR="00E50591" w:rsidRPr="00232B42">
        <w:t>Rév</w:t>
      </w:r>
      <w:r w:rsidRPr="00232B42">
        <w:t>.1)</w:t>
      </w:r>
      <w:r w:rsidR="00B47907" w:rsidRPr="00232B42">
        <w:t xml:space="preserve">, </w:t>
      </w:r>
      <w:r w:rsidR="00687824" w:rsidRPr="00232B42">
        <w:t xml:space="preserve">et </w:t>
      </w:r>
      <w:r w:rsidR="00B47907" w:rsidRPr="00232B42">
        <w:t>indiqu</w:t>
      </w:r>
      <w:r w:rsidR="00687824" w:rsidRPr="00232B42">
        <w:t>e</w:t>
      </w:r>
      <w:r w:rsidR="00B47907" w:rsidRPr="00232B42">
        <w:t xml:space="preserve"> notamment que le projet d'accord avec le pays hôte a été signé le 9 novembre 2020. En réponse à une question, elle confirme que l'accord renferme la clause type dite de "force majeure" et que le BDT continuera d</w:t>
      </w:r>
      <w:r w:rsidR="00125C02" w:rsidRPr="00232B42">
        <w:t>'</w:t>
      </w:r>
      <w:r w:rsidR="00B47907" w:rsidRPr="00232B42">
        <w:t xml:space="preserve">envisager des plans d'urgence en fonction de l'évolution de la situation. </w:t>
      </w:r>
    </w:p>
    <w:p w14:paraId="36538665" w14:textId="0470F256" w:rsidR="00F21B58" w:rsidRPr="00232B42" w:rsidRDefault="00F21B58" w:rsidP="008D7CEA">
      <w:pPr>
        <w:tabs>
          <w:tab w:val="clear" w:pos="794"/>
          <w:tab w:val="clear" w:pos="1191"/>
          <w:tab w:val="clear" w:pos="1588"/>
          <w:tab w:val="clear" w:pos="1985"/>
        </w:tabs>
        <w:spacing w:before="120" w:after="120" w:line="240" w:lineRule="auto"/>
        <w:rPr>
          <w:rFonts w:asciiTheme="minorHAnsi" w:hAnsiTheme="minorHAnsi" w:cstheme="minorHAnsi"/>
        </w:rPr>
      </w:pPr>
      <w:r w:rsidRPr="00232B42">
        <w:rPr>
          <w:rFonts w:asciiTheme="minorHAnsi" w:hAnsiTheme="minorHAnsi" w:cstheme="minorHAnsi"/>
        </w:rPr>
        <w:t>2.2</w:t>
      </w:r>
      <w:r w:rsidRPr="00232B42">
        <w:rPr>
          <w:rFonts w:asciiTheme="minorHAnsi" w:hAnsiTheme="minorHAnsi" w:cstheme="minorHAnsi"/>
        </w:rPr>
        <w:tab/>
      </w:r>
      <w:r w:rsidR="00E50591" w:rsidRPr="00232B42">
        <w:rPr>
          <w:rFonts w:asciiTheme="minorHAnsi" w:hAnsiTheme="minorHAnsi" w:cstheme="minorHAnsi"/>
        </w:rPr>
        <w:t xml:space="preserve">Le Président </w:t>
      </w:r>
      <w:r w:rsidR="00B47907" w:rsidRPr="00232B42">
        <w:rPr>
          <w:rFonts w:asciiTheme="minorHAnsi" w:hAnsiTheme="minorHAnsi" w:cstheme="minorHAnsi"/>
        </w:rPr>
        <w:t xml:space="preserve">considère que les conseillers souhaitent conclure que, compte tenu du fait que ce point revêt un caractère urgent pour la continuité des activités, une consultation par correspondance des </w:t>
      </w:r>
      <w:r w:rsidR="00232B42" w:rsidRPr="00232B42">
        <w:rPr>
          <w:rFonts w:asciiTheme="minorHAnsi" w:hAnsiTheme="minorHAnsi" w:cstheme="minorHAnsi"/>
        </w:rPr>
        <w:t>États</w:t>
      </w:r>
      <w:r w:rsidR="00B47907" w:rsidRPr="00232B42">
        <w:rPr>
          <w:rFonts w:asciiTheme="minorHAnsi" w:hAnsiTheme="minorHAnsi" w:cstheme="minorHAnsi"/>
        </w:rPr>
        <w:t xml:space="preserve"> </w:t>
      </w:r>
      <w:r w:rsidR="00D90F44">
        <w:rPr>
          <w:rFonts w:asciiTheme="minorHAnsi" w:hAnsiTheme="minorHAnsi" w:cstheme="minorHAnsi"/>
        </w:rPr>
        <w:t>M</w:t>
      </w:r>
      <w:r w:rsidR="00B47907" w:rsidRPr="00232B42">
        <w:rPr>
          <w:rFonts w:asciiTheme="minorHAnsi" w:hAnsiTheme="minorHAnsi" w:cstheme="minorHAnsi"/>
        </w:rPr>
        <w:t>embres du Conseil sera menée pour prendre note du rapport figurant dans le Document C20/30(Rév.1). En outre, un plan d'urgence de</w:t>
      </w:r>
      <w:r w:rsidR="008967D7">
        <w:rPr>
          <w:rFonts w:asciiTheme="minorHAnsi" w:hAnsiTheme="minorHAnsi" w:cstheme="minorHAnsi"/>
        </w:rPr>
        <w:t>vrait être élaboré au cas où la </w:t>
      </w:r>
      <w:r w:rsidR="00B47907" w:rsidRPr="00232B42">
        <w:rPr>
          <w:rFonts w:asciiTheme="minorHAnsi" w:hAnsiTheme="minorHAnsi" w:cstheme="minorHAnsi"/>
        </w:rPr>
        <w:t xml:space="preserve">CMDT ne pourrait pas se tenir en </w:t>
      </w:r>
      <w:r w:rsidR="00232B42" w:rsidRPr="00232B42">
        <w:rPr>
          <w:rFonts w:asciiTheme="minorHAnsi" w:hAnsiTheme="minorHAnsi" w:cstheme="minorHAnsi"/>
        </w:rPr>
        <w:t>Éthiopie</w:t>
      </w:r>
      <w:r w:rsidR="00B47907" w:rsidRPr="00232B42">
        <w:rPr>
          <w:rFonts w:asciiTheme="minorHAnsi" w:hAnsiTheme="minorHAnsi" w:cstheme="minorHAnsi"/>
        </w:rPr>
        <w:t xml:space="preserve">. </w:t>
      </w:r>
    </w:p>
    <w:p w14:paraId="5E02D475" w14:textId="12823312" w:rsidR="004718F1" w:rsidRPr="00232B42" w:rsidRDefault="00F21B58" w:rsidP="008D7CEA">
      <w:pPr>
        <w:spacing w:line="240" w:lineRule="auto"/>
      </w:pPr>
      <w:r w:rsidRPr="00232B42">
        <w:t>2.3</w:t>
      </w:r>
      <w:r w:rsidRPr="00232B42">
        <w:tab/>
        <w:t xml:space="preserve">Il en est ainsi </w:t>
      </w:r>
      <w:r w:rsidRPr="00232B42">
        <w:rPr>
          <w:rFonts w:asciiTheme="minorHAnsi" w:hAnsiTheme="minorHAnsi" w:cstheme="minorHAnsi"/>
          <w:b/>
          <w:bCs/>
        </w:rPr>
        <w:t>conclu</w:t>
      </w:r>
      <w:r w:rsidRPr="00232B42">
        <w:t>.</w:t>
      </w:r>
    </w:p>
    <w:p w14:paraId="43E55BCD" w14:textId="65D3CC00" w:rsidR="00F21B58" w:rsidRPr="00232B42" w:rsidRDefault="00F21B58" w:rsidP="00D90F44">
      <w:pPr>
        <w:pStyle w:val="Heading1"/>
        <w:spacing w:before="360"/>
        <w:rPr>
          <w:rFonts w:asciiTheme="minorHAnsi" w:eastAsiaTheme="minorHAnsi" w:hAnsiTheme="minorHAnsi" w:cstheme="minorHAnsi"/>
          <w:bCs/>
          <w:sz w:val="26"/>
          <w:szCs w:val="26"/>
        </w:rPr>
      </w:pPr>
      <w:r w:rsidRPr="00232B42">
        <w:rPr>
          <w:rFonts w:asciiTheme="minorHAnsi" w:eastAsiaTheme="minorHAnsi" w:hAnsiTheme="minorHAnsi" w:cstheme="minorHAnsi"/>
          <w:bCs/>
          <w:sz w:val="26"/>
          <w:szCs w:val="26"/>
        </w:rPr>
        <w:t>3</w:t>
      </w:r>
      <w:r w:rsidRPr="00232B42">
        <w:rPr>
          <w:rFonts w:asciiTheme="minorHAnsi" w:eastAsiaTheme="minorHAnsi" w:hAnsiTheme="minorHAnsi" w:cstheme="minorHAnsi"/>
          <w:bCs/>
          <w:sz w:val="26"/>
          <w:szCs w:val="26"/>
        </w:rPr>
        <w:tab/>
      </w:r>
      <w:r w:rsidR="00B47907" w:rsidRPr="00232B42">
        <w:t>Travaux préparatoires en vue de l</w:t>
      </w:r>
      <w:r w:rsidR="00125C02" w:rsidRPr="00232B42">
        <w:t>'</w:t>
      </w:r>
      <w:r w:rsidR="00B47907" w:rsidRPr="00232B42">
        <w:t>AMNT-20 (suite)</w:t>
      </w:r>
      <w:r w:rsidR="00B47907" w:rsidRPr="00232B42">
        <w:rPr>
          <w:rFonts w:asciiTheme="minorHAnsi" w:hAnsiTheme="minorHAnsi" w:cstheme="minorHAnsi"/>
          <w:bCs/>
          <w:spacing w:val="4"/>
          <w:sz w:val="26"/>
          <w:szCs w:val="26"/>
        </w:rPr>
        <w:t xml:space="preserve"> </w:t>
      </w:r>
      <w:r w:rsidRPr="00232B42">
        <w:rPr>
          <w:rFonts w:asciiTheme="minorHAnsi" w:hAnsiTheme="minorHAnsi" w:cstheme="minorHAnsi"/>
          <w:bCs/>
          <w:spacing w:val="4"/>
          <w:sz w:val="26"/>
          <w:szCs w:val="26"/>
        </w:rPr>
        <w:t xml:space="preserve">(Documents </w:t>
      </w:r>
      <w:hyperlink r:id="rId23" w:history="1">
        <w:r w:rsidRPr="00232B42">
          <w:rPr>
            <w:rStyle w:val="Hyperlink"/>
            <w:rFonts w:asciiTheme="minorHAnsi" w:hAnsiTheme="minorHAnsi" w:cstheme="minorHAnsi"/>
            <w:bCs/>
            <w:spacing w:val="4"/>
            <w:sz w:val="26"/>
            <w:szCs w:val="26"/>
          </w:rPr>
          <w:t>C20/24(</w:t>
        </w:r>
        <w:r w:rsidR="00E50591" w:rsidRPr="00232B42">
          <w:rPr>
            <w:rStyle w:val="Hyperlink"/>
            <w:rFonts w:asciiTheme="minorHAnsi" w:hAnsiTheme="minorHAnsi" w:cstheme="minorHAnsi"/>
            <w:bCs/>
            <w:spacing w:val="4"/>
            <w:sz w:val="26"/>
            <w:szCs w:val="26"/>
          </w:rPr>
          <w:t>Rév</w:t>
        </w:r>
        <w:r w:rsidRPr="00232B42">
          <w:rPr>
            <w:rStyle w:val="Hyperlink"/>
            <w:rFonts w:asciiTheme="minorHAnsi" w:hAnsiTheme="minorHAnsi" w:cstheme="minorHAnsi"/>
            <w:bCs/>
            <w:spacing w:val="4"/>
            <w:sz w:val="26"/>
            <w:szCs w:val="26"/>
          </w:rPr>
          <w:t>.1)</w:t>
        </w:r>
      </w:hyperlink>
      <w:r w:rsidRPr="00232B42">
        <w:rPr>
          <w:rFonts w:asciiTheme="minorHAnsi" w:hAnsiTheme="minorHAnsi" w:cstheme="minorHAnsi"/>
          <w:bCs/>
          <w:spacing w:val="4"/>
          <w:sz w:val="26"/>
          <w:szCs w:val="26"/>
        </w:rPr>
        <w:t xml:space="preserve">, </w:t>
      </w:r>
      <w:hyperlink r:id="rId24" w:history="1">
        <w:r w:rsidRPr="00232B42">
          <w:rPr>
            <w:rStyle w:val="Hyperlink"/>
            <w:rFonts w:asciiTheme="minorHAnsi" w:hAnsiTheme="minorHAnsi" w:cstheme="minorHAnsi"/>
            <w:bCs/>
            <w:spacing w:val="4"/>
            <w:sz w:val="26"/>
            <w:szCs w:val="26"/>
          </w:rPr>
          <w:t>C20/72</w:t>
        </w:r>
      </w:hyperlink>
      <w:r w:rsidRPr="00232B42">
        <w:rPr>
          <w:rFonts w:asciiTheme="minorHAnsi" w:hAnsiTheme="minorHAnsi" w:cstheme="minorHAnsi"/>
          <w:bCs/>
          <w:spacing w:val="4"/>
          <w:sz w:val="26"/>
          <w:szCs w:val="26"/>
        </w:rPr>
        <w:t xml:space="preserve">, </w:t>
      </w:r>
      <w:hyperlink r:id="rId25" w:history="1">
        <w:r w:rsidRPr="00232B42">
          <w:rPr>
            <w:rStyle w:val="Hyperlink"/>
            <w:rFonts w:asciiTheme="minorHAnsi" w:hAnsiTheme="minorHAnsi" w:cstheme="minorHAnsi"/>
            <w:bCs/>
            <w:spacing w:val="4"/>
            <w:sz w:val="26"/>
            <w:szCs w:val="26"/>
          </w:rPr>
          <w:t>VC-2/2</w:t>
        </w:r>
      </w:hyperlink>
      <w:r w:rsidRPr="00232B42">
        <w:rPr>
          <w:rFonts w:asciiTheme="minorHAnsi" w:hAnsiTheme="minorHAnsi" w:cstheme="minorHAnsi"/>
          <w:bCs/>
          <w:spacing w:val="4"/>
          <w:sz w:val="26"/>
          <w:szCs w:val="26"/>
        </w:rPr>
        <w:t xml:space="preserve">, </w:t>
      </w:r>
      <w:hyperlink r:id="rId26" w:history="1">
        <w:r w:rsidRPr="00232B42">
          <w:rPr>
            <w:rStyle w:val="Hyperlink"/>
            <w:rFonts w:asciiTheme="minorHAnsi" w:hAnsiTheme="minorHAnsi" w:cstheme="minorHAnsi"/>
            <w:bCs/>
            <w:sz w:val="26"/>
            <w:szCs w:val="26"/>
          </w:rPr>
          <w:t>VC-2/3</w:t>
        </w:r>
      </w:hyperlink>
      <w:r w:rsidRPr="00232B42">
        <w:rPr>
          <w:rFonts w:asciiTheme="minorHAnsi" w:hAnsiTheme="minorHAnsi" w:cstheme="minorHAnsi"/>
          <w:bCs/>
          <w:sz w:val="26"/>
          <w:szCs w:val="26"/>
        </w:rPr>
        <w:t xml:space="preserve">, </w:t>
      </w:r>
      <w:hyperlink r:id="rId27" w:history="1">
        <w:r w:rsidRPr="00232B42">
          <w:rPr>
            <w:rStyle w:val="Hyperlink"/>
            <w:rFonts w:asciiTheme="minorHAnsi" w:hAnsiTheme="minorHAnsi" w:cstheme="minorHAnsi"/>
            <w:bCs/>
            <w:sz w:val="26"/>
            <w:szCs w:val="26"/>
          </w:rPr>
          <w:t>VC-2/4(Corr.1)</w:t>
        </w:r>
      </w:hyperlink>
      <w:r w:rsidRPr="00232B42">
        <w:rPr>
          <w:rFonts w:asciiTheme="minorHAnsi" w:hAnsiTheme="minorHAnsi" w:cstheme="minorHAnsi"/>
          <w:bCs/>
          <w:sz w:val="26"/>
          <w:szCs w:val="26"/>
        </w:rPr>
        <w:t xml:space="preserve">, </w:t>
      </w:r>
      <w:hyperlink r:id="rId28" w:history="1">
        <w:r w:rsidRPr="00232B42">
          <w:rPr>
            <w:rStyle w:val="Hyperlink"/>
            <w:rFonts w:asciiTheme="minorHAnsi" w:hAnsiTheme="minorHAnsi" w:cstheme="minorHAnsi"/>
            <w:bCs/>
            <w:sz w:val="26"/>
            <w:szCs w:val="26"/>
          </w:rPr>
          <w:t>VC-2/7</w:t>
        </w:r>
      </w:hyperlink>
      <w:r w:rsidRPr="00232B42">
        <w:rPr>
          <w:rFonts w:asciiTheme="minorHAnsi" w:hAnsiTheme="minorHAnsi" w:cstheme="minorHAnsi"/>
          <w:bCs/>
          <w:sz w:val="26"/>
          <w:szCs w:val="26"/>
        </w:rPr>
        <w:t xml:space="preserve">, </w:t>
      </w:r>
      <w:hyperlink r:id="rId29" w:history="1">
        <w:r w:rsidRPr="00232B42">
          <w:rPr>
            <w:rStyle w:val="Hyperlink"/>
            <w:rFonts w:asciiTheme="minorHAnsi" w:hAnsiTheme="minorHAnsi" w:cstheme="minorHAnsi"/>
            <w:bCs/>
            <w:sz w:val="26"/>
            <w:szCs w:val="26"/>
          </w:rPr>
          <w:t>VC-2/8</w:t>
        </w:r>
      </w:hyperlink>
      <w:r w:rsidRPr="00232B42">
        <w:rPr>
          <w:rFonts w:asciiTheme="minorHAnsi" w:hAnsiTheme="minorHAnsi" w:cstheme="minorHAnsi"/>
          <w:bCs/>
          <w:sz w:val="26"/>
          <w:szCs w:val="26"/>
        </w:rPr>
        <w:t xml:space="preserve">, </w:t>
      </w:r>
      <w:hyperlink r:id="rId30" w:history="1">
        <w:r w:rsidRPr="00232B42">
          <w:rPr>
            <w:rStyle w:val="Hyperlink"/>
            <w:rFonts w:asciiTheme="minorHAnsi" w:hAnsiTheme="minorHAnsi" w:cstheme="minorHAnsi"/>
            <w:bCs/>
            <w:sz w:val="26"/>
            <w:szCs w:val="26"/>
          </w:rPr>
          <w:t>VC-2/9</w:t>
        </w:r>
      </w:hyperlink>
      <w:r w:rsidRPr="00232B42">
        <w:rPr>
          <w:rFonts w:asciiTheme="minorHAnsi" w:hAnsiTheme="minorHAnsi" w:cstheme="minorHAnsi"/>
          <w:bCs/>
          <w:sz w:val="26"/>
          <w:szCs w:val="26"/>
        </w:rPr>
        <w:t xml:space="preserve">, </w:t>
      </w:r>
      <w:hyperlink r:id="rId31" w:history="1">
        <w:r w:rsidRPr="00232B42">
          <w:rPr>
            <w:rStyle w:val="Hyperlink"/>
            <w:rFonts w:asciiTheme="minorHAnsi" w:hAnsiTheme="minorHAnsi" w:cstheme="minorHAnsi"/>
            <w:bCs/>
            <w:sz w:val="26"/>
            <w:szCs w:val="26"/>
          </w:rPr>
          <w:t>C20/INF/23</w:t>
        </w:r>
      </w:hyperlink>
      <w:r w:rsidRPr="00232B42">
        <w:rPr>
          <w:rFonts w:asciiTheme="minorHAnsi" w:hAnsiTheme="minorHAnsi" w:cstheme="minorHAnsi"/>
          <w:bCs/>
          <w:sz w:val="26"/>
          <w:szCs w:val="26"/>
        </w:rPr>
        <w:t>)</w:t>
      </w:r>
    </w:p>
    <w:p w14:paraId="50FFAD00" w14:textId="3C42D1ED" w:rsidR="00F21B58" w:rsidRPr="00232B42" w:rsidRDefault="00F21B58" w:rsidP="008D7CEA">
      <w:pPr>
        <w:tabs>
          <w:tab w:val="clear" w:pos="794"/>
          <w:tab w:val="clear" w:pos="1191"/>
          <w:tab w:val="clear" w:pos="1588"/>
          <w:tab w:val="clear" w:pos="1985"/>
        </w:tabs>
        <w:spacing w:before="120" w:after="120" w:line="240" w:lineRule="auto"/>
        <w:rPr>
          <w:rFonts w:asciiTheme="minorHAnsi" w:hAnsiTheme="minorHAnsi" w:cstheme="minorHAnsi"/>
        </w:rPr>
      </w:pPr>
      <w:r w:rsidRPr="00232B42">
        <w:rPr>
          <w:rFonts w:asciiTheme="minorHAnsi" w:hAnsiTheme="minorHAnsi" w:cstheme="minorHAnsi"/>
        </w:rPr>
        <w:t>3.1</w:t>
      </w:r>
      <w:r w:rsidRPr="00232B42">
        <w:rPr>
          <w:rFonts w:asciiTheme="minorHAnsi" w:hAnsiTheme="minorHAnsi" w:cstheme="minorHAnsi"/>
        </w:rPr>
        <w:tab/>
      </w:r>
      <w:r w:rsidR="00E50591" w:rsidRPr="00232B42">
        <w:rPr>
          <w:rFonts w:asciiTheme="minorHAnsi" w:hAnsiTheme="minorHAnsi" w:cstheme="minorHAnsi"/>
        </w:rPr>
        <w:t xml:space="preserve">Le Président </w:t>
      </w:r>
      <w:r w:rsidR="00EE0864" w:rsidRPr="00232B42">
        <w:rPr>
          <w:rFonts w:asciiTheme="minorHAnsi" w:hAnsiTheme="minorHAnsi" w:cstheme="minorHAnsi"/>
        </w:rPr>
        <w:t xml:space="preserve">attire l'attention sur le Document C20/INF/23, qui propose des orientations à suivre à la lumière des discussions antérieures (voir le compte rendu de la première séance (Document </w:t>
      </w:r>
      <w:hyperlink r:id="rId32" w:history="1">
        <w:r w:rsidR="00EE0864" w:rsidRPr="00232B42">
          <w:rPr>
            <w:rStyle w:val="Hyperlink"/>
            <w:rFonts w:asciiTheme="minorHAnsi" w:hAnsiTheme="minorHAnsi" w:cstheme="minorHAnsi"/>
          </w:rPr>
          <w:t>VC-2/10</w:t>
        </w:r>
      </w:hyperlink>
      <w:r w:rsidR="00EE0864" w:rsidRPr="00232B42">
        <w:rPr>
          <w:rFonts w:asciiTheme="minorHAnsi" w:hAnsiTheme="minorHAnsi" w:cstheme="minorHAnsi"/>
        </w:rPr>
        <w:t>)), au cours desquelles des conseillers n'ont</w:t>
      </w:r>
      <w:r w:rsidR="00A477F3" w:rsidRPr="00232B42">
        <w:rPr>
          <w:rFonts w:asciiTheme="minorHAnsi" w:hAnsiTheme="minorHAnsi" w:cstheme="minorHAnsi"/>
        </w:rPr>
        <w:t xml:space="preserve"> formulé aucune </w:t>
      </w:r>
      <w:r w:rsidR="00EE0864" w:rsidRPr="00232B42">
        <w:rPr>
          <w:rFonts w:asciiTheme="minorHAnsi" w:hAnsiTheme="minorHAnsi" w:cstheme="minorHAnsi"/>
        </w:rPr>
        <w:t xml:space="preserve">objection </w:t>
      </w:r>
      <w:r w:rsidR="00A477F3" w:rsidRPr="00232B42">
        <w:rPr>
          <w:rFonts w:asciiTheme="minorHAnsi" w:hAnsiTheme="minorHAnsi" w:cstheme="minorHAnsi"/>
        </w:rPr>
        <w:t>à l</w:t>
      </w:r>
      <w:r w:rsidR="00125C02" w:rsidRPr="00232B42">
        <w:rPr>
          <w:rFonts w:asciiTheme="minorHAnsi" w:hAnsiTheme="minorHAnsi" w:cstheme="minorHAnsi"/>
        </w:rPr>
        <w:t>'</w:t>
      </w:r>
      <w:r w:rsidR="00A477F3" w:rsidRPr="00232B42">
        <w:rPr>
          <w:rFonts w:asciiTheme="minorHAnsi" w:hAnsiTheme="minorHAnsi" w:cstheme="minorHAnsi"/>
        </w:rPr>
        <w:t>encontre de</w:t>
      </w:r>
      <w:r w:rsidR="00EE0864" w:rsidRPr="00232B42">
        <w:rPr>
          <w:rFonts w:asciiTheme="minorHAnsi" w:hAnsiTheme="minorHAnsi" w:cstheme="minorHAnsi"/>
        </w:rPr>
        <w:t xml:space="preserve"> la proposition </w:t>
      </w:r>
      <w:r w:rsidR="00A477F3" w:rsidRPr="00232B42">
        <w:rPr>
          <w:rFonts w:asciiTheme="minorHAnsi" w:hAnsiTheme="minorHAnsi" w:cstheme="minorHAnsi"/>
        </w:rPr>
        <w:t>visant à</w:t>
      </w:r>
      <w:r w:rsidR="00EE0864" w:rsidRPr="00232B42">
        <w:rPr>
          <w:rFonts w:asciiTheme="minorHAnsi" w:hAnsiTheme="minorHAnsi" w:cstheme="minorHAnsi"/>
        </w:rPr>
        <w:t xml:space="preserve"> tenir une </w:t>
      </w:r>
      <w:r w:rsidR="00A477F3" w:rsidRPr="00232B42">
        <w:rPr>
          <w:rFonts w:asciiTheme="minorHAnsi" w:hAnsiTheme="minorHAnsi" w:cstheme="minorHAnsi"/>
        </w:rPr>
        <w:t>AMNT</w:t>
      </w:r>
      <w:r w:rsidR="00EE0864" w:rsidRPr="00232B42">
        <w:rPr>
          <w:rFonts w:asciiTheme="minorHAnsi" w:hAnsiTheme="minorHAnsi" w:cstheme="minorHAnsi"/>
        </w:rPr>
        <w:t xml:space="preserve"> physique à Hyderabad</w:t>
      </w:r>
      <w:r w:rsidR="00A477F3" w:rsidRPr="00232B42">
        <w:rPr>
          <w:rFonts w:asciiTheme="minorHAnsi" w:hAnsiTheme="minorHAnsi" w:cstheme="minorHAnsi"/>
        </w:rPr>
        <w:t xml:space="preserve"> (</w:t>
      </w:r>
      <w:r w:rsidR="00EE0864" w:rsidRPr="00232B42">
        <w:rPr>
          <w:rFonts w:asciiTheme="minorHAnsi" w:hAnsiTheme="minorHAnsi" w:cstheme="minorHAnsi"/>
        </w:rPr>
        <w:t>Inde</w:t>
      </w:r>
      <w:r w:rsidR="00A477F3" w:rsidRPr="00232B42">
        <w:rPr>
          <w:rFonts w:asciiTheme="minorHAnsi" w:hAnsiTheme="minorHAnsi" w:cstheme="minorHAnsi"/>
        </w:rPr>
        <w:t xml:space="preserve">) </w:t>
      </w:r>
      <w:r w:rsidR="00EE0864" w:rsidRPr="00232B42">
        <w:rPr>
          <w:rFonts w:asciiTheme="minorHAnsi" w:hAnsiTheme="minorHAnsi" w:cstheme="minorHAnsi"/>
        </w:rPr>
        <w:t xml:space="preserve">en mars 2022, mais ont </w:t>
      </w:r>
      <w:r w:rsidR="00A477F3" w:rsidRPr="00232B42">
        <w:rPr>
          <w:rFonts w:asciiTheme="minorHAnsi" w:hAnsiTheme="minorHAnsi" w:cstheme="minorHAnsi"/>
        </w:rPr>
        <w:t xml:space="preserve">fait part de </w:t>
      </w:r>
      <w:r w:rsidR="00EE0864" w:rsidRPr="00232B42">
        <w:rPr>
          <w:rFonts w:asciiTheme="minorHAnsi" w:hAnsiTheme="minorHAnsi" w:cstheme="minorHAnsi"/>
        </w:rPr>
        <w:t>leur</w:t>
      </w:r>
      <w:r w:rsidR="00A477F3" w:rsidRPr="00232B42">
        <w:rPr>
          <w:rFonts w:asciiTheme="minorHAnsi" w:hAnsiTheme="minorHAnsi" w:cstheme="minorHAnsi"/>
        </w:rPr>
        <w:t>s</w:t>
      </w:r>
      <w:r w:rsidR="00EE0864" w:rsidRPr="00232B42">
        <w:rPr>
          <w:rFonts w:asciiTheme="minorHAnsi" w:hAnsiTheme="minorHAnsi" w:cstheme="minorHAnsi"/>
        </w:rPr>
        <w:t xml:space="preserve"> préoccupation</w:t>
      </w:r>
      <w:r w:rsidR="00A477F3" w:rsidRPr="00232B42">
        <w:rPr>
          <w:rFonts w:asciiTheme="minorHAnsi" w:hAnsiTheme="minorHAnsi" w:cstheme="minorHAnsi"/>
        </w:rPr>
        <w:t>s</w:t>
      </w:r>
      <w:r w:rsidR="00EE0864" w:rsidRPr="00232B42">
        <w:rPr>
          <w:rFonts w:asciiTheme="minorHAnsi" w:hAnsiTheme="minorHAnsi" w:cstheme="minorHAnsi"/>
        </w:rPr>
        <w:t xml:space="preserve"> </w:t>
      </w:r>
      <w:r w:rsidR="00A477F3" w:rsidRPr="00232B42">
        <w:rPr>
          <w:rFonts w:asciiTheme="minorHAnsi" w:hAnsiTheme="minorHAnsi" w:cstheme="minorHAnsi"/>
        </w:rPr>
        <w:t>au sujet de</w:t>
      </w:r>
      <w:r w:rsidR="00EE0864" w:rsidRPr="00232B42">
        <w:rPr>
          <w:rFonts w:asciiTheme="minorHAnsi" w:hAnsiTheme="minorHAnsi" w:cstheme="minorHAnsi"/>
        </w:rPr>
        <w:t xml:space="preserve"> la continuité des travaux de l'UIT-</w:t>
      </w:r>
      <w:r w:rsidR="00A477F3" w:rsidRPr="00232B42">
        <w:rPr>
          <w:rFonts w:asciiTheme="minorHAnsi" w:hAnsiTheme="minorHAnsi" w:cstheme="minorHAnsi"/>
        </w:rPr>
        <w:t>T, du</w:t>
      </w:r>
      <w:r w:rsidR="00EE0864" w:rsidRPr="00232B42">
        <w:rPr>
          <w:rFonts w:asciiTheme="minorHAnsi" w:hAnsiTheme="minorHAnsi" w:cstheme="minorHAnsi"/>
        </w:rPr>
        <w:t xml:space="preserve"> calendrier général des</w:t>
      </w:r>
      <w:r w:rsidR="00A477F3" w:rsidRPr="00232B42">
        <w:rPr>
          <w:rFonts w:asciiTheme="minorHAnsi" w:hAnsiTheme="minorHAnsi" w:cstheme="minorHAnsi"/>
        </w:rPr>
        <w:t xml:space="preserve"> manifestations pour</w:t>
      </w:r>
      <w:r w:rsidR="00EE0864" w:rsidRPr="00232B42">
        <w:rPr>
          <w:rFonts w:asciiTheme="minorHAnsi" w:hAnsiTheme="minorHAnsi" w:cstheme="minorHAnsi"/>
        </w:rPr>
        <w:t xml:space="preserve"> 2021 et 2022</w:t>
      </w:r>
      <w:r w:rsidR="00A477F3" w:rsidRPr="00232B42">
        <w:rPr>
          <w:rFonts w:asciiTheme="minorHAnsi" w:hAnsiTheme="minorHAnsi" w:cstheme="minorHAnsi"/>
        </w:rPr>
        <w:t xml:space="preserve"> </w:t>
      </w:r>
      <w:r w:rsidR="00EE0864" w:rsidRPr="00232B42">
        <w:rPr>
          <w:rFonts w:asciiTheme="minorHAnsi" w:hAnsiTheme="minorHAnsi" w:cstheme="minorHAnsi"/>
        </w:rPr>
        <w:t xml:space="preserve">et </w:t>
      </w:r>
      <w:r w:rsidR="00A477F3" w:rsidRPr="00232B42">
        <w:rPr>
          <w:rFonts w:asciiTheme="minorHAnsi" w:hAnsiTheme="minorHAnsi" w:cstheme="minorHAnsi"/>
        </w:rPr>
        <w:t>de</w:t>
      </w:r>
      <w:r w:rsidR="00EE0864" w:rsidRPr="00232B42">
        <w:rPr>
          <w:rFonts w:asciiTheme="minorHAnsi" w:hAnsiTheme="minorHAnsi" w:cstheme="minorHAnsi"/>
        </w:rPr>
        <w:t xml:space="preserve"> la proposition</w:t>
      </w:r>
      <w:r w:rsidR="00A477F3" w:rsidRPr="00232B42">
        <w:rPr>
          <w:rFonts w:asciiTheme="minorHAnsi" w:hAnsiTheme="minorHAnsi" w:cstheme="minorHAnsi"/>
        </w:rPr>
        <w:t xml:space="preserve"> </w:t>
      </w:r>
      <w:r w:rsidR="00687824" w:rsidRPr="00232B42">
        <w:rPr>
          <w:rFonts w:asciiTheme="minorHAnsi" w:hAnsiTheme="minorHAnsi" w:cstheme="minorHAnsi"/>
        </w:rPr>
        <w:t>visan</w:t>
      </w:r>
      <w:r w:rsidR="00A477F3" w:rsidRPr="00232B42">
        <w:rPr>
          <w:rFonts w:asciiTheme="minorHAnsi" w:hAnsiTheme="minorHAnsi" w:cstheme="minorHAnsi"/>
        </w:rPr>
        <w:t xml:space="preserve">t à organiser </w:t>
      </w:r>
      <w:r w:rsidR="00EE0864" w:rsidRPr="00232B42">
        <w:rPr>
          <w:rFonts w:asciiTheme="minorHAnsi" w:hAnsiTheme="minorHAnsi" w:cstheme="minorHAnsi"/>
        </w:rPr>
        <w:t xml:space="preserve">une </w:t>
      </w:r>
      <w:r w:rsidR="00A477F3" w:rsidRPr="00232B42">
        <w:rPr>
          <w:rFonts w:asciiTheme="minorHAnsi" w:hAnsiTheme="minorHAnsi" w:cstheme="minorHAnsi"/>
        </w:rPr>
        <w:t>AMNT</w:t>
      </w:r>
      <w:r w:rsidR="00EE0864" w:rsidRPr="00232B42">
        <w:rPr>
          <w:rFonts w:asciiTheme="minorHAnsi" w:hAnsiTheme="minorHAnsi" w:cstheme="minorHAnsi"/>
        </w:rPr>
        <w:t xml:space="preserve"> </w:t>
      </w:r>
      <w:r w:rsidR="00A477F3" w:rsidRPr="00232B42">
        <w:rPr>
          <w:rFonts w:asciiTheme="minorHAnsi" w:hAnsiTheme="minorHAnsi" w:cstheme="minorHAnsi"/>
        </w:rPr>
        <w:t xml:space="preserve">de </w:t>
      </w:r>
      <w:r w:rsidR="00EE0864" w:rsidRPr="00232B42">
        <w:rPr>
          <w:rFonts w:asciiTheme="minorHAnsi" w:hAnsiTheme="minorHAnsi" w:cstheme="minorHAnsi"/>
        </w:rPr>
        <w:t>plus courte</w:t>
      </w:r>
      <w:r w:rsidR="00A477F3" w:rsidRPr="00232B42">
        <w:rPr>
          <w:rFonts w:asciiTheme="minorHAnsi" w:hAnsiTheme="minorHAnsi" w:cstheme="minorHAnsi"/>
        </w:rPr>
        <w:t xml:space="preserve"> durée</w:t>
      </w:r>
      <w:r w:rsidR="00EE0864" w:rsidRPr="00232B42">
        <w:rPr>
          <w:rFonts w:asciiTheme="minorHAnsi" w:hAnsiTheme="minorHAnsi" w:cstheme="minorHAnsi"/>
        </w:rPr>
        <w:t>.</w:t>
      </w:r>
      <w:r w:rsidR="008D7CEA" w:rsidRPr="00232B42">
        <w:rPr>
          <w:rFonts w:asciiTheme="minorHAnsi" w:hAnsiTheme="minorHAnsi" w:cstheme="minorHAnsi"/>
        </w:rPr>
        <w:t xml:space="preserve"> </w:t>
      </w:r>
    </w:p>
    <w:p w14:paraId="7B9CB78E" w14:textId="63B79D0E" w:rsidR="00F21B58" w:rsidRPr="00232B42" w:rsidRDefault="00F21B58" w:rsidP="00D90F44">
      <w:pPr>
        <w:spacing w:before="120"/>
      </w:pPr>
      <w:r w:rsidRPr="00232B42">
        <w:t>3.2</w:t>
      </w:r>
      <w:r w:rsidRPr="00232B42">
        <w:tab/>
      </w:r>
      <w:r w:rsidR="00B511CE" w:rsidRPr="00232B42">
        <w:rPr>
          <w:color w:val="000000"/>
        </w:rPr>
        <w:t>Au cours des débats qui s'ensuivent,</w:t>
      </w:r>
      <w:r w:rsidR="00B511CE" w:rsidRPr="00232B42">
        <w:t xml:space="preserve"> </w:t>
      </w:r>
      <w:r w:rsidR="00B511CE" w:rsidRPr="00232B42">
        <w:rPr>
          <w:color w:val="000000"/>
        </w:rPr>
        <w:t>un certain nombre de conseillers se déclarent préoccupés par la durée de la prochaine AMNT, qu</w:t>
      </w:r>
      <w:r w:rsidR="00125C02" w:rsidRPr="00232B42">
        <w:rPr>
          <w:color w:val="000000"/>
        </w:rPr>
        <w:t>'</w:t>
      </w:r>
      <w:r w:rsidR="00B511CE" w:rsidRPr="00232B42">
        <w:rPr>
          <w:color w:val="000000"/>
        </w:rPr>
        <w:t>il est à présent proposé d</w:t>
      </w:r>
      <w:r w:rsidR="00125C02" w:rsidRPr="00232B42">
        <w:rPr>
          <w:color w:val="000000"/>
        </w:rPr>
        <w:t>'</w:t>
      </w:r>
      <w:r w:rsidR="00B511CE" w:rsidRPr="00232B42">
        <w:rPr>
          <w:color w:val="000000"/>
        </w:rPr>
        <w:t>organiser en 2022.</w:t>
      </w:r>
      <w:r w:rsidR="008D7CEA" w:rsidRPr="00232B42">
        <w:rPr>
          <w:color w:val="000000"/>
        </w:rPr>
        <w:t xml:space="preserve"> </w:t>
      </w:r>
      <w:r w:rsidR="00B511CE" w:rsidRPr="00232B42">
        <w:t xml:space="preserve">Plusieurs </w:t>
      </w:r>
      <w:r w:rsidR="00687824" w:rsidRPr="00232B42">
        <w:t>c</w:t>
      </w:r>
      <w:r w:rsidR="00B511CE" w:rsidRPr="00232B42">
        <w:t>onseillers estiment qu</w:t>
      </w:r>
      <w:r w:rsidR="00125C02" w:rsidRPr="00232B42">
        <w:t>'</w:t>
      </w:r>
      <w:r w:rsidR="00E51965" w:rsidRPr="00232B42">
        <w:t>une durée de</w:t>
      </w:r>
      <w:r w:rsidR="00B511CE" w:rsidRPr="00232B42">
        <w:t xml:space="preserve"> cinq jours </w:t>
      </w:r>
      <w:r w:rsidR="00E51965" w:rsidRPr="00232B42">
        <w:t xml:space="preserve">serait </w:t>
      </w:r>
      <w:r w:rsidR="00B511CE" w:rsidRPr="00232B42">
        <w:t>suffi</w:t>
      </w:r>
      <w:r w:rsidR="00E51965" w:rsidRPr="00232B42">
        <w:t>sante</w:t>
      </w:r>
      <w:r w:rsidR="00B511CE" w:rsidRPr="00232B42">
        <w:t>, en particulier si les ordres du jour de l'AMNT-20 et du GCNT sont adaptés comme il se doit.</w:t>
      </w:r>
      <w:r w:rsidR="008D7CEA" w:rsidRPr="00232B42">
        <w:t xml:space="preserve"> </w:t>
      </w:r>
      <w:r w:rsidR="00B511CE" w:rsidRPr="00232B42">
        <w:t>De l</w:t>
      </w:r>
      <w:r w:rsidR="00125C02" w:rsidRPr="00232B42">
        <w:t>'</w:t>
      </w:r>
      <w:r w:rsidR="00B511CE" w:rsidRPr="00232B42">
        <w:t xml:space="preserve">avis de plusieurs autres </w:t>
      </w:r>
      <w:r w:rsidR="00E51965" w:rsidRPr="00232B42">
        <w:t>c</w:t>
      </w:r>
      <w:r w:rsidR="00B511CE" w:rsidRPr="00232B42">
        <w:t>onseillers, ramener la durée de l</w:t>
      </w:r>
      <w:r w:rsidR="00125C02" w:rsidRPr="00232B42">
        <w:t>'</w:t>
      </w:r>
      <w:r w:rsidR="00B511CE" w:rsidRPr="00232B42">
        <w:t>AMNT-20 de neuf à sept jours, comme le proposent le secrétariat et l'Administration indienne, aura</w:t>
      </w:r>
      <w:r w:rsidR="008D7CEA" w:rsidRPr="00232B42">
        <w:t xml:space="preserve"> </w:t>
      </w:r>
      <w:r w:rsidR="00B511CE" w:rsidRPr="00232B42">
        <w:t>des effets négatifs sur l'ordre du jour et nécessitera</w:t>
      </w:r>
      <w:r w:rsidR="00E51965" w:rsidRPr="00232B42">
        <w:t xml:space="preserve"> </w:t>
      </w:r>
      <w:r w:rsidR="00B511CE" w:rsidRPr="00232B42">
        <w:t xml:space="preserve">de tenir des sessions de nuit pendant une année où les travaux préparatoires de la PP-22 limitent les possibilités de travailler de nuit ou durant la </w:t>
      </w:r>
      <w:r w:rsidR="00B511CE" w:rsidRPr="00232B42">
        <w:rPr>
          <w:color w:val="000000"/>
        </w:rPr>
        <w:t>pause-déjeuner</w:t>
      </w:r>
      <w:r w:rsidR="00F72513" w:rsidRPr="00232B42">
        <w:rPr>
          <w:color w:val="000000"/>
        </w:rPr>
        <w:t>. D'autres conseillers pensent eux aussi que la durée de l'AMNT-20 p</w:t>
      </w:r>
      <w:r w:rsidR="00E51965" w:rsidRPr="00232B42">
        <w:rPr>
          <w:color w:val="000000"/>
        </w:rPr>
        <w:t xml:space="preserve">eut </w:t>
      </w:r>
      <w:r w:rsidR="00F72513" w:rsidRPr="00232B42">
        <w:rPr>
          <w:color w:val="000000"/>
        </w:rPr>
        <w:t xml:space="preserve">être ramenée à sept jours, compte tenu des travaux de fond qui seront effectués au préalable par le GCNT, les réunions interrégionales et les commissions d'études. </w:t>
      </w:r>
      <w:r w:rsidR="001C47D4" w:rsidRPr="00232B42">
        <w:rPr>
          <w:color w:val="000000"/>
        </w:rPr>
        <w:t>À</w:t>
      </w:r>
      <w:r w:rsidR="00F72513" w:rsidRPr="00232B42">
        <w:rPr>
          <w:color w:val="000000"/>
        </w:rPr>
        <w:t xml:space="preserve"> cet égard, il serait utile de disposer</w:t>
      </w:r>
      <w:r w:rsidR="00E51965" w:rsidRPr="00232B42">
        <w:rPr>
          <w:color w:val="000000"/>
        </w:rPr>
        <w:t xml:space="preserve"> </w:t>
      </w:r>
      <w:r w:rsidR="00F72513" w:rsidRPr="00232B42">
        <w:rPr>
          <w:color w:val="000000"/>
        </w:rPr>
        <w:t xml:space="preserve">d'informations </w:t>
      </w:r>
      <w:r w:rsidR="00E51965" w:rsidRPr="00232B42">
        <w:rPr>
          <w:color w:val="000000"/>
        </w:rPr>
        <w:t xml:space="preserve">complémentaires </w:t>
      </w:r>
      <w:r w:rsidR="00F72513" w:rsidRPr="00232B42">
        <w:rPr>
          <w:color w:val="000000"/>
        </w:rPr>
        <w:t>sur la répartition des tâches entre l</w:t>
      </w:r>
      <w:r w:rsidR="00837426" w:rsidRPr="00232B42">
        <w:rPr>
          <w:color w:val="000000"/>
        </w:rPr>
        <w:t>e</w:t>
      </w:r>
      <w:r w:rsidR="00F72513" w:rsidRPr="00232B42">
        <w:rPr>
          <w:color w:val="000000"/>
        </w:rPr>
        <w:t xml:space="preserve"> GCNT et l'AMNT, </w:t>
      </w:r>
      <w:r w:rsidR="00837426" w:rsidRPr="00232B42">
        <w:rPr>
          <w:color w:val="000000"/>
        </w:rPr>
        <w:t>pour ce qui est du</w:t>
      </w:r>
      <w:r w:rsidR="00F72513" w:rsidRPr="00232B42">
        <w:rPr>
          <w:color w:val="000000"/>
        </w:rPr>
        <w:t xml:space="preserve"> §</w:t>
      </w:r>
      <w:r w:rsidR="00125C02" w:rsidRPr="00232B42">
        <w:rPr>
          <w:color w:val="000000"/>
        </w:rPr>
        <w:t xml:space="preserve"> </w:t>
      </w:r>
      <w:r w:rsidR="00F72513" w:rsidRPr="00232B42">
        <w:rPr>
          <w:color w:val="000000"/>
        </w:rPr>
        <w:t>7.2 de la Résolution 1 (</w:t>
      </w:r>
      <w:proofErr w:type="spellStart"/>
      <w:r w:rsidR="00F72513" w:rsidRPr="00232B42">
        <w:rPr>
          <w:color w:val="000000"/>
        </w:rPr>
        <w:t>Rév.Hammamet</w:t>
      </w:r>
      <w:proofErr w:type="spellEnd"/>
      <w:r w:rsidR="00F72513" w:rsidRPr="00232B42">
        <w:rPr>
          <w:color w:val="000000"/>
        </w:rPr>
        <w:t>,</w:t>
      </w:r>
      <w:r w:rsidR="00125C02" w:rsidRPr="00232B42">
        <w:rPr>
          <w:color w:val="000000"/>
        </w:rPr>
        <w:t> </w:t>
      </w:r>
      <w:r w:rsidR="00F72513" w:rsidRPr="00232B42">
        <w:rPr>
          <w:color w:val="000000"/>
        </w:rPr>
        <w:t xml:space="preserve">2016), </w:t>
      </w:r>
      <w:r w:rsidR="00E51965" w:rsidRPr="00232B42">
        <w:rPr>
          <w:color w:val="000000"/>
        </w:rPr>
        <w:t xml:space="preserve">concernant </w:t>
      </w:r>
      <w:r w:rsidR="00F72513" w:rsidRPr="00232B42">
        <w:rPr>
          <w:color w:val="000000"/>
        </w:rPr>
        <w:t xml:space="preserve">l'approbation </w:t>
      </w:r>
      <w:r w:rsidR="00837426" w:rsidRPr="00232B42">
        <w:rPr>
          <w:color w:val="000000"/>
        </w:rPr>
        <w:t>des Questions n</w:t>
      </w:r>
      <w:r w:rsidR="00D90F44">
        <w:rPr>
          <w:color w:val="000000"/>
        </w:rPr>
        <w:t>ouvelles ou révisées entre deux </w:t>
      </w:r>
      <w:r w:rsidR="00837426" w:rsidRPr="00232B42">
        <w:rPr>
          <w:color w:val="000000"/>
        </w:rPr>
        <w:t>AMNT</w:t>
      </w:r>
      <w:r w:rsidR="00F72513" w:rsidRPr="00232B42">
        <w:rPr>
          <w:color w:val="000000"/>
        </w:rPr>
        <w:t xml:space="preserve">, et </w:t>
      </w:r>
      <w:r w:rsidR="00837426" w:rsidRPr="00232B42">
        <w:rPr>
          <w:color w:val="000000"/>
        </w:rPr>
        <w:t xml:space="preserve">des points </w:t>
      </w:r>
      <w:r w:rsidR="00F72513" w:rsidRPr="00232B42">
        <w:rPr>
          <w:color w:val="000000"/>
        </w:rPr>
        <w:t>1</w:t>
      </w:r>
      <w:r w:rsidR="00F72513" w:rsidRPr="00232B42">
        <w:rPr>
          <w:i/>
          <w:iCs/>
          <w:color w:val="000000"/>
        </w:rPr>
        <w:t>b)</w:t>
      </w:r>
      <w:r w:rsidR="00F72513" w:rsidRPr="00232B42">
        <w:rPr>
          <w:color w:val="000000"/>
        </w:rPr>
        <w:t xml:space="preserve"> et 1</w:t>
      </w:r>
      <w:r w:rsidR="00F72513" w:rsidRPr="00232B42">
        <w:rPr>
          <w:i/>
          <w:iCs/>
          <w:color w:val="000000"/>
        </w:rPr>
        <w:t>c)</w:t>
      </w:r>
      <w:r w:rsidR="00F72513" w:rsidRPr="00232B42">
        <w:rPr>
          <w:color w:val="000000"/>
        </w:rPr>
        <w:t xml:space="preserve"> </w:t>
      </w:r>
      <w:r w:rsidR="00837426" w:rsidRPr="00232B42">
        <w:rPr>
          <w:color w:val="000000"/>
        </w:rPr>
        <w:t xml:space="preserve">du </w:t>
      </w:r>
      <w:r w:rsidR="00837426" w:rsidRPr="00232B42">
        <w:rPr>
          <w:i/>
          <w:iCs/>
          <w:color w:val="000000"/>
        </w:rPr>
        <w:t>décide</w:t>
      </w:r>
      <w:r w:rsidR="00837426" w:rsidRPr="00232B42">
        <w:rPr>
          <w:color w:val="000000"/>
        </w:rPr>
        <w:t xml:space="preserve"> </w:t>
      </w:r>
      <w:r w:rsidR="00D90F44">
        <w:rPr>
          <w:color w:val="000000"/>
        </w:rPr>
        <w:t>de la Résolution 22 (</w:t>
      </w:r>
      <w:proofErr w:type="spellStart"/>
      <w:r w:rsidR="00D90F44">
        <w:rPr>
          <w:color w:val="000000"/>
        </w:rPr>
        <w:t>Rév.</w:t>
      </w:r>
      <w:r w:rsidR="00F72513" w:rsidRPr="00232B42">
        <w:rPr>
          <w:color w:val="000000"/>
        </w:rPr>
        <w:t>Hammamet</w:t>
      </w:r>
      <w:proofErr w:type="spellEnd"/>
      <w:r w:rsidR="00F72513" w:rsidRPr="00232B42">
        <w:rPr>
          <w:color w:val="000000"/>
        </w:rPr>
        <w:t xml:space="preserve">, 2016), </w:t>
      </w:r>
      <w:r w:rsidR="00837426" w:rsidRPr="00232B42">
        <w:rPr>
          <w:color w:val="000000"/>
        </w:rPr>
        <w:t xml:space="preserve">qui portent respectivement </w:t>
      </w:r>
      <w:r w:rsidR="00F72513" w:rsidRPr="00232B42">
        <w:rPr>
          <w:color w:val="000000"/>
        </w:rPr>
        <w:t xml:space="preserve">sur l'élaboration des Recommandations UIT-T de la série A et la création des </w:t>
      </w:r>
      <w:r w:rsidR="001C47D4" w:rsidRPr="00232B42">
        <w:rPr>
          <w:color w:val="000000"/>
        </w:rPr>
        <w:t>C</w:t>
      </w:r>
      <w:r w:rsidR="00F72513" w:rsidRPr="00232B42">
        <w:rPr>
          <w:color w:val="000000"/>
        </w:rPr>
        <w:t xml:space="preserve">ommissions d'études </w:t>
      </w:r>
      <w:r w:rsidR="00E51965" w:rsidRPr="00232B42">
        <w:rPr>
          <w:color w:val="000000"/>
        </w:rPr>
        <w:t>de l</w:t>
      </w:r>
      <w:r w:rsidR="00125C02" w:rsidRPr="00232B42">
        <w:rPr>
          <w:color w:val="000000"/>
        </w:rPr>
        <w:t>'</w:t>
      </w:r>
      <w:r w:rsidR="00F72513" w:rsidRPr="00232B42">
        <w:rPr>
          <w:color w:val="000000"/>
        </w:rPr>
        <w:t>UIT-T</w:t>
      </w:r>
      <w:r w:rsidR="00837426" w:rsidRPr="00232B42">
        <w:rPr>
          <w:color w:val="000000"/>
        </w:rPr>
        <w:t xml:space="preserve">. </w:t>
      </w:r>
    </w:p>
    <w:p w14:paraId="463ACBA1" w14:textId="2DA68A1A" w:rsidR="00F21B58" w:rsidRPr="00232B42" w:rsidRDefault="00F21B58" w:rsidP="00125C02">
      <w:pPr>
        <w:keepLines/>
      </w:pPr>
      <w:r w:rsidRPr="00232B42">
        <w:lastRenderedPageBreak/>
        <w:t>3.3</w:t>
      </w:r>
      <w:r w:rsidRPr="00232B42">
        <w:tab/>
      </w:r>
      <w:r w:rsidR="00137EDA" w:rsidRPr="00232B42">
        <w:t>Plusieurs conseillers</w:t>
      </w:r>
      <w:r w:rsidR="00E51965" w:rsidRPr="00232B42">
        <w:t xml:space="preserve"> </w:t>
      </w:r>
      <w:r w:rsidR="00137EDA" w:rsidRPr="00232B42">
        <w:rPr>
          <w:color w:val="000000"/>
        </w:rPr>
        <w:t>se déclar</w:t>
      </w:r>
      <w:r w:rsidR="00E51965" w:rsidRPr="00232B42">
        <w:rPr>
          <w:color w:val="000000"/>
        </w:rPr>
        <w:t>e</w:t>
      </w:r>
      <w:r w:rsidR="00137EDA" w:rsidRPr="00232B42">
        <w:rPr>
          <w:color w:val="000000"/>
        </w:rPr>
        <w:t>nt favorable</w:t>
      </w:r>
      <w:r w:rsidR="00E51965" w:rsidRPr="00232B42">
        <w:rPr>
          <w:color w:val="000000"/>
        </w:rPr>
        <w:t>s</w:t>
      </w:r>
      <w:r w:rsidR="00137EDA" w:rsidRPr="00232B42">
        <w:rPr>
          <w:color w:val="000000"/>
        </w:rPr>
        <w:t xml:space="preserve"> </w:t>
      </w:r>
      <w:r w:rsidR="00137EDA" w:rsidRPr="00232B42">
        <w:t xml:space="preserve">à une AMNT de plus courte durée, </w:t>
      </w:r>
      <w:r w:rsidR="00E51965" w:rsidRPr="00232B42">
        <w:t>mais</w:t>
      </w:r>
      <w:r w:rsidR="00137EDA" w:rsidRPr="00232B42">
        <w:t xml:space="preserve"> soulignent qu</w:t>
      </w:r>
      <w:r w:rsidR="00125C02" w:rsidRPr="00232B42">
        <w:t>'</w:t>
      </w:r>
      <w:r w:rsidR="00137EDA" w:rsidRPr="00232B42">
        <w:t>ils espéraient, avant qu</w:t>
      </w:r>
      <w:r w:rsidR="00125C02" w:rsidRPr="00232B42">
        <w:t>'</w:t>
      </w:r>
      <w:r w:rsidR="00137EDA" w:rsidRPr="00232B42">
        <w:t xml:space="preserve">une décision soit prise, </w:t>
      </w:r>
      <w:r w:rsidR="00137EDA" w:rsidRPr="00232B42">
        <w:rPr>
          <w:color w:val="000000"/>
        </w:rPr>
        <w:t xml:space="preserve">disposer d'un aperçu général </w:t>
      </w:r>
      <w:r w:rsidR="00137EDA" w:rsidRPr="00232B42">
        <w:t xml:space="preserve">du calendrier des manifestations </w:t>
      </w:r>
      <w:r w:rsidR="00E51965" w:rsidRPr="00232B42">
        <w:t>au cours des</w:t>
      </w:r>
      <w:r w:rsidR="00137EDA" w:rsidRPr="00232B42">
        <w:t xml:space="preserve"> années à venir, en particulier en ce qui concerne </w:t>
      </w:r>
      <w:r w:rsidR="00E51965" w:rsidRPr="00232B42">
        <w:t>la série</w:t>
      </w:r>
      <w:r w:rsidR="008D7CEA" w:rsidRPr="00232B42">
        <w:t xml:space="preserve"> </w:t>
      </w:r>
      <w:r w:rsidR="00137EDA" w:rsidRPr="00232B42">
        <w:rPr>
          <w:color w:val="000000"/>
        </w:rPr>
        <w:t>de réunions des GTC</w:t>
      </w:r>
      <w:r w:rsidR="00137EDA" w:rsidRPr="00232B42">
        <w:t xml:space="preserve"> prévue pour février 2022, et </w:t>
      </w:r>
      <w:r w:rsidR="00FA2624" w:rsidRPr="00232B42">
        <w:rPr>
          <w:color w:val="000000"/>
        </w:rPr>
        <w:t>avoir une bonne compréhension</w:t>
      </w:r>
      <w:r w:rsidR="00FA2624" w:rsidRPr="00232B42">
        <w:t xml:space="preserve"> </w:t>
      </w:r>
      <w:r w:rsidR="00137EDA" w:rsidRPr="00232B42">
        <w:t xml:space="preserve">du processus </w:t>
      </w:r>
      <w:r w:rsidR="00FA2624" w:rsidRPr="00232B42">
        <w:rPr>
          <w:color w:val="000000"/>
        </w:rPr>
        <w:t xml:space="preserve">décisionnel </w:t>
      </w:r>
      <w:r w:rsidR="00137EDA" w:rsidRPr="00232B42">
        <w:t xml:space="preserve">virtuel </w:t>
      </w:r>
      <w:r w:rsidR="00E51965" w:rsidRPr="00232B42">
        <w:t xml:space="preserve">qui sera suivi </w:t>
      </w:r>
      <w:r w:rsidR="00137EDA" w:rsidRPr="00232B42">
        <w:t xml:space="preserve">pour le GCNT et les </w:t>
      </w:r>
      <w:r w:rsidR="00FA2624" w:rsidRPr="00232B42">
        <w:rPr>
          <w:color w:val="000000"/>
        </w:rPr>
        <w:t>commissions d'études.</w:t>
      </w:r>
    </w:p>
    <w:p w14:paraId="58A2C1DE" w14:textId="25183B45" w:rsidR="00F21B58" w:rsidRPr="00232B42" w:rsidRDefault="00F21B58" w:rsidP="008D7CEA">
      <w:pPr>
        <w:tabs>
          <w:tab w:val="clear" w:pos="794"/>
          <w:tab w:val="clear" w:pos="1191"/>
          <w:tab w:val="clear" w:pos="1588"/>
          <w:tab w:val="clear" w:pos="1985"/>
        </w:tabs>
        <w:spacing w:before="120" w:after="120" w:line="240" w:lineRule="auto"/>
        <w:rPr>
          <w:rFonts w:asciiTheme="minorHAnsi" w:hAnsiTheme="minorHAnsi" w:cstheme="minorHAnsi"/>
        </w:rPr>
      </w:pPr>
      <w:r w:rsidRPr="00232B42">
        <w:rPr>
          <w:rFonts w:asciiTheme="minorHAnsi" w:hAnsiTheme="minorHAnsi" w:cstheme="minorHAnsi"/>
        </w:rPr>
        <w:t>3.4</w:t>
      </w:r>
      <w:r w:rsidRPr="00232B42">
        <w:rPr>
          <w:rFonts w:asciiTheme="minorHAnsi" w:hAnsiTheme="minorHAnsi" w:cstheme="minorHAnsi"/>
        </w:rPr>
        <w:tab/>
      </w:r>
      <w:r w:rsidR="00FA2624" w:rsidRPr="00232B42">
        <w:rPr>
          <w:rFonts w:asciiTheme="minorHAnsi" w:hAnsiTheme="minorHAnsi" w:cstheme="minorHAnsi"/>
        </w:rPr>
        <w:t>Une conseillère s'interro</w:t>
      </w:r>
      <w:r w:rsidR="00E51965" w:rsidRPr="00232B42">
        <w:rPr>
          <w:rFonts w:asciiTheme="minorHAnsi" w:hAnsiTheme="minorHAnsi" w:cstheme="minorHAnsi"/>
        </w:rPr>
        <w:t>g</w:t>
      </w:r>
      <w:r w:rsidR="00FA2624" w:rsidRPr="00232B42">
        <w:rPr>
          <w:rFonts w:asciiTheme="minorHAnsi" w:hAnsiTheme="minorHAnsi" w:cstheme="minorHAnsi"/>
        </w:rPr>
        <w:t>e sur la nécessité de tenir trois réunions interrégionales</w:t>
      </w:r>
      <w:r w:rsidR="00E51965" w:rsidRPr="00232B42">
        <w:rPr>
          <w:rFonts w:asciiTheme="minorHAnsi" w:hAnsiTheme="minorHAnsi" w:cstheme="minorHAnsi"/>
        </w:rPr>
        <w:t xml:space="preserve"> et</w:t>
      </w:r>
      <w:r w:rsidR="00FA2624" w:rsidRPr="00232B42">
        <w:rPr>
          <w:rFonts w:asciiTheme="minorHAnsi" w:hAnsiTheme="minorHAnsi" w:cstheme="minorHAnsi"/>
        </w:rPr>
        <w:t xml:space="preserve"> estim</w:t>
      </w:r>
      <w:r w:rsidR="00E51965" w:rsidRPr="00232B42">
        <w:rPr>
          <w:rFonts w:asciiTheme="minorHAnsi" w:hAnsiTheme="minorHAnsi" w:cstheme="minorHAnsi"/>
        </w:rPr>
        <w:t>e</w:t>
      </w:r>
      <w:r w:rsidR="00FA2624" w:rsidRPr="00232B42">
        <w:rPr>
          <w:rFonts w:asciiTheme="minorHAnsi" w:hAnsiTheme="minorHAnsi" w:cstheme="minorHAnsi"/>
        </w:rPr>
        <w:t xml:space="preserve"> qu'il suffirait d'en tenir une ou deux, entre la première et la troisième réunion du GCNT.</w:t>
      </w:r>
    </w:p>
    <w:p w14:paraId="76F44E71" w14:textId="2F579CCF" w:rsidR="00F21B58" w:rsidRPr="00232B42" w:rsidRDefault="00F21B58" w:rsidP="00D90F44">
      <w:pPr>
        <w:spacing w:before="120"/>
      </w:pPr>
      <w:r w:rsidRPr="00232B42">
        <w:t>3.5</w:t>
      </w:r>
      <w:r w:rsidRPr="00232B42">
        <w:tab/>
      </w:r>
      <w:r w:rsidR="00FA2624" w:rsidRPr="00232B42">
        <w:t xml:space="preserve">Le Chef du Département des </w:t>
      </w:r>
      <w:r w:rsidR="00232B42" w:rsidRPr="00232B42">
        <w:rPr>
          <w:color w:val="000000"/>
        </w:rPr>
        <w:t>C</w:t>
      </w:r>
      <w:r w:rsidR="00FA2624" w:rsidRPr="00232B42">
        <w:rPr>
          <w:color w:val="000000"/>
        </w:rPr>
        <w:t xml:space="preserve">ommissions d'études </w:t>
      </w:r>
      <w:r w:rsidR="00FA2624" w:rsidRPr="00232B42">
        <w:t>de l'UIT-T fait observer que l'AMNT-16 a duré huit jours et comportait des séances de nuit et rappelle</w:t>
      </w:r>
      <w:r w:rsidR="00BD2046" w:rsidRPr="00232B42">
        <w:t xml:space="preserve"> </w:t>
      </w:r>
      <w:r w:rsidR="00FA2624" w:rsidRPr="00232B42">
        <w:t>qu</w:t>
      </w:r>
      <w:r w:rsidR="00125C02" w:rsidRPr="00232B42">
        <w:t>'</w:t>
      </w:r>
      <w:r w:rsidR="00FA2624" w:rsidRPr="00232B42">
        <w:t xml:space="preserve">initialement, il était proposé que la durée de l'AMNT-20 soit de neuf jours. </w:t>
      </w:r>
      <w:r w:rsidR="00125C02" w:rsidRPr="00232B42">
        <w:t>À</w:t>
      </w:r>
      <w:r w:rsidR="00FA2624" w:rsidRPr="00232B42">
        <w:t xml:space="preserve"> présent que cette conférence a été reportée </w:t>
      </w:r>
      <w:r w:rsidR="00E51965" w:rsidRPr="00232B42">
        <w:t>en</w:t>
      </w:r>
      <w:r w:rsidR="00FA2624" w:rsidRPr="00232B42">
        <w:t xml:space="preserve"> 2022, le GCNT, le processus préparatoire régional et les </w:t>
      </w:r>
      <w:r w:rsidR="00232B42" w:rsidRPr="00232B42">
        <w:rPr>
          <w:color w:val="000000"/>
        </w:rPr>
        <w:t>C</w:t>
      </w:r>
      <w:r w:rsidR="00FA2624" w:rsidRPr="00232B42">
        <w:rPr>
          <w:color w:val="000000"/>
        </w:rPr>
        <w:t xml:space="preserve">ommissions d'études </w:t>
      </w:r>
      <w:r w:rsidR="00FA2624" w:rsidRPr="00232B42">
        <w:t xml:space="preserve">de l'UIT-T auront </w:t>
      </w:r>
      <w:r w:rsidR="00FA2624" w:rsidRPr="00232B42">
        <w:rPr>
          <w:color w:val="000000"/>
        </w:rPr>
        <w:t>amplement le temps en 2021 de</w:t>
      </w:r>
      <w:r w:rsidR="00FA2624" w:rsidRPr="00232B42">
        <w:t xml:space="preserve"> progresser dans l'examen des questions inscrites à l'ordre du jour de l'AMNT</w:t>
      </w:r>
      <w:r w:rsidR="00BD2046" w:rsidRPr="00232B42">
        <w:t>, d'où la proposition, présentée en concertation avec l'Administration indienne, d</w:t>
      </w:r>
      <w:r w:rsidR="00125C02" w:rsidRPr="00232B42">
        <w:t>'</w:t>
      </w:r>
      <w:r w:rsidR="00BD2046" w:rsidRPr="00232B42">
        <w:t>en limiter la durée à sept jours. Il ne semble pas possible de ramener la durée de</w:t>
      </w:r>
      <w:r w:rsidR="00E51965" w:rsidRPr="00232B42">
        <w:t xml:space="preserve"> cette</w:t>
      </w:r>
      <w:r w:rsidR="00BD2046" w:rsidRPr="00232B42">
        <w:t xml:space="preserve"> conférence à cinq jours, dans la mesure où </w:t>
      </w:r>
      <w:r w:rsidR="00E51965" w:rsidRPr="00232B42">
        <w:t xml:space="preserve">une réunion statutaire importante, à savoir </w:t>
      </w:r>
      <w:r w:rsidR="00BD2046" w:rsidRPr="00232B42">
        <w:t xml:space="preserve">le </w:t>
      </w:r>
      <w:r w:rsidR="00BD2046" w:rsidRPr="00232B42">
        <w:rPr>
          <w:color w:val="000000"/>
        </w:rPr>
        <w:t>Colloque mondial sur la normalisation</w:t>
      </w:r>
      <w:r w:rsidR="00BD2046" w:rsidRPr="00232B42">
        <w:t xml:space="preserve"> (GSS), doit avoir lieu </w:t>
      </w:r>
      <w:r w:rsidR="00BD2046" w:rsidRPr="00232B42">
        <w:rPr>
          <w:color w:val="000000"/>
        </w:rPr>
        <w:t xml:space="preserve">en même temps que </w:t>
      </w:r>
      <w:r w:rsidR="00BD2046" w:rsidRPr="00232B42">
        <w:t xml:space="preserve">l'AMNT. </w:t>
      </w:r>
      <w:r w:rsidR="00FA2624" w:rsidRPr="00232B42">
        <w:t xml:space="preserve">De plus, il est important que l'AMNT-20 </w:t>
      </w:r>
      <w:r w:rsidR="00BD2046" w:rsidRPr="00232B42">
        <w:t xml:space="preserve">se déroule à cheval sur </w:t>
      </w:r>
      <w:r w:rsidR="00FA2624" w:rsidRPr="00232B42">
        <w:t xml:space="preserve">un week-end, pour permettre </w:t>
      </w:r>
      <w:r w:rsidR="00BD2046" w:rsidRPr="00232B42">
        <w:t>à la Commission</w:t>
      </w:r>
      <w:r w:rsidR="00FA2624" w:rsidRPr="00232B42">
        <w:t xml:space="preserve"> de rédaction de travailler sur les </w:t>
      </w:r>
      <w:r w:rsidR="00BD2046" w:rsidRPr="00232B42">
        <w:t>R</w:t>
      </w:r>
      <w:r w:rsidR="00FA2624" w:rsidRPr="00232B42">
        <w:t xml:space="preserve">ésolutions et </w:t>
      </w:r>
      <w:r w:rsidR="00E51965" w:rsidRPr="00232B42">
        <w:t>pour que les</w:t>
      </w:r>
      <w:r w:rsidR="00FA2624" w:rsidRPr="00232B42">
        <w:t xml:space="preserve"> délégués</w:t>
      </w:r>
      <w:r w:rsidR="00E51965" w:rsidRPr="00232B42">
        <w:t xml:space="preserve"> puissent</w:t>
      </w:r>
      <w:r w:rsidR="00FA2624" w:rsidRPr="00232B42">
        <w:t xml:space="preserve"> se reposer</w:t>
      </w:r>
      <w:r w:rsidR="00E51965" w:rsidRPr="00232B42">
        <w:t>,</w:t>
      </w:r>
      <w:r w:rsidR="00FA2624" w:rsidRPr="00232B42">
        <w:t xml:space="preserve"> après une semaine de délibérations</w:t>
      </w:r>
      <w:r w:rsidR="00E51965" w:rsidRPr="00232B42">
        <w:t>,</w:t>
      </w:r>
      <w:r w:rsidR="00FA2624" w:rsidRPr="00232B42">
        <w:t xml:space="preserve"> et </w:t>
      </w:r>
      <w:r w:rsidR="00BD2046" w:rsidRPr="00232B42">
        <w:t>visiter</w:t>
      </w:r>
      <w:r w:rsidR="00FA2624" w:rsidRPr="00232B42">
        <w:t xml:space="preserve"> le pays hôte</w:t>
      </w:r>
      <w:r w:rsidR="00594733" w:rsidRPr="00232B42">
        <w:t>.</w:t>
      </w:r>
    </w:p>
    <w:p w14:paraId="635CFDF8" w14:textId="040DABDB" w:rsidR="00F21B58" w:rsidRPr="00232B42" w:rsidRDefault="00F21B58" w:rsidP="00D90F44">
      <w:pPr>
        <w:spacing w:before="120"/>
      </w:pPr>
      <w:r w:rsidRPr="00232B42">
        <w:t>3.6</w:t>
      </w:r>
      <w:r w:rsidRPr="00232B42">
        <w:tab/>
      </w:r>
      <w:r w:rsidR="00E51965" w:rsidRPr="00232B42">
        <w:t>S</w:t>
      </w:r>
      <w:r w:rsidR="00125C02" w:rsidRPr="00232B42">
        <w:t>'</w:t>
      </w:r>
      <w:r w:rsidR="00E51965" w:rsidRPr="00232B42">
        <w:t>agissant de</w:t>
      </w:r>
      <w:r w:rsidR="00594733" w:rsidRPr="00232B42">
        <w:t xml:space="preserve"> la répartition des tâches entre l</w:t>
      </w:r>
      <w:r w:rsidR="00D90F44">
        <w:t>e</w:t>
      </w:r>
      <w:r w:rsidR="00594733" w:rsidRPr="00232B42">
        <w:t xml:space="preserve"> GCNT et l'AMNT, le Chef du Département des </w:t>
      </w:r>
      <w:r w:rsidR="00232B42" w:rsidRPr="00232B42">
        <w:rPr>
          <w:color w:val="000000"/>
        </w:rPr>
        <w:t>C</w:t>
      </w:r>
      <w:r w:rsidR="00594733" w:rsidRPr="00232B42">
        <w:rPr>
          <w:color w:val="000000"/>
        </w:rPr>
        <w:t xml:space="preserve">ommissions d'études </w:t>
      </w:r>
      <w:r w:rsidR="00594733" w:rsidRPr="00232B42">
        <w:t xml:space="preserve">de l'UIT-T attire l'attention sur les informations fournies dans les Documents C20/INF/23 et VC-2/3. L'AMNT </w:t>
      </w:r>
      <w:r w:rsidR="00701DE7" w:rsidRPr="00232B42">
        <w:t xml:space="preserve">se tiendra selon </w:t>
      </w:r>
      <w:r w:rsidR="00594733" w:rsidRPr="00232B42">
        <w:t xml:space="preserve">son ordre du jour habituel, tel qu'il </w:t>
      </w:r>
      <w:r w:rsidR="00701DE7" w:rsidRPr="00232B42">
        <w:t>figure</w:t>
      </w:r>
      <w:r w:rsidR="00594733" w:rsidRPr="00232B42">
        <w:t xml:space="preserve"> dans le </w:t>
      </w:r>
      <w:r w:rsidR="00701DE7" w:rsidRPr="00232B42">
        <w:t>D</w:t>
      </w:r>
      <w:r w:rsidR="00594733" w:rsidRPr="00232B42">
        <w:t>ocument C20/INF/23.</w:t>
      </w:r>
      <w:r w:rsidR="00701DE7" w:rsidRPr="00232B42">
        <w:t xml:space="preserve"> Au cours de ses trois ré</w:t>
      </w:r>
      <w:r w:rsidR="00D90F44">
        <w:t>unions actuellement prévues, le </w:t>
      </w:r>
      <w:r w:rsidR="00701DE7" w:rsidRPr="00232B42">
        <w:t>GCNT progressera dans l</w:t>
      </w:r>
      <w:r w:rsidR="00125C02" w:rsidRPr="00232B42">
        <w:t>'</w:t>
      </w:r>
      <w:r w:rsidR="00701DE7" w:rsidRPr="00232B42">
        <w:t>examen d</w:t>
      </w:r>
      <w:r w:rsidR="00125C02" w:rsidRPr="00232B42">
        <w:t>'</w:t>
      </w:r>
      <w:r w:rsidR="00701DE7" w:rsidRPr="00232B42">
        <w:t>un certain nombre de questions, en particulier les Recommandations UIT-T de la série A, qu'il est habilité à approuver et à mettre à jour. Le GCNT est également compétent, en vertu du §</w:t>
      </w:r>
      <w:r w:rsidR="00D90F44">
        <w:t xml:space="preserve"> 7.2 de la Résolution 1 (</w:t>
      </w:r>
      <w:proofErr w:type="spellStart"/>
      <w:r w:rsidR="00D90F44">
        <w:t>Rév.</w:t>
      </w:r>
      <w:r w:rsidR="00701DE7" w:rsidRPr="00232B42">
        <w:t>Hammamet</w:t>
      </w:r>
      <w:proofErr w:type="spellEnd"/>
      <w:r w:rsidR="00701DE7" w:rsidRPr="00232B42">
        <w:t xml:space="preserve">, 2016), pour approuver les Questions confiées aux </w:t>
      </w:r>
      <w:r w:rsidR="00232B42" w:rsidRPr="00232B42">
        <w:t>C</w:t>
      </w:r>
      <w:r w:rsidR="00701DE7" w:rsidRPr="00232B42">
        <w:t>ommissions d'études de l'UIT-T.</w:t>
      </w:r>
    </w:p>
    <w:p w14:paraId="01880DD5" w14:textId="386A582C" w:rsidR="00F21B58" w:rsidRPr="00232B42" w:rsidRDefault="00F21B58" w:rsidP="00D90F44">
      <w:pPr>
        <w:spacing w:before="120"/>
      </w:pPr>
      <w:r w:rsidRPr="00232B42">
        <w:t>3.7</w:t>
      </w:r>
      <w:r w:rsidRPr="00232B42">
        <w:tab/>
      </w:r>
      <w:r w:rsidR="00701DE7" w:rsidRPr="00232B42">
        <w:t xml:space="preserve">Le </w:t>
      </w:r>
      <w:r w:rsidR="00D90F44">
        <w:t>C</w:t>
      </w:r>
      <w:r w:rsidR="00701DE7" w:rsidRPr="00232B42">
        <w:t>onseiller de l</w:t>
      </w:r>
      <w:r w:rsidR="00125C02" w:rsidRPr="00232B42">
        <w:t>'</w:t>
      </w:r>
      <w:r w:rsidR="00701DE7" w:rsidRPr="00232B42">
        <w:t xml:space="preserve">inde </w:t>
      </w:r>
      <w:r w:rsidR="00687208" w:rsidRPr="00232B42">
        <w:t>souligne</w:t>
      </w:r>
      <w:r w:rsidR="00701DE7" w:rsidRPr="00232B42">
        <w:t xml:space="preserve"> que son </w:t>
      </w:r>
      <w:r w:rsidR="00E51965" w:rsidRPr="00232B42">
        <w:t>A</w:t>
      </w:r>
      <w:r w:rsidR="00701DE7" w:rsidRPr="00232B42">
        <w:t xml:space="preserve">dministration </w:t>
      </w:r>
      <w:r w:rsidR="00687208" w:rsidRPr="00232B42">
        <w:t>fait preuve d</w:t>
      </w:r>
      <w:r w:rsidR="00125C02" w:rsidRPr="00232B42">
        <w:t>'</w:t>
      </w:r>
      <w:r w:rsidR="00E51965" w:rsidRPr="00232B42">
        <w:t>une certaine</w:t>
      </w:r>
      <w:r w:rsidR="00687208" w:rsidRPr="00232B42">
        <w:t xml:space="preserve"> souplesse</w:t>
      </w:r>
      <w:r w:rsidR="00701DE7" w:rsidRPr="00232B42">
        <w:t xml:space="preserve"> quant à l'organisation d</w:t>
      </w:r>
      <w:r w:rsidR="00687208" w:rsidRPr="00232B42">
        <w:t>e l</w:t>
      </w:r>
      <w:r w:rsidR="00701DE7" w:rsidRPr="00232B42">
        <w:t xml:space="preserve">'AMNT-20 </w:t>
      </w:r>
      <w:r w:rsidR="00687208" w:rsidRPr="00232B42">
        <w:t>pendant une période de</w:t>
      </w:r>
      <w:r w:rsidR="00701DE7" w:rsidRPr="00232B42">
        <w:t xml:space="preserve"> neuf ou sept jours, mais qu'elle serait réticente </w:t>
      </w:r>
      <w:r w:rsidR="00687208" w:rsidRPr="00232B42">
        <w:rPr>
          <w:color w:val="000000"/>
        </w:rPr>
        <w:t>à l'idée de</w:t>
      </w:r>
      <w:r w:rsidR="00701DE7" w:rsidRPr="00232B42">
        <w:t xml:space="preserve"> </w:t>
      </w:r>
      <w:r w:rsidR="00687208" w:rsidRPr="00232B42">
        <w:t>ramener à cinq jours la durée de cette conférence</w:t>
      </w:r>
      <w:r w:rsidR="00701DE7" w:rsidRPr="00232B42">
        <w:t xml:space="preserve">, </w:t>
      </w:r>
      <w:r w:rsidR="00687208" w:rsidRPr="00232B42">
        <w:t>étant donné</w:t>
      </w:r>
      <w:r w:rsidR="00701DE7" w:rsidRPr="00232B42">
        <w:t xml:space="preserve"> </w:t>
      </w:r>
      <w:r w:rsidR="00687208" w:rsidRPr="00232B42">
        <w:t>qu</w:t>
      </w:r>
      <w:r w:rsidR="00125C02" w:rsidRPr="00232B42">
        <w:t>'</w:t>
      </w:r>
      <w:r w:rsidR="00701DE7" w:rsidRPr="00232B42">
        <w:t xml:space="preserve">une visite </w:t>
      </w:r>
      <w:r w:rsidR="00687208" w:rsidRPr="00232B42">
        <w:t>du</w:t>
      </w:r>
      <w:r w:rsidR="00701DE7" w:rsidRPr="00232B42">
        <w:t xml:space="preserve"> pays hôte</w:t>
      </w:r>
      <w:r w:rsidR="00687208" w:rsidRPr="00232B42">
        <w:rPr>
          <w:color w:val="000000"/>
        </w:rPr>
        <w:t xml:space="preserve"> pendant le week-end</w:t>
      </w:r>
      <w:r w:rsidR="00701DE7" w:rsidRPr="00232B42">
        <w:t xml:space="preserve"> est un aspect essentiel de toute conférence. En réponse à la </w:t>
      </w:r>
      <w:r w:rsidR="00D90F44">
        <w:t>C</w:t>
      </w:r>
      <w:r w:rsidR="00701DE7" w:rsidRPr="00232B42">
        <w:t xml:space="preserve">onseillère </w:t>
      </w:r>
      <w:r w:rsidR="00687208" w:rsidRPr="00232B42">
        <w:t>de l</w:t>
      </w:r>
      <w:r w:rsidR="00125C02" w:rsidRPr="00232B42">
        <w:t>'</w:t>
      </w:r>
      <w:r w:rsidR="00687208" w:rsidRPr="00232B42">
        <w:t>E</w:t>
      </w:r>
      <w:r w:rsidR="00701DE7" w:rsidRPr="00232B42">
        <w:t xml:space="preserve">spagne, qui fait remarquer que le Mobile World </w:t>
      </w:r>
      <w:proofErr w:type="spellStart"/>
      <w:r w:rsidR="00701DE7" w:rsidRPr="00232B42">
        <w:t>Congress</w:t>
      </w:r>
      <w:proofErr w:type="spellEnd"/>
      <w:r w:rsidR="00701DE7" w:rsidRPr="00232B42">
        <w:t xml:space="preserve"> se tiendra dans son pays fin février/début mars 2022, il </w:t>
      </w:r>
      <w:r w:rsidR="00EC0104" w:rsidRPr="00232B42">
        <w:t xml:space="preserve">précise </w:t>
      </w:r>
      <w:r w:rsidR="00701DE7" w:rsidRPr="00232B42">
        <w:t>que les dates du 1er au 9 mars 2022</w:t>
      </w:r>
      <w:r w:rsidR="00687208" w:rsidRPr="00232B42">
        <w:t xml:space="preserve"> proposées pour l</w:t>
      </w:r>
      <w:r w:rsidR="00125C02" w:rsidRPr="00232B42">
        <w:t>'</w:t>
      </w:r>
      <w:r w:rsidR="00687208" w:rsidRPr="00232B42">
        <w:t>AMNT-20</w:t>
      </w:r>
      <w:r w:rsidR="008D7CEA" w:rsidRPr="00232B42">
        <w:t xml:space="preserve"> </w:t>
      </w:r>
      <w:r w:rsidR="00701DE7" w:rsidRPr="00232B42">
        <w:t>t</w:t>
      </w:r>
      <w:r w:rsidR="00687208" w:rsidRPr="00232B42">
        <w:t>ienne</w:t>
      </w:r>
      <w:r w:rsidR="00701DE7" w:rsidRPr="00232B42">
        <w:t xml:space="preserve">nt compte du fait que </w:t>
      </w:r>
      <w:r w:rsidR="00687208" w:rsidRPr="00232B42">
        <w:t>c</w:t>
      </w:r>
      <w:r w:rsidR="00701DE7" w:rsidRPr="00232B42">
        <w:t xml:space="preserve">e </w:t>
      </w:r>
      <w:r w:rsidR="00687208" w:rsidRPr="00232B42">
        <w:t>C</w:t>
      </w:r>
      <w:r w:rsidR="00701DE7" w:rsidRPr="00232B42">
        <w:t>ongrès se tient généralement à la fin de février.</w:t>
      </w:r>
    </w:p>
    <w:p w14:paraId="5B8745B8" w14:textId="360F8301" w:rsidR="00F21B58" w:rsidRPr="00232B42" w:rsidRDefault="00F21B58" w:rsidP="00D90F44">
      <w:pPr>
        <w:spacing w:before="120"/>
      </w:pPr>
      <w:r w:rsidRPr="00232B42">
        <w:t>3.8</w:t>
      </w:r>
      <w:r w:rsidRPr="00232B42">
        <w:tab/>
      </w:r>
      <w:r w:rsidR="00687208" w:rsidRPr="00232B42">
        <w:t xml:space="preserve">Une conseillère demande quelle plate-forme sera utilisée pour les réunions virtuelles, la plate-forme utilisée lors de la réunion précédente du GCNT n'ayant pas donné des résultats particulièrement </w:t>
      </w:r>
      <w:proofErr w:type="gramStart"/>
      <w:r w:rsidR="0080108F" w:rsidRPr="00232B42">
        <w:t>satisfaisants</w:t>
      </w:r>
      <w:r w:rsidR="00687208" w:rsidRPr="00232B42">
        <w:t>;</w:t>
      </w:r>
      <w:proofErr w:type="gramEnd"/>
      <w:r w:rsidR="00687208" w:rsidRPr="00232B42">
        <w:t xml:space="preserve"> elle sugg</w:t>
      </w:r>
      <w:r w:rsidR="00F10E97" w:rsidRPr="00232B42">
        <w:t>ère</w:t>
      </w:r>
      <w:r w:rsidR="00687208" w:rsidRPr="00232B42">
        <w:t xml:space="preserve"> que ces réunions soient organisées à tour de rôle dans différent</w:t>
      </w:r>
      <w:r w:rsidR="00CB1E60" w:rsidRPr="00232B42">
        <w:t>e</w:t>
      </w:r>
      <w:r w:rsidR="00687208" w:rsidRPr="00232B42">
        <w:t xml:space="preserve">s </w:t>
      </w:r>
      <w:r w:rsidR="00CB1E60" w:rsidRPr="00232B42">
        <w:t>zones</w:t>
      </w:r>
      <w:r w:rsidR="00687208" w:rsidRPr="00232B42">
        <w:t xml:space="preserve"> horaires.</w:t>
      </w:r>
    </w:p>
    <w:p w14:paraId="69E37933" w14:textId="112BA84B" w:rsidR="0080108F" w:rsidRPr="00232B42" w:rsidRDefault="00F21B58" w:rsidP="00D90F44">
      <w:pPr>
        <w:spacing w:before="120"/>
      </w:pPr>
      <w:r w:rsidRPr="00232B42">
        <w:t>3.9</w:t>
      </w:r>
      <w:r w:rsidRPr="00232B42">
        <w:tab/>
      </w:r>
      <w:r w:rsidR="009C4BCF" w:rsidRPr="00232B42">
        <w:t xml:space="preserve">Le Chef du Département des </w:t>
      </w:r>
      <w:r w:rsidR="00125C02" w:rsidRPr="00232B42">
        <w:t>C</w:t>
      </w:r>
      <w:r w:rsidR="009C4BCF" w:rsidRPr="00232B42">
        <w:t>ommissions d'études de l'UIT-T confirme que les réunions virtuelles seront la solution par défaut tant que les voyages internationaux ne ser</w:t>
      </w:r>
      <w:r w:rsidR="0080108F" w:rsidRPr="00232B42">
        <w:t>o</w:t>
      </w:r>
      <w:r w:rsidR="009C4BCF" w:rsidRPr="00232B42">
        <w:t>nt pas possibles</w:t>
      </w:r>
      <w:r w:rsidR="008D7CEA" w:rsidRPr="00232B42">
        <w:t xml:space="preserve"> </w:t>
      </w:r>
      <w:r w:rsidR="0080108F" w:rsidRPr="00232B42">
        <w:t>Un dysfonctionnement technique regrettable s'</w:t>
      </w:r>
      <w:r w:rsidR="00EC0104" w:rsidRPr="00232B42">
        <w:t>e</w:t>
      </w:r>
      <w:r w:rsidR="0080108F" w:rsidRPr="00232B42">
        <w:t>st produit avec la version logicielle de la plate</w:t>
      </w:r>
      <w:r w:rsidR="00232B42" w:rsidRPr="00232B42">
        <w:noBreakHyphen/>
      </w:r>
      <w:r w:rsidR="0080108F" w:rsidRPr="00232B42">
        <w:t>forme utilisée pour la réunion précédente du GCNT, mais aucun problème similaire ne devrait se poser si le nombre de participants est limité à 230.</w:t>
      </w:r>
    </w:p>
    <w:p w14:paraId="5D3FE8FC" w14:textId="77777777" w:rsidR="0080108F" w:rsidRPr="00232B42" w:rsidRDefault="0080108F" w:rsidP="00125C02">
      <w:r w:rsidRPr="00232B42">
        <w:br w:type="page"/>
      </w:r>
    </w:p>
    <w:p w14:paraId="33CA28BF" w14:textId="73E71200" w:rsidR="00F21B58" w:rsidRPr="00232B42" w:rsidRDefault="00F21B58" w:rsidP="00D90F44">
      <w:pPr>
        <w:spacing w:before="120"/>
      </w:pPr>
      <w:r w:rsidRPr="00232B42">
        <w:lastRenderedPageBreak/>
        <w:t>3.10</w:t>
      </w:r>
      <w:r w:rsidRPr="00232B42">
        <w:tab/>
      </w:r>
      <w:r w:rsidR="0080108F" w:rsidRPr="00232B42">
        <w:t>En réponse à une demande de précisions, le Directeur du TSB explique que</w:t>
      </w:r>
      <w:r w:rsidR="0080108F" w:rsidRPr="00232B42">
        <w:rPr>
          <w:color w:val="000000"/>
        </w:rPr>
        <w:t xml:space="preserve"> la date limite pour la</w:t>
      </w:r>
      <w:r w:rsidR="0080108F" w:rsidRPr="00232B42">
        <w:t xml:space="preserve"> </w:t>
      </w:r>
      <w:r w:rsidR="00292645" w:rsidRPr="00232B42">
        <w:t>présentation des candidatures aux fonctions de</w:t>
      </w:r>
      <w:r w:rsidR="0080108F" w:rsidRPr="00232B42">
        <w:t xml:space="preserve"> Président et de Vice-Président de l'UIT-T sera r</w:t>
      </w:r>
      <w:r w:rsidR="00292645" w:rsidRPr="00232B42">
        <w:t xml:space="preserve">éexaminée </w:t>
      </w:r>
      <w:r w:rsidR="0080108F" w:rsidRPr="00232B42">
        <w:t xml:space="preserve">à la suite de la consultation par correspondance des États </w:t>
      </w:r>
      <w:r w:rsidR="004E6C4C">
        <w:t>M</w:t>
      </w:r>
      <w:r w:rsidR="0080108F" w:rsidRPr="00232B42">
        <w:t>embres du Conseil sur les résultats des délibérations en cours.</w:t>
      </w:r>
    </w:p>
    <w:p w14:paraId="6D8A0605" w14:textId="296A1696" w:rsidR="00F21B58" w:rsidRPr="00232B42" w:rsidRDefault="00F21B58" w:rsidP="00D90F44">
      <w:pPr>
        <w:spacing w:before="120"/>
      </w:pPr>
      <w:r w:rsidRPr="00232B42">
        <w:t>3.11</w:t>
      </w:r>
      <w:r w:rsidRPr="00232B42">
        <w:tab/>
      </w:r>
      <w:r w:rsidR="00E50591" w:rsidRPr="00232B42">
        <w:t>Le Président</w:t>
      </w:r>
      <w:r w:rsidR="00292645" w:rsidRPr="00232B42">
        <w:t xml:space="preserve"> considère que les conseillers souhaitent conclure que, compte tenu du caractère urgent de ce point, une consultation par correspondance des États </w:t>
      </w:r>
      <w:r w:rsidR="00EC0104" w:rsidRPr="00232B42">
        <w:t>M</w:t>
      </w:r>
      <w:r w:rsidR="00292645" w:rsidRPr="00232B42">
        <w:t>embres du Conseil sera menée</w:t>
      </w:r>
      <w:r w:rsidR="00125C02" w:rsidRPr="00232B42">
        <w:t>:</w:t>
      </w:r>
      <w:r w:rsidR="00292645" w:rsidRPr="00232B42">
        <w:t xml:space="preserve"> 1) pour prendre note du Document C20/24(Rév.1); 2) pour approuver la modification de la Décision 608 </w:t>
      </w:r>
      <w:r w:rsidR="00292645" w:rsidRPr="00232B42">
        <w:rPr>
          <w:color w:val="000000"/>
        </w:rPr>
        <w:t>visant à reporter l'AMNT pour qu'elle se tienne du 1er au 9 mars 2022, précédée du GSS le 28 février 2022</w:t>
      </w:r>
      <w:r w:rsidR="00292645" w:rsidRPr="00232B42">
        <w:t>; et 3) pour</w:t>
      </w:r>
      <w:r w:rsidR="00292645" w:rsidRPr="00232B42">
        <w:rPr>
          <w:color w:val="000000"/>
        </w:rPr>
        <w:t xml:space="preserve"> </w:t>
      </w:r>
      <w:r w:rsidR="00EC0104" w:rsidRPr="00232B42">
        <w:rPr>
          <w:color w:val="000000"/>
        </w:rPr>
        <w:t>p</w:t>
      </w:r>
      <w:r w:rsidR="00292645" w:rsidRPr="00232B42">
        <w:rPr>
          <w:color w:val="000000"/>
        </w:rPr>
        <w:t>rendre note du plan pour la continuité des travaux de l'UIT-T jusqu'à l'AMNT prévue en mars 2022</w:t>
      </w:r>
      <w:r w:rsidR="00292645" w:rsidRPr="00232B42">
        <w:t xml:space="preserve"> </w:t>
      </w:r>
      <w:r w:rsidR="00292645" w:rsidRPr="00232B42">
        <w:rPr>
          <w:color w:val="000000"/>
        </w:rPr>
        <w:t>(voir le Document VC-2/3)</w:t>
      </w:r>
      <w:r w:rsidR="00125C02" w:rsidRPr="00232B42">
        <w:rPr>
          <w:color w:val="000000"/>
        </w:rPr>
        <w:t>.</w:t>
      </w:r>
    </w:p>
    <w:p w14:paraId="6315D777" w14:textId="143823C5" w:rsidR="00F21B58" w:rsidRPr="00232B42" w:rsidRDefault="00F21B58" w:rsidP="00125C02">
      <w:r w:rsidRPr="00232B42">
        <w:t>3.12</w:t>
      </w:r>
      <w:r w:rsidRPr="00232B42">
        <w:tab/>
      </w:r>
      <w:r w:rsidR="001D0AF3" w:rsidRPr="00232B42">
        <w:t xml:space="preserve">Il en est ainsi </w:t>
      </w:r>
      <w:r w:rsidR="001D0AF3" w:rsidRPr="00232B42">
        <w:rPr>
          <w:rFonts w:asciiTheme="minorHAnsi" w:hAnsiTheme="minorHAnsi" w:cstheme="minorHAnsi"/>
          <w:b/>
          <w:bCs/>
        </w:rPr>
        <w:t>conclu</w:t>
      </w:r>
      <w:r w:rsidR="001D0AF3" w:rsidRPr="00232B42">
        <w:t>.</w:t>
      </w:r>
    </w:p>
    <w:p w14:paraId="57F7CE90" w14:textId="6A3847C8" w:rsidR="00F21B58" w:rsidRPr="00232B42" w:rsidRDefault="00F21B58" w:rsidP="00125C02">
      <w:pPr>
        <w:rPr>
          <w:rFonts w:asciiTheme="minorHAnsi" w:hAnsiTheme="minorHAnsi" w:cstheme="minorHAnsi"/>
        </w:rPr>
      </w:pPr>
      <w:r w:rsidRPr="00232B42">
        <w:rPr>
          <w:rFonts w:asciiTheme="minorHAnsi" w:hAnsiTheme="minorHAnsi" w:cstheme="minorHAnsi"/>
        </w:rPr>
        <w:t>3.13</w:t>
      </w:r>
      <w:r w:rsidRPr="00232B42">
        <w:rPr>
          <w:rFonts w:asciiTheme="minorHAnsi" w:hAnsiTheme="minorHAnsi" w:cstheme="minorHAnsi"/>
        </w:rPr>
        <w:tab/>
      </w:r>
      <w:r w:rsidR="00026723" w:rsidRPr="00232B42">
        <w:rPr>
          <w:rFonts w:asciiTheme="minorHAnsi" w:hAnsiTheme="minorHAnsi" w:cstheme="minorHAnsi"/>
        </w:rPr>
        <w:t xml:space="preserve">En outre, il est </w:t>
      </w:r>
      <w:r w:rsidR="00EC0104" w:rsidRPr="00232B42">
        <w:rPr>
          <w:rFonts w:asciiTheme="minorHAnsi" w:hAnsiTheme="minorHAnsi" w:cstheme="minorHAnsi"/>
          <w:b/>
          <w:bCs/>
        </w:rPr>
        <w:t>pris note</w:t>
      </w:r>
      <w:r w:rsidR="00EC0104" w:rsidRPr="00232B42">
        <w:rPr>
          <w:rFonts w:asciiTheme="minorHAnsi" w:hAnsiTheme="minorHAnsi" w:cstheme="minorHAnsi"/>
        </w:rPr>
        <w:t xml:space="preserve"> de ce qui </w:t>
      </w:r>
      <w:proofErr w:type="gramStart"/>
      <w:r w:rsidR="00EC0104" w:rsidRPr="00232B42">
        <w:rPr>
          <w:rFonts w:asciiTheme="minorHAnsi" w:hAnsiTheme="minorHAnsi" w:cstheme="minorHAnsi"/>
        </w:rPr>
        <w:t>suit:</w:t>
      </w:r>
      <w:proofErr w:type="gramEnd"/>
      <w:r w:rsidR="008D7CEA" w:rsidRPr="00232B42">
        <w:rPr>
          <w:rFonts w:asciiTheme="minorHAnsi" w:hAnsiTheme="minorHAnsi" w:cstheme="minorHAnsi"/>
        </w:rPr>
        <w:t xml:space="preserve"> </w:t>
      </w:r>
    </w:p>
    <w:p w14:paraId="58BC5E73" w14:textId="34D26827" w:rsidR="00F21B58" w:rsidRPr="00232B42" w:rsidRDefault="00F21B58" w:rsidP="008D7CEA">
      <w:pPr>
        <w:pStyle w:val="enumlev1"/>
      </w:pPr>
      <w:r w:rsidRPr="00232B42">
        <w:t>•</w:t>
      </w:r>
      <w:r w:rsidRPr="00232B42">
        <w:tab/>
      </w:r>
      <w:r w:rsidR="00026723" w:rsidRPr="00232B42">
        <w:t>Le GCNT tiendra trois réunions avant l'AMNT pour garantir la continuité des travaux de l'UIT</w:t>
      </w:r>
      <w:r w:rsidR="00EE0660" w:rsidRPr="00232B42">
        <w:noBreakHyphen/>
      </w:r>
      <w:r w:rsidR="00026723" w:rsidRPr="00232B42">
        <w:t>T et préparer l'AMNT</w:t>
      </w:r>
      <w:r w:rsidR="00EE0660" w:rsidRPr="00232B42">
        <w:t>.</w:t>
      </w:r>
    </w:p>
    <w:p w14:paraId="4D805072" w14:textId="1EAFB6DE" w:rsidR="00F21B58" w:rsidRPr="00232B42" w:rsidRDefault="00F21B58" w:rsidP="008D7CEA">
      <w:pPr>
        <w:pStyle w:val="enumlev1"/>
      </w:pPr>
      <w:r w:rsidRPr="00232B42">
        <w:t>•</w:t>
      </w:r>
      <w:r w:rsidRPr="00232B42">
        <w:tab/>
      </w:r>
      <w:r w:rsidR="00026723" w:rsidRPr="00232B42">
        <w:t>Une réunion interrégionale sera organisée avant chaque réunion du GCNT, afin de poursuivre la recherche d</w:t>
      </w:r>
      <w:r w:rsidR="00125C02" w:rsidRPr="00232B42">
        <w:t>'</w:t>
      </w:r>
      <w:r w:rsidR="00026723" w:rsidRPr="00232B42">
        <w:t>un consensus entre les régions</w:t>
      </w:r>
      <w:r w:rsidR="00EE0660" w:rsidRPr="00232B42">
        <w:t>.</w:t>
      </w:r>
    </w:p>
    <w:p w14:paraId="4E9B0A1E" w14:textId="57A3BEF2" w:rsidR="00F21B58" w:rsidRPr="00232B42" w:rsidRDefault="00F21B58" w:rsidP="008D7CEA">
      <w:pPr>
        <w:pStyle w:val="enumlev1"/>
      </w:pPr>
      <w:r w:rsidRPr="00232B42">
        <w:t>•</w:t>
      </w:r>
      <w:r w:rsidRPr="00232B42">
        <w:tab/>
      </w:r>
      <w:r w:rsidR="004E6C4C">
        <w:t>L</w:t>
      </w:r>
      <w:r w:rsidR="00026723" w:rsidRPr="00232B42">
        <w:t xml:space="preserve">e </w:t>
      </w:r>
      <w:r w:rsidRPr="00232B42">
        <w:t>TSB</w:t>
      </w:r>
      <w:r w:rsidR="00026723" w:rsidRPr="00232B42">
        <w:t xml:space="preserve"> réexaminera le calendrier des réunions des </w:t>
      </w:r>
      <w:r w:rsidR="00FC2E6E">
        <w:t>C</w:t>
      </w:r>
      <w:r w:rsidR="00026723" w:rsidRPr="00232B42">
        <w:t>ommissions d'études de l'UIT-T en</w:t>
      </w:r>
      <w:r w:rsidRPr="00232B42">
        <w:t xml:space="preserve"> 2021</w:t>
      </w:r>
      <w:r w:rsidR="00EE0660" w:rsidRPr="00232B42">
        <w:t>.</w:t>
      </w:r>
    </w:p>
    <w:p w14:paraId="2CDFFF89" w14:textId="78559732" w:rsidR="00F21B58" w:rsidRPr="00232B42" w:rsidRDefault="00F21B58" w:rsidP="008D7CEA">
      <w:pPr>
        <w:pStyle w:val="enumlev1"/>
      </w:pPr>
      <w:r w:rsidRPr="00232B42">
        <w:t>•</w:t>
      </w:r>
      <w:r w:rsidRPr="00232B42">
        <w:tab/>
      </w:r>
      <w:r w:rsidR="004E6C4C">
        <w:t>L</w:t>
      </w:r>
      <w:r w:rsidR="00026723" w:rsidRPr="00232B42">
        <w:t xml:space="preserve">e </w:t>
      </w:r>
      <w:r w:rsidR="00E50591" w:rsidRPr="00232B42">
        <w:t>GCNT</w:t>
      </w:r>
      <w:r w:rsidRPr="00232B42">
        <w:t xml:space="preserve"> </w:t>
      </w:r>
      <w:r w:rsidR="00026723" w:rsidRPr="00232B42">
        <w:t>se tiendra de manière virtuelle et prendra ses décisions par consensus.</w:t>
      </w:r>
    </w:p>
    <w:p w14:paraId="285AEE0F" w14:textId="3BF7DD83" w:rsidR="00F21B58" w:rsidRPr="00232B42" w:rsidRDefault="00F21B58" w:rsidP="00D90F44">
      <w:pPr>
        <w:pStyle w:val="Heading1"/>
        <w:spacing w:before="360"/>
      </w:pPr>
      <w:r w:rsidRPr="00232B42">
        <w:t>4</w:t>
      </w:r>
      <w:r w:rsidRPr="00232B42">
        <w:tab/>
      </w:r>
      <w:r w:rsidR="00032C0C" w:rsidRPr="00232B42">
        <w:rPr>
          <w:color w:val="000000"/>
        </w:rPr>
        <w:t>Travaux préparatoires en vue du FMPT-21</w:t>
      </w:r>
      <w:r w:rsidR="00032C0C" w:rsidRPr="00232B42">
        <w:t xml:space="preserve"> (suite) </w:t>
      </w:r>
      <w:r w:rsidRPr="00232B42">
        <w:t xml:space="preserve">(Document </w:t>
      </w:r>
      <w:hyperlink r:id="rId33" w:history="1">
        <w:r w:rsidRPr="00232B42">
          <w:rPr>
            <w:rStyle w:val="Hyperlink"/>
            <w:rFonts w:asciiTheme="minorHAnsi" w:hAnsiTheme="minorHAnsi" w:cstheme="minorHAnsi"/>
            <w:bCs/>
            <w:sz w:val="26"/>
            <w:szCs w:val="26"/>
          </w:rPr>
          <w:t>C20/5(</w:t>
        </w:r>
        <w:r w:rsidR="00E50591" w:rsidRPr="00232B42">
          <w:rPr>
            <w:rStyle w:val="Hyperlink"/>
            <w:rFonts w:asciiTheme="minorHAnsi" w:hAnsiTheme="minorHAnsi" w:cstheme="minorHAnsi"/>
            <w:bCs/>
            <w:sz w:val="26"/>
            <w:szCs w:val="26"/>
          </w:rPr>
          <w:t>Rév</w:t>
        </w:r>
        <w:r w:rsidRPr="00232B42">
          <w:rPr>
            <w:rStyle w:val="Hyperlink"/>
            <w:rFonts w:asciiTheme="minorHAnsi" w:hAnsiTheme="minorHAnsi" w:cstheme="minorHAnsi"/>
            <w:bCs/>
            <w:sz w:val="26"/>
            <w:szCs w:val="26"/>
          </w:rPr>
          <w:t>.1)</w:t>
        </w:r>
      </w:hyperlink>
      <w:r w:rsidRPr="00232B42">
        <w:t>)</w:t>
      </w:r>
    </w:p>
    <w:p w14:paraId="436B6D45" w14:textId="2D263181" w:rsidR="00F21B58" w:rsidRPr="00232B42" w:rsidRDefault="00F21B58" w:rsidP="00D90F44">
      <w:pPr>
        <w:spacing w:before="120"/>
      </w:pPr>
      <w:r w:rsidRPr="00232B42">
        <w:t>4.1</w:t>
      </w:r>
      <w:r w:rsidRPr="00232B42">
        <w:tab/>
      </w:r>
      <w:r w:rsidR="00E50591" w:rsidRPr="00232B42">
        <w:t xml:space="preserve">Le Président </w:t>
      </w:r>
      <w:r w:rsidR="00032C0C" w:rsidRPr="00232B42">
        <w:t xml:space="preserve">invite les conseillers à reprendre l'examen de ce point, entamé lors de la deuxième séance de la consultation virtuelle. </w:t>
      </w:r>
    </w:p>
    <w:p w14:paraId="5221F37B" w14:textId="22375198" w:rsidR="001D0AF3" w:rsidRPr="00232B42" w:rsidRDefault="00F21B58" w:rsidP="00D90F44">
      <w:pPr>
        <w:spacing w:before="120"/>
      </w:pPr>
      <w:r w:rsidRPr="00232B42">
        <w:t>4.2</w:t>
      </w:r>
      <w:r w:rsidRPr="00232B42">
        <w:tab/>
      </w:r>
      <w:r w:rsidR="00032C0C" w:rsidRPr="00232B42">
        <w:t xml:space="preserve">Au cours d'un long débat, plusieurs conseillers </w:t>
      </w:r>
      <w:r w:rsidR="00032C0C" w:rsidRPr="00232B42">
        <w:rPr>
          <w:color w:val="000000"/>
        </w:rPr>
        <w:t>insist</w:t>
      </w:r>
      <w:r w:rsidR="00EC0104" w:rsidRPr="00232B42">
        <w:rPr>
          <w:color w:val="000000"/>
        </w:rPr>
        <w:t>e</w:t>
      </w:r>
      <w:r w:rsidR="00EE0660" w:rsidRPr="00232B42">
        <w:rPr>
          <w:color w:val="000000"/>
        </w:rPr>
        <w:t>n</w:t>
      </w:r>
      <w:r w:rsidR="00EC0104" w:rsidRPr="00232B42">
        <w:rPr>
          <w:color w:val="000000"/>
        </w:rPr>
        <w:t>t</w:t>
      </w:r>
      <w:r w:rsidR="00032C0C" w:rsidRPr="00232B42">
        <w:rPr>
          <w:color w:val="000000"/>
        </w:rPr>
        <w:t xml:space="preserve"> sur le fait </w:t>
      </w:r>
      <w:r w:rsidR="00032C0C" w:rsidRPr="00232B42">
        <w:t xml:space="preserve">que le FMPT ne devrait pas être reporté </w:t>
      </w:r>
      <w:r w:rsidR="00EC0104" w:rsidRPr="00232B42">
        <w:t xml:space="preserve">pour se tenir </w:t>
      </w:r>
      <w:r w:rsidR="00032C0C" w:rsidRPr="00232B42">
        <w:t xml:space="preserve">en 2022, </w:t>
      </w:r>
      <w:r w:rsidR="00EC0104" w:rsidRPr="00232B42">
        <w:t xml:space="preserve">cette </w:t>
      </w:r>
      <w:r w:rsidR="00032C0C" w:rsidRPr="00232B42">
        <w:t>année s'annon</w:t>
      </w:r>
      <w:r w:rsidR="00EC0104" w:rsidRPr="00232B42">
        <w:t>çant</w:t>
      </w:r>
      <w:r w:rsidR="00032C0C" w:rsidRPr="00232B42">
        <w:t xml:space="preserve"> déjà extrêmement chargée. S'il s'av</w:t>
      </w:r>
      <w:r w:rsidR="00722225" w:rsidRPr="00232B42">
        <w:t>ère</w:t>
      </w:r>
      <w:r w:rsidR="00032C0C" w:rsidRPr="00232B42">
        <w:t xml:space="preserve"> impossible de tenir le </w:t>
      </w:r>
      <w:r w:rsidR="00722225" w:rsidRPr="00232B42">
        <w:t>F</w:t>
      </w:r>
      <w:r w:rsidR="00032C0C" w:rsidRPr="00232B42">
        <w:t xml:space="preserve">orum en 2021, comme prévu, </w:t>
      </w:r>
      <w:r w:rsidR="00722225" w:rsidRPr="00232B42">
        <w:t>il convient de le reporter en 2023. Un conseiller ajoute qu</w:t>
      </w:r>
      <w:r w:rsidR="00125C02" w:rsidRPr="00232B42">
        <w:t>'</w:t>
      </w:r>
      <w:r w:rsidR="00722225" w:rsidRPr="00232B42">
        <w:t xml:space="preserve">il y a lieu de </w:t>
      </w:r>
      <w:r w:rsidR="00EC0104" w:rsidRPr="00232B42">
        <w:t>revoir</w:t>
      </w:r>
      <w:r w:rsidR="00722225" w:rsidRPr="00232B42">
        <w:t xml:space="preserve"> le calendrier général des réunions et conférences de l'UIT pour la période, en accordant la priorité</w:t>
      </w:r>
      <w:r w:rsidR="00EC0104" w:rsidRPr="00232B42">
        <w:t>,</w:t>
      </w:r>
      <w:r w:rsidR="00722225" w:rsidRPr="00232B42">
        <w:t xml:space="preserve"> pour 2022</w:t>
      </w:r>
      <w:r w:rsidR="00EC0104" w:rsidRPr="00232B42">
        <w:t>,</w:t>
      </w:r>
      <w:r w:rsidR="00722225" w:rsidRPr="00232B42">
        <w:t xml:space="preserve"> à la Conférence de plénipotentiaires et à l'AMNT. Cependant, plusieurs autres conseillers</w:t>
      </w:r>
      <w:r w:rsidR="00EC0104" w:rsidRPr="00232B42">
        <w:t xml:space="preserve"> </w:t>
      </w:r>
      <w:r w:rsidR="00722225" w:rsidRPr="00232B42">
        <w:t>soutiennent vigoureusement la tenue du FMPT en</w:t>
      </w:r>
      <w:r w:rsidR="00EE0660" w:rsidRPr="00232B42">
        <w:t> </w:t>
      </w:r>
      <w:r w:rsidR="00722225" w:rsidRPr="00232B42">
        <w:t>2022. Le</w:t>
      </w:r>
      <w:r w:rsidR="00BB0F5B" w:rsidRPr="00232B42">
        <w:rPr>
          <w:color w:val="000000"/>
        </w:rPr>
        <w:t xml:space="preserve"> Groupe d'experts informel sur le FMPT-21 (GEI-FMPT-21)</w:t>
      </w:r>
      <w:r w:rsidR="00722225" w:rsidRPr="00232B42">
        <w:t xml:space="preserve"> </w:t>
      </w:r>
      <w:r w:rsidR="00BB0F5B" w:rsidRPr="00232B42">
        <w:t xml:space="preserve">a </w:t>
      </w:r>
      <w:r w:rsidR="00722225" w:rsidRPr="00232B42">
        <w:t>besoin de temps pour achever ses travaux, dont les résultats apporter</w:t>
      </w:r>
      <w:r w:rsidR="00BB0F5B" w:rsidRPr="00232B42">
        <w:t>o</w:t>
      </w:r>
      <w:r w:rsidR="00722225" w:rsidRPr="00232B42">
        <w:t xml:space="preserve">nt une </w:t>
      </w:r>
      <w:r w:rsidR="00BB0F5B" w:rsidRPr="00232B42">
        <w:t xml:space="preserve">précieuse </w:t>
      </w:r>
      <w:r w:rsidR="00722225" w:rsidRPr="00232B42">
        <w:t>contribution à la PP-</w:t>
      </w:r>
      <w:proofErr w:type="gramStart"/>
      <w:r w:rsidR="00722225" w:rsidRPr="00232B42">
        <w:t>22;</w:t>
      </w:r>
      <w:proofErr w:type="gramEnd"/>
      <w:r w:rsidR="00722225" w:rsidRPr="00232B42">
        <w:t xml:space="preserve"> il </w:t>
      </w:r>
      <w:r w:rsidR="00BB0F5B" w:rsidRPr="00232B42">
        <w:t>est</w:t>
      </w:r>
      <w:r w:rsidR="00722225" w:rsidRPr="00232B42">
        <w:t xml:space="preserve"> également possible de programmer</w:t>
      </w:r>
      <w:r w:rsidR="00BB0F5B" w:rsidRPr="00232B42">
        <w:t xml:space="preserve"> la manifestation afin de tirer parti</w:t>
      </w:r>
      <w:r w:rsidR="00722225" w:rsidRPr="00232B42">
        <w:t xml:space="preserve"> de la présence des délégués à Genève </w:t>
      </w:r>
      <w:r w:rsidR="00EC0104" w:rsidRPr="00232B42">
        <w:t>à l</w:t>
      </w:r>
      <w:r w:rsidR="00125C02" w:rsidRPr="00232B42">
        <w:t>'</w:t>
      </w:r>
      <w:r w:rsidR="00EC0104" w:rsidRPr="00232B42">
        <w:t>occasion du</w:t>
      </w:r>
      <w:r w:rsidR="00BB0F5B" w:rsidRPr="00232B42">
        <w:t xml:space="preserve"> SMSI. Reporter le FMPT en 2023 risque de rendre obsolète</w:t>
      </w:r>
      <w:r w:rsidR="00EC0104" w:rsidRPr="00232B42">
        <w:t>s</w:t>
      </w:r>
      <w:r w:rsidR="00BB0F5B" w:rsidRPr="00232B42">
        <w:t xml:space="preserve"> les travaux du GEI</w:t>
      </w:r>
      <w:r w:rsidR="00EE0660" w:rsidRPr="00232B42">
        <w:noBreakHyphen/>
      </w:r>
      <w:r w:rsidR="00BB0F5B" w:rsidRPr="00232B42">
        <w:t xml:space="preserve">FMPT-21, étant donné que le Forum a pour </w:t>
      </w:r>
      <w:proofErr w:type="gramStart"/>
      <w:r w:rsidR="00BB0F5B" w:rsidRPr="00232B42">
        <w:t>thème</w:t>
      </w:r>
      <w:r w:rsidR="00125C02" w:rsidRPr="00232B42">
        <w:t>:</w:t>
      </w:r>
      <w:proofErr w:type="gramEnd"/>
      <w:r w:rsidR="00BB0F5B" w:rsidRPr="00232B42">
        <w:t xml:space="preserve"> "Politiques visant à mettre les télécommunications/TIC nouvelles et émergentes au service du développement durable". Les technologies étudiées ne seront ni nouvelles, ni émergentes à l'horizon 2023. Si certains conseillers considèrent que le FMPT peut se tenir de manière virtuelle, et que les dates initiales pourraient donc être maintenues, la plupart sont plutôt favorables à la tenue d</w:t>
      </w:r>
      <w:r w:rsidR="00125C02" w:rsidRPr="00232B42">
        <w:t>'</w:t>
      </w:r>
      <w:r w:rsidR="00BB0F5B" w:rsidRPr="00232B42">
        <w:t>un Forum physique, compte tenu des difficultés d</w:t>
      </w:r>
      <w:r w:rsidR="00125C02" w:rsidRPr="00232B42">
        <w:t>'</w:t>
      </w:r>
      <w:r w:rsidR="00BB0F5B" w:rsidRPr="00232B42">
        <w:t>ordre technique et juridique et de procédure liées aux manifestations virtuelles. En particulier, l</w:t>
      </w:r>
      <w:r w:rsidR="00125C02" w:rsidRPr="00232B42">
        <w:t>'</w:t>
      </w:r>
      <w:r w:rsidR="00BB0F5B" w:rsidRPr="00232B42">
        <w:t>impossibilité de tenir des discussions informelles</w:t>
      </w:r>
      <w:r w:rsidR="00F2514E" w:rsidRPr="00232B42">
        <w:t xml:space="preserve"> si le Forum a lieu en ligne risque d</w:t>
      </w:r>
      <w:r w:rsidR="00125C02" w:rsidRPr="00232B42">
        <w:t>'</w:t>
      </w:r>
      <w:r w:rsidR="00BB0F5B" w:rsidRPr="00232B42">
        <w:t>entraver le</w:t>
      </w:r>
      <w:r w:rsidR="00F2514E" w:rsidRPr="00232B42">
        <w:t>s</w:t>
      </w:r>
      <w:r w:rsidR="00BB0F5B" w:rsidRPr="00232B42">
        <w:t xml:space="preserve"> trava</w:t>
      </w:r>
      <w:r w:rsidR="00F2514E" w:rsidRPr="00232B42">
        <w:t>ux</w:t>
      </w:r>
      <w:r w:rsidR="00BB0F5B" w:rsidRPr="00232B42">
        <w:t xml:space="preserve"> </w:t>
      </w:r>
      <w:r w:rsidR="00F2514E" w:rsidRPr="00232B42">
        <w:t>de ce dernier.</w:t>
      </w:r>
    </w:p>
    <w:p w14:paraId="7B8687A7" w14:textId="12D6B849" w:rsidR="001D0AF3" w:rsidRPr="00232B42" w:rsidRDefault="001D0AF3" w:rsidP="00D90F44">
      <w:pPr>
        <w:keepLines/>
        <w:spacing w:before="120"/>
      </w:pPr>
      <w:r w:rsidRPr="00232B42">
        <w:t>4.3</w:t>
      </w:r>
      <w:r w:rsidRPr="00232B42">
        <w:tab/>
      </w:r>
      <w:r w:rsidR="009A3A53" w:rsidRPr="00232B42">
        <w:t xml:space="preserve">Un conseiller demande si un FMPT virtuel serait habilité à adopter des Avis. Une conseillère indique qu'elle souhaite obtenir des précisions sur la question de savoir si une décision du Conseil visant à reporter le FMPT en 2023, de sorte qu'aucun rapport sur ses travaux ne pourrait être soumis à la PP-22, serait </w:t>
      </w:r>
      <w:r w:rsidR="00EC0104" w:rsidRPr="00232B42">
        <w:t xml:space="preserve">réellement </w:t>
      </w:r>
      <w:r w:rsidR="009A3A53" w:rsidRPr="00232B42">
        <w:t>contraire à la Résolution 2</w:t>
      </w:r>
      <w:r w:rsidR="00F05B06" w:rsidRPr="00232B42">
        <w:t xml:space="preserve"> (Rév. Dubaï, 2018) </w:t>
      </w:r>
      <w:r w:rsidR="009A3A53" w:rsidRPr="00232B42">
        <w:t>de la Conférence de plénipotentiaires</w:t>
      </w:r>
      <w:r w:rsidR="00F05B06" w:rsidRPr="00232B42">
        <w:t>.</w:t>
      </w:r>
    </w:p>
    <w:p w14:paraId="730F06EE" w14:textId="01649AFC" w:rsidR="001D0AF3" w:rsidRPr="00232B42" w:rsidRDefault="001D0AF3" w:rsidP="00D90F44">
      <w:pPr>
        <w:spacing w:before="120"/>
      </w:pPr>
      <w:r w:rsidRPr="00232B42">
        <w:lastRenderedPageBreak/>
        <w:t>4.4</w:t>
      </w:r>
      <w:r w:rsidRPr="00232B42">
        <w:tab/>
      </w:r>
      <w:r w:rsidR="00F05B06" w:rsidRPr="00232B42">
        <w:t>Le Conseiller juridique de l'UIT explique qu</w:t>
      </w:r>
      <w:r w:rsidR="00125C02" w:rsidRPr="00232B42">
        <w:t>'</w:t>
      </w:r>
      <w:r w:rsidR="00F05B06" w:rsidRPr="00232B42">
        <w:t>étant donné que les résultats du FMPT ne sont pas juridiquement contraignants et sont adoptés par consensus, il serait effectivement possible qu</w:t>
      </w:r>
      <w:r w:rsidR="00125C02" w:rsidRPr="00232B42">
        <w:t>'</w:t>
      </w:r>
      <w:r w:rsidR="00F05B06" w:rsidRPr="00232B42">
        <w:t>un FMPT virtuel adopte des Avis. En outre, le FMPT n'est pas régi par les Règles générales régissant les conférences, assemblées et réunions de l'Union, mais adopte depuis un certain temps</w:t>
      </w:r>
      <w:r w:rsidR="008D7CEA" w:rsidRPr="00232B42">
        <w:t xml:space="preserve"> </w:t>
      </w:r>
      <w:r w:rsidR="00F05B06" w:rsidRPr="00232B42">
        <w:t xml:space="preserve">son propre règlement intérieur, ce qui lui </w:t>
      </w:r>
      <w:r w:rsidR="00F05B06" w:rsidRPr="00232B42">
        <w:rPr>
          <w:color w:val="000000"/>
        </w:rPr>
        <w:t>offre la souplesse nécessaire</w:t>
      </w:r>
      <w:r w:rsidR="008D7CEA" w:rsidRPr="00232B42">
        <w:rPr>
          <w:color w:val="000000"/>
        </w:rPr>
        <w:t xml:space="preserve"> </w:t>
      </w:r>
      <w:r w:rsidR="00F05B06" w:rsidRPr="00232B42">
        <w:t>pour décider de fonctionner de manière virtuelle. S</w:t>
      </w:r>
      <w:r w:rsidR="00125C02" w:rsidRPr="00232B42">
        <w:t>'</w:t>
      </w:r>
      <w:r w:rsidR="00F05B06" w:rsidRPr="00232B42">
        <w:t>agissant de la question de savoir si le Conseil peut décider de reporter le FMPT pour qu</w:t>
      </w:r>
      <w:r w:rsidR="00125C02" w:rsidRPr="00232B42">
        <w:t>'</w:t>
      </w:r>
      <w:r w:rsidR="00F05B06" w:rsidRPr="00232B42">
        <w:t>il se tienne après la PP-22, rien dans la Résolution 2 (Rév. Dubaï, 2018) de la Conférence de plénipotentiaires n'empêche expressément une telle</w:t>
      </w:r>
      <w:r w:rsidR="008D7CEA" w:rsidRPr="00232B42">
        <w:t xml:space="preserve"> </w:t>
      </w:r>
      <w:r w:rsidR="00EC0104" w:rsidRPr="00232B42">
        <w:t>mesure</w:t>
      </w:r>
      <w:r w:rsidR="00F05B06" w:rsidRPr="00232B42">
        <w:t>, qui pourrait être la seule façon de veiller à ce que les États Membres disposent de suffisamment de temps pour se préparer au Forum dans les circonstances exceptionnelles qui prévalent actuellement.</w:t>
      </w:r>
    </w:p>
    <w:p w14:paraId="2289BCA4" w14:textId="3DDE5B4D" w:rsidR="001D0AF3" w:rsidRPr="00232B42" w:rsidRDefault="001D0AF3" w:rsidP="00D90F44">
      <w:pPr>
        <w:spacing w:before="120"/>
      </w:pPr>
      <w:r w:rsidRPr="00232B42">
        <w:t>4.5</w:t>
      </w:r>
      <w:r w:rsidRPr="00232B42">
        <w:tab/>
      </w:r>
      <w:r w:rsidR="00D5048A" w:rsidRPr="00232B42">
        <w:t>En réponse aux suggestions du Président selon lesquelles le FMPT pourrait être provisoirement reporté en 2022 ou 2023, en attendant que le Conseil à sa session de 2021</w:t>
      </w:r>
      <w:r w:rsidR="008D7CEA" w:rsidRPr="00232B42">
        <w:t xml:space="preserve"> </w:t>
      </w:r>
      <w:r w:rsidR="00D5048A" w:rsidRPr="00232B42">
        <w:t xml:space="preserve">confirme les dates exactes et la forme de cette manifestation, certains conseillers estiment qu'une conclusion provisoire ne facilitera pas les progrès en la matière. Un certain degré de certitude est nécessaire pour </w:t>
      </w:r>
      <w:r w:rsidR="00234DF2" w:rsidRPr="00232B42">
        <w:t>établir une planification</w:t>
      </w:r>
      <w:r w:rsidR="00D5048A" w:rsidRPr="00232B42">
        <w:t xml:space="preserve">. </w:t>
      </w:r>
      <w:r w:rsidR="00234DF2" w:rsidRPr="00232B42">
        <w:t>Un conseiller est d</w:t>
      </w:r>
      <w:r w:rsidR="00125C02" w:rsidRPr="00232B42">
        <w:t>'</w:t>
      </w:r>
      <w:r w:rsidR="00234DF2" w:rsidRPr="00232B42">
        <w:t xml:space="preserve">avis que programmer le FMPT </w:t>
      </w:r>
      <w:r w:rsidR="001C0F9C" w:rsidRPr="00232B42">
        <w:t>pour qu</w:t>
      </w:r>
      <w:r w:rsidR="00125C02" w:rsidRPr="00232B42">
        <w:t>'</w:t>
      </w:r>
      <w:r w:rsidR="001C0F9C" w:rsidRPr="00232B42">
        <w:t xml:space="preserve">il se tienne </w:t>
      </w:r>
      <w:r w:rsidR="00234DF2" w:rsidRPr="00232B42">
        <w:t xml:space="preserve">au début de 2022 pourrait </w:t>
      </w:r>
      <w:r w:rsidR="001C0F9C" w:rsidRPr="00232B42">
        <w:t>contribuer</w:t>
      </w:r>
      <w:r w:rsidR="00234DF2" w:rsidRPr="00232B42">
        <w:t xml:space="preserve"> à répartir la charge de travail envisagée pour l'année. Dans le même ordre d'idées, une conseillère propose que le Forum se tienne à la fin de</w:t>
      </w:r>
      <w:r w:rsidR="001C47D4" w:rsidRPr="00232B42">
        <w:t> </w:t>
      </w:r>
      <w:r w:rsidR="00234DF2" w:rsidRPr="00232B42">
        <w:t>2021. Sa proposition recueille l</w:t>
      </w:r>
      <w:r w:rsidR="00125C02" w:rsidRPr="00232B42">
        <w:t>'</w:t>
      </w:r>
      <w:r w:rsidR="00234DF2" w:rsidRPr="00232B42">
        <w:t xml:space="preserve">assentiment général, </w:t>
      </w:r>
      <w:r w:rsidR="001C0F9C" w:rsidRPr="00232B42">
        <w:t>malgré des divergences de vues</w:t>
      </w:r>
      <w:r w:rsidR="00234DF2" w:rsidRPr="00232B42">
        <w:t xml:space="preserve"> quant à la possibilité d'organiser le forum </w:t>
      </w:r>
      <w:r w:rsidR="00234DF2" w:rsidRPr="00232B42">
        <w:rPr>
          <w:color w:val="000000"/>
        </w:rPr>
        <w:t xml:space="preserve">juste avant ou juste après </w:t>
      </w:r>
      <w:r w:rsidR="00234DF2" w:rsidRPr="00232B42">
        <w:t>la CMDT-21, et un conseiller se demande s</w:t>
      </w:r>
      <w:r w:rsidR="00125C02" w:rsidRPr="00232B42">
        <w:t>'</w:t>
      </w:r>
      <w:r w:rsidR="00234DF2" w:rsidRPr="00232B42">
        <w:t>il est possible d</w:t>
      </w:r>
      <w:r w:rsidR="00125C02" w:rsidRPr="00232B42">
        <w:t>'</w:t>
      </w:r>
      <w:r w:rsidR="00234DF2" w:rsidRPr="00232B42">
        <w:t>organiser les deux manifestations la même année.</w:t>
      </w:r>
    </w:p>
    <w:p w14:paraId="1916B3E0" w14:textId="166172C7" w:rsidR="001D0AF3" w:rsidRPr="00232B42" w:rsidRDefault="001D0AF3" w:rsidP="00D90F44">
      <w:pPr>
        <w:spacing w:before="120"/>
        <w:rPr>
          <w:rFonts w:asciiTheme="minorHAnsi" w:hAnsiTheme="minorHAnsi" w:cstheme="minorHAnsi"/>
        </w:rPr>
      </w:pPr>
      <w:r w:rsidRPr="00232B42">
        <w:rPr>
          <w:rFonts w:asciiTheme="minorHAnsi" w:hAnsiTheme="minorHAnsi" w:cstheme="minorHAnsi"/>
        </w:rPr>
        <w:t>4.6</w:t>
      </w:r>
      <w:r w:rsidRPr="00232B42">
        <w:rPr>
          <w:rFonts w:asciiTheme="minorHAnsi" w:hAnsiTheme="minorHAnsi" w:cstheme="minorHAnsi"/>
        </w:rPr>
        <w:tab/>
      </w:r>
      <w:r w:rsidR="00234DF2" w:rsidRPr="00232B42">
        <w:rPr>
          <w:rFonts w:asciiTheme="minorHAnsi" w:hAnsiTheme="minorHAnsi" w:cstheme="minorHAnsi"/>
        </w:rPr>
        <w:t>En réponse à une question, le Président du GEI-FMPT-21 souligne qu'il se peut que son groupe termine ses travaux à temps pour que le FMPT</w:t>
      </w:r>
      <w:r w:rsidR="00C85E73" w:rsidRPr="00232B42">
        <w:rPr>
          <w:rFonts w:asciiTheme="minorHAnsi" w:hAnsiTheme="minorHAnsi" w:cstheme="minorHAnsi"/>
        </w:rPr>
        <w:t xml:space="preserve"> puisse se tenir</w:t>
      </w:r>
      <w:r w:rsidR="00234DF2" w:rsidRPr="00232B42">
        <w:rPr>
          <w:rFonts w:asciiTheme="minorHAnsi" w:hAnsiTheme="minorHAnsi" w:cstheme="minorHAnsi"/>
        </w:rPr>
        <w:t xml:space="preserve"> en décembre 2021. Le thème </w:t>
      </w:r>
      <w:r w:rsidR="00C85E73" w:rsidRPr="00232B42">
        <w:rPr>
          <w:rFonts w:asciiTheme="minorHAnsi" w:hAnsiTheme="minorHAnsi" w:cstheme="minorHAnsi"/>
        </w:rPr>
        <w:t xml:space="preserve">retenu </w:t>
      </w:r>
      <w:r w:rsidR="00234DF2" w:rsidRPr="00232B42">
        <w:rPr>
          <w:rFonts w:asciiTheme="minorHAnsi" w:hAnsiTheme="minorHAnsi" w:cstheme="minorHAnsi"/>
        </w:rPr>
        <w:t xml:space="preserve">pour le </w:t>
      </w:r>
      <w:r w:rsidR="00C85E73" w:rsidRPr="00232B42">
        <w:rPr>
          <w:rFonts w:asciiTheme="minorHAnsi" w:hAnsiTheme="minorHAnsi" w:cstheme="minorHAnsi"/>
        </w:rPr>
        <w:t>F</w:t>
      </w:r>
      <w:r w:rsidR="00234DF2" w:rsidRPr="00232B42">
        <w:rPr>
          <w:rFonts w:asciiTheme="minorHAnsi" w:hAnsiTheme="minorHAnsi" w:cstheme="minorHAnsi"/>
        </w:rPr>
        <w:t xml:space="preserve">orum signifie que plus </w:t>
      </w:r>
      <w:r w:rsidR="001C0F9C" w:rsidRPr="00232B42">
        <w:rPr>
          <w:rFonts w:asciiTheme="minorHAnsi" w:hAnsiTheme="minorHAnsi" w:cstheme="minorHAnsi"/>
        </w:rPr>
        <w:t>celui-ci</w:t>
      </w:r>
      <w:r w:rsidR="00234DF2" w:rsidRPr="00232B42">
        <w:rPr>
          <w:rFonts w:asciiTheme="minorHAnsi" w:hAnsiTheme="minorHAnsi" w:cstheme="minorHAnsi"/>
        </w:rPr>
        <w:t xml:space="preserve"> est reporté, </w:t>
      </w:r>
      <w:r w:rsidR="00C85E73" w:rsidRPr="00232B42">
        <w:rPr>
          <w:rFonts w:asciiTheme="minorHAnsi" w:hAnsiTheme="minorHAnsi" w:cstheme="minorHAnsi"/>
        </w:rPr>
        <w:t>plus son efficacité sera limitée</w:t>
      </w:r>
      <w:r w:rsidR="001C47D4" w:rsidRPr="00232B42">
        <w:rPr>
          <w:rFonts w:asciiTheme="minorHAnsi" w:hAnsiTheme="minorHAnsi" w:cstheme="minorHAnsi"/>
        </w:rPr>
        <w:t>.</w:t>
      </w:r>
    </w:p>
    <w:p w14:paraId="16FF591E" w14:textId="40C7C80E" w:rsidR="001D0AF3" w:rsidRPr="00232B42" w:rsidRDefault="001D0AF3" w:rsidP="00D90F44">
      <w:pPr>
        <w:spacing w:before="120"/>
      </w:pPr>
      <w:r w:rsidRPr="00232B42">
        <w:t>4.7</w:t>
      </w:r>
      <w:r w:rsidRPr="00232B42">
        <w:tab/>
      </w:r>
      <w:r w:rsidR="00E50591" w:rsidRPr="00232B42">
        <w:t>Le Président</w:t>
      </w:r>
      <w:r w:rsidR="00C85E73" w:rsidRPr="00232B42">
        <w:t xml:space="preserve"> considère que les conseillers souhaitent conclure que, compte tenu du caractère urgent de ce point, une consultation par correspondance des États </w:t>
      </w:r>
      <w:r w:rsidR="001C0F9C" w:rsidRPr="00232B42">
        <w:t>M</w:t>
      </w:r>
      <w:r w:rsidR="00C85E73" w:rsidRPr="00232B42">
        <w:t>embres du Conseil sera menée</w:t>
      </w:r>
      <w:r w:rsidR="00125C02" w:rsidRPr="00232B42">
        <w:t>:</w:t>
      </w:r>
      <w:r w:rsidR="00C85E73" w:rsidRPr="00232B42">
        <w:t xml:space="preserve"> 1) pour prendre note du rapport faisant l</w:t>
      </w:r>
      <w:r w:rsidR="00125C02" w:rsidRPr="00232B42">
        <w:t>'</w:t>
      </w:r>
      <w:r w:rsidR="00C85E73" w:rsidRPr="00232B42">
        <w:t xml:space="preserve">objet du Document C20/5(Rév.1); 2) pour reporter la réunion physique du FMPT </w:t>
      </w:r>
      <w:r w:rsidR="001C0F9C" w:rsidRPr="00232B42">
        <w:t>afin</w:t>
      </w:r>
      <w:r w:rsidR="00C85E73" w:rsidRPr="00232B42">
        <w:t xml:space="preserve"> qu</w:t>
      </w:r>
      <w:r w:rsidR="00125C02" w:rsidRPr="00232B42">
        <w:t>'</w:t>
      </w:r>
      <w:r w:rsidR="00C85E73" w:rsidRPr="00232B42">
        <w:t xml:space="preserve">elle se tienne en décembre 2021, les dates devant être confirmées le jeudi 19 novembre 2020; et 3) pour approuver une version révisée de la Décision 611, modifiée compte tenu des nouvelles dates et du calendrier </w:t>
      </w:r>
      <w:r w:rsidR="00C85E73" w:rsidRPr="00232B42">
        <w:rPr>
          <w:color w:val="000000"/>
        </w:rPr>
        <w:t>des travaux préparatoires.</w:t>
      </w:r>
    </w:p>
    <w:p w14:paraId="5D0A84FA" w14:textId="2FBF6566" w:rsidR="001D0AF3" w:rsidRPr="00232B42" w:rsidRDefault="001D0AF3" w:rsidP="00D90F44">
      <w:pPr>
        <w:spacing w:before="120"/>
      </w:pPr>
      <w:r w:rsidRPr="00232B42">
        <w:t>4.8</w:t>
      </w:r>
      <w:r w:rsidRPr="00232B42">
        <w:tab/>
        <w:t xml:space="preserve">Il en est ainsi </w:t>
      </w:r>
      <w:r w:rsidRPr="00232B42">
        <w:rPr>
          <w:b/>
          <w:bCs/>
        </w:rPr>
        <w:t>conclu</w:t>
      </w:r>
      <w:r w:rsidRPr="00232B42">
        <w:t>.</w:t>
      </w:r>
    </w:p>
    <w:p w14:paraId="779C43AF" w14:textId="07A592BD" w:rsidR="001D0AF3" w:rsidRPr="00232B42" w:rsidRDefault="001D0AF3" w:rsidP="00D90F44">
      <w:pPr>
        <w:pStyle w:val="Heading1"/>
        <w:spacing w:before="360"/>
      </w:pPr>
      <w:r w:rsidRPr="00232B42">
        <w:t>5</w:t>
      </w:r>
      <w:r w:rsidRPr="00232B42">
        <w:tab/>
      </w:r>
      <w:r w:rsidR="00A83B4E" w:rsidRPr="00232B42">
        <w:t xml:space="preserve">Calendrier des conférences, assemblées et réunions futures </w:t>
      </w:r>
      <w:r w:rsidR="000328FF">
        <w:t>de l'Union pour la </w:t>
      </w:r>
      <w:r w:rsidR="00A83B4E" w:rsidRPr="00232B42">
        <w:t xml:space="preserve">période 2020-2023 </w:t>
      </w:r>
      <w:r w:rsidRPr="00232B42">
        <w:t xml:space="preserve">(Document </w:t>
      </w:r>
      <w:hyperlink r:id="rId34" w:history="1">
        <w:r w:rsidRPr="00232B42">
          <w:rPr>
            <w:rStyle w:val="Hyperlink"/>
            <w:rFonts w:asciiTheme="minorHAnsi" w:hAnsiTheme="minorHAnsi" w:cstheme="minorHAnsi"/>
            <w:sz w:val="26"/>
            <w:szCs w:val="26"/>
          </w:rPr>
          <w:t>C20/37(</w:t>
        </w:r>
        <w:r w:rsidR="00E50591" w:rsidRPr="00232B42">
          <w:rPr>
            <w:rStyle w:val="Hyperlink"/>
            <w:rFonts w:asciiTheme="minorHAnsi" w:hAnsiTheme="minorHAnsi" w:cstheme="minorHAnsi"/>
            <w:sz w:val="26"/>
            <w:szCs w:val="26"/>
          </w:rPr>
          <w:t>Rév</w:t>
        </w:r>
        <w:r w:rsidRPr="00232B42">
          <w:rPr>
            <w:rStyle w:val="Hyperlink"/>
            <w:rFonts w:asciiTheme="minorHAnsi" w:hAnsiTheme="minorHAnsi" w:cstheme="minorHAnsi"/>
            <w:sz w:val="26"/>
            <w:szCs w:val="26"/>
          </w:rPr>
          <w:t>.1)</w:t>
        </w:r>
      </w:hyperlink>
      <w:r w:rsidRPr="00232B42">
        <w:t>)</w:t>
      </w:r>
    </w:p>
    <w:p w14:paraId="40DD7ABF" w14:textId="5558FFEF" w:rsidR="001D0AF3" w:rsidRPr="00232B42" w:rsidRDefault="001D0AF3" w:rsidP="00D90F44">
      <w:pPr>
        <w:spacing w:before="120"/>
      </w:pPr>
      <w:r w:rsidRPr="00232B42">
        <w:t>5.1</w:t>
      </w:r>
      <w:r w:rsidRPr="00232B42">
        <w:tab/>
      </w:r>
      <w:r w:rsidR="0062607C" w:rsidRPr="00232B42">
        <w:t xml:space="preserve">La représentante du secrétariat présente le Document C20/37(Rév.1). Elle indique qu'il a été dûment pris note des discussions </w:t>
      </w:r>
      <w:r w:rsidR="001C0F9C" w:rsidRPr="00232B42">
        <w:t>relatives à</w:t>
      </w:r>
      <w:r w:rsidR="0062607C" w:rsidRPr="00232B42">
        <w:t xml:space="preserve"> </w:t>
      </w:r>
      <w:r w:rsidR="0062607C" w:rsidRPr="00232B42">
        <w:rPr>
          <w:color w:val="000000"/>
        </w:rPr>
        <w:t xml:space="preserve">la planification </w:t>
      </w:r>
      <w:r w:rsidR="0062607C" w:rsidRPr="00232B42">
        <w:t>de l</w:t>
      </w:r>
      <w:r w:rsidR="00125C02" w:rsidRPr="00232B42">
        <w:t>'</w:t>
      </w:r>
      <w:r w:rsidR="0062607C" w:rsidRPr="00232B42">
        <w:t>AMNT et du FMPT et des réunions connexes, dont il sera tenu compte dans la version actualisée du document qui sera présenté au Conseil à sa session de 2021</w:t>
      </w:r>
      <w:r w:rsidR="001C0F9C" w:rsidRPr="00232B42">
        <w:t xml:space="preserve">. </w:t>
      </w:r>
      <w:r w:rsidR="001C47D4" w:rsidRPr="00232B42">
        <w:t>Étant</w:t>
      </w:r>
      <w:r w:rsidR="0062607C" w:rsidRPr="00232B42">
        <w:t xml:space="preserve"> donné que depuis la mi-mars 2020, toutes les réunions se tiennent de manière virtuelle, les dates et lieux proposés pour les réunions physiques prévues pour le second semestre de 2022 et pour 2023 sont provisoires et seront confirmés ultérieurement, en fonction non seulement de la situation liée à la pandémie de COVID-19, mais aussi des contraintes associées à la démolition du bâtiment de </w:t>
      </w:r>
      <w:proofErr w:type="spellStart"/>
      <w:r w:rsidR="0062607C" w:rsidRPr="00232B42">
        <w:t>Varembé</w:t>
      </w:r>
      <w:proofErr w:type="spellEnd"/>
      <w:r w:rsidR="0062607C" w:rsidRPr="00232B42">
        <w:t xml:space="preserve"> et à la construction du nouveau bâtiment</w:t>
      </w:r>
      <w:r w:rsidR="001C47D4" w:rsidRPr="00232B42">
        <w:t>.</w:t>
      </w:r>
    </w:p>
    <w:p w14:paraId="3F22E036" w14:textId="77777777" w:rsidR="00D90F44" w:rsidRDefault="00D90F44" w:rsidP="00D90F44">
      <w:pPr>
        <w:spacing w:before="120"/>
      </w:pPr>
      <w:r>
        <w:br w:type="page"/>
      </w:r>
    </w:p>
    <w:p w14:paraId="0BBADA11" w14:textId="41B7B18A" w:rsidR="001D0AF3" w:rsidRPr="00232B42" w:rsidRDefault="001D0AF3" w:rsidP="00D90F44">
      <w:pPr>
        <w:spacing w:before="120"/>
      </w:pPr>
      <w:r w:rsidRPr="00232B42">
        <w:lastRenderedPageBreak/>
        <w:t>5.2</w:t>
      </w:r>
      <w:r w:rsidRPr="00232B42">
        <w:tab/>
      </w:r>
      <w:r w:rsidR="0062607C" w:rsidRPr="00232B42">
        <w:t>Des conseillers soulignent qu</w:t>
      </w:r>
      <w:r w:rsidR="00125C02" w:rsidRPr="00232B42">
        <w:t>'</w:t>
      </w:r>
      <w:r w:rsidR="0062607C" w:rsidRPr="00232B42">
        <w:t>il est important de trouver des moyens de réduire le calendrier exceptionnellement chargé des réunions et des manifestations pour 2022 et suggèrent, comme le veut la pratique lors d</w:t>
      </w:r>
      <w:r w:rsidR="00125C02" w:rsidRPr="00232B42">
        <w:t>'</w:t>
      </w:r>
      <w:r w:rsidR="0062607C" w:rsidRPr="00232B42">
        <w:t xml:space="preserve">une année où se tient une Conférence de plénipotentiaires, </w:t>
      </w:r>
      <w:r w:rsidR="00ED6EAB" w:rsidRPr="00232B42">
        <w:t>qu</w:t>
      </w:r>
      <w:r w:rsidR="00125C02" w:rsidRPr="00232B42">
        <w:t>'</w:t>
      </w:r>
      <w:r w:rsidR="0062607C" w:rsidRPr="00232B42">
        <w:t>un</w:t>
      </w:r>
      <w:r w:rsidR="00ED6EAB" w:rsidRPr="00232B42">
        <w:t>e</w:t>
      </w:r>
      <w:r w:rsidR="0062607C" w:rsidRPr="00232B42">
        <w:t xml:space="preserve"> seul</w:t>
      </w:r>
      <w:r w:rsidR="00ED6EAB" w:rsidRPr="00232B42">
        <w:t>e</w:t>
      </w:r>
      <w:r w:rsidR="0062607C" w:rsidRPr="00232B42">
        <w:t xml:space="preserve"> </w:t>
      </w:r>
      <w:r w:rsidR="00ED6EAB" w:rsidRPr="00232B42">
        <w:rPr>
          <w:color w:val="000000"/>
        </w:rPr>
        <w:t xml:space="preserve">série de réunions des GTC </w:t>
      </w:r>
      <w:r w:rsidR="0062607C" w:rsidRPr="00232B42">
        <w:t>soit organisé</w:t>
      </w:r>
      <w:r w:rsidR="00ED6EAB" w:rsidRPr="00232B42">
        <w:t>e</w:t>
      </w:r>
      <w:r w:rsidR="0062607C" w:rsidRPr="00232B42">
        <w:t xml:space="preserve">, de préférence au début de l'année. Plus le calendrier des réunions pour 2022 sera </w:t>
      </w:r>
      <w:r w:rsidR="001C0F9C" w:rsidRPr="00232B42">
        <w:t>rationalisé</w:t>
      </w:r>
      <w:r w:rsidR="0062607C" w:rsidRPr="00232B42">
        <w:t xml:space="preserve">, plus la </w:t>
      </w:r>
      <w:r w:rsidR="00ED6EAB" w:rsidRPr="00232B42">
        <w:t>C</w:t>
      </w:r>
      <w:r w:rsidR="0062607C" w:rsidRPr="00232B42">
        <w:t>onférence d</w:t>
      </w:r>
      <w:r w:rsidR="00ED6EAB" w:rsidRPr="00232B42">
        <w:t xml:space="preserve">e </w:t>
      </w:r>
      <w:r w:rsidR="0062607C" w:rsidRPr="00232B42">
        <w:t xml:space="preserve">plénipotentiaires sera </w:t>
      </w:r>
      <w:r w:rsidR="00ED6EAB" w:rsidRPr="00232B42">
        <w:t>couronnée de succès.</w:t>
      </w:r>
    </w:p>
    <w:p w14:paraId="1A4C6823" w14:textId="0D0F70E7" w:rsidR="001D0AF3" w:rsidRPr="00232B42" w:rsidRDefault="001D0AF3" w:rsidP="00D90F44">
      <w:pPr>
        <w:spacing w:before="120"/>
      </w:pPr>
      <w:r w:rsidRPr="00232B42">
        <w:t>5.3</w:t>
      </w:r>
      <w:r w:rsidRPr="00232B42">
        <w:tab/>
      </w:r>
      <w:r w:rsidR="00E50591" w:rsidRPr="00232B42">
        <w:t>Le Président</w:t>
      </w:r>
      <w:r w:rsidR="00ED6EAB" w:rsidRPr="00232B42">
        <w:t xml:space="preserve"> considère que les conseillers souhaitent encourager le secrétariat à tenir compte des discussions et des interventions lors de la rédaction de la version actualisée du document qui sera soumis à la session de 2021 du Conseil</w:t>
      </w:r>
      <w:r w:rsidR="001C47D4" w:rsidRPr="00232B42">
        <w:t>.</w:t>
      </w:r>
    </w:p>
    <w:p w14:paraId="74532491" w14:textId="11CBA577" w:rsidR="001D0AF3" w:rsidRPr="00232B42" w:rsidRDefault="001D0AF3" w:rsidP="00D90F44">
      <w:pPr>
        <w:spacing w:before="120"/>
      </w:pPr>
      <w:r w:rsidRPr="00232B42">
        <w:t>5.4</w:t>
      </w:r>
      <w:r w:rsidRPr="00232B42">
        <w:tab/>
        <w:t xml:space="preserve">Il en est ainsi </w:t>
      </w:r>
      <w:r w:rsidRPr="00232B42">
        <w:rPr>
          <w:rFonts w:asciiTheme="minorHAnsi" w:hAnsiTheme="minorHAnsi" w:cstheme="minorHAnsi"/>
          <w:b/>
          <w:bCs/>
        </w:rPr>
        <w:t>conclu</w:t>
      </w:r>
      <w:r w:rsidRPr="00232B42">
        <w:t>.</w:t>
      </w:r>
    </w:p>
    <w:p w14:paraId="347B6338" w14:textId="39B3BF42" w:rsidR="001D0AF3" w:rsidRPr="00232B42" w:rsidRDefault="001D0AF3" w:rsidP="00D90F44">
      <w:pPr>
        <w:pStyle w:val="Heading1"/>
        <w:spacing w:before="360"/>
      </w:pPr>
      <w:r w:rsidRPr="00232B42">
        <w:t>6</w:t>
      </w:r>
      <w:r w:rsidRPr="00232B42">
        <w:tab/>
        <w:t>D</w:t>
      </w:r>
      <w:r w:rsidR="00ED6EAB" w:rsidRPr="00232B42">
        <w:t>é</w:t>
      </w:r>
      <w:r w:rsidRPr="00232B42">
        <w:t xml:space="preserve">cisions </w:t>
      </w:r>
      <w:r w:rsidR="00ED6EAB" w:rsidRPr="00232B42">
        <w:rPr>
          <w:color w:val="000000"/>
        </w:rPr>
        <w:t>de l'Assemblée générale des Nations Unies</w:t>
      </w:r>
      <w:r w:rsidR="00ED6EAB" w:rsidRPr="00232B42">
        <w:t xml:space="preserve"> sur les conditions d'emploi dans le cadre du régime commun des Nations Unies</w:t>
      </w:r>
      <w:r w:rsidRPr="00232B42">
        <w:t xml:space="preserve"> </w:t>
      </w:r>
      <w:r w:rsidRPr="00232B42">
        <w:rPr>
          <w:iCs/>
        </w:rPr>
        <w:t>(Document</w:t>
      </w:r>
      <w:r w:rsidR="001C47D4" w:rsidRPr="00232B42">
        <w:rPr>
          <w:iCs/>
        </w:rPr>
        <w:t> </w:t>
      </w:r>
      <w:hyperlink r:id="rId35" w:history="1">
        <w:r w:rsidRPr="00232B42">
          <w:rPr>
            <w:rStyle w:val="Hyperlink"/>
            <w:rFonts w:asciiTheme="minorHAnsi" w:hAnsiTheme="minorHAnsi" w:cstheme="minorHAnsi"/>
            <w:iCs/>
            <w:sz w:val="26"/>
            <w:szCs w:val="26"/>
          </w:rPr>
          <w:t>C20/23</w:t>
        </w:r>
      </w:hyperlink>
      <w:r w:rsidRPr="00232B42">
        <w:rPr>
          <w:iCs/>
        </w:rPr>
        <w:t>)</w:t>
      </w:r>
    </w:p>
    <w:p w14:paraId="7C9A3BA0" w14:textId="0EE47251" w:rsidR="001D0AF3" w:rsidRPr="00232B42" w:rsidRDefault="001D0AF3" w:rsidP="00D90F44">
      <w:pPr>
        <w:spacing w:before="120"/>
      </w:pPr>
      <w:r w:rsidRPr="00232B42">
        <w:t>6.1</w:t>
      </w:r>
      <w:r w:rsidRPr="00232B42">
        <w:tab/>
      </w:r>
      <w:r w:rsidR="00ED6EAB" w:rsidRPr="00232B42">
        <w:t xml:space="preserve">Le Chef du Département de la gestion des ressources humaines présente le </w:t>
      </w:r>
      <w:r w:rsidR="001C0F9C" w:rsidRPr="00232B42">
        <w:t>D</w:t>
      </w:r>
      <w:r w:rsidR="00ED6EAB" w:rsidRPr="00232B42">
        <w:t>ocument</w:t>
      </w:r>
      <w:r w:rsidR="001C47D4" w:rsidRPr="00232B42">
        <w:t> </w:t>
      </w:r>
      <w:r w:rsidR="00ED6EAB" w:rsidRPr="00232B42">
        <w:t>C20/23, qui porte sur les décisions de l'Assemblée générale des Nations unies concernant les conditions d'emploi. Ce document soumis chaque année au Conseil vise à informer les États Membres de toute modification apportée aux conditions d'emploi applicables à toutes les catégories de personnel.</w:t>
      </w:r>
      <w:r w:rsidR="00290596" w:rsidRPr="00232B42">
        <w:t xml:space="preserve"> Conformément à la Résolution 46 (Kyoto, 1994) de la Conférence de plénipotentiaires, ce document contient en annexe un projet de Résolution relatif aux révisions apportées à la rémunération des fonctionnaires élus </w:t>
      </w:r>
      <w:proofErr w:type="gramStart"/>
      <w:r w:rsidR="00290596" w:rsidRPr="00232B42">
        <w:t>suite à</w:t>
      </w:r>
      <w:proofErr w:type="gramEnd"/>
      <w:r w:rsidR="00290596" w:rsidRPr="00232B42">
        <w:t xml:space="preserve"> la révision </w:t>
      </w:r>
      <w:r w:rsidR="00290596" w:rsidRPr="00232B42">
        <w:rPr>
          <w:color w:val="000000"/>
        </w:rPr>
        <w:t>des traitements du personnel</w:t>
      </w:r>
      <w:r w:rsidR="00290596" w:rsidRPr="00232B42">
        <w:t xml:space="preserve"> décidée par l'Assemblée générale des Nations Unies, </w:t>
      </w:r>
      <w:r w:rsidR="00290596" w:rsidRPr="00232B42">
        <w:rPr>
          <w:color w:val="000000"/>
        </w:rPr>
        <w:t xml:space="preserve">avec effet au </w:t>
      </w:r>
      <w:r w:rsidR="00290596" w:rsidRPr="00232B42">
        <w:t>1er janvier 2020.</w:t>
      </w:r>
    </w:p>
    <w:p w14:paraId="43EE52A0" w14:textId="0B2D3650" w:rsidR="001D0AF3" w:rsidRPr="00232B42" w:rsidRDefault="001D0AF3" w:rsidP="00D90F44">
      <w:pPr>
        <w:spacing w:before="120"/>
      </w:pPr>
      <w:r w:rsidRPr="00232B42">
        <w:t>6.2</w:t>
      </w:r>
      <w:r w:rsidRPr="00232B42">
        <w:tab/>
      </w:r>
      <w:r w:rsidR="00290596" w:rsidRPr="00232B42">
        <w:t>Un conseiller, membre du Comité des pensions du personnel de l'UIT, informe les conseillers qu</w:t>
      </w:r>
      <w:r w:rsidR="00125C02" w:rsidRPr="00232B42">
        <w:t>'</w:t>
      </w:r>
      <w:r w:rsidR="00290596" w:rsidRPr="00232B42">
        <w:t xml:space="preserve">en raison de changements opérationnels au sein du </w:t>
      </w:r>
      <w:r w:rsidR="0028189A" w:rsidRPr="00232B42">
        <w:rPr>
          <w:color w:val="000000"/>
        </w:rPr>
        <w:t>Comité mixte de la Caisse commune des pensions du personnel des Nations Unies,</w:t>
      </w:r>
      <w:r w:rsidR="0028189A" w:rsidRPr="00232B42">
        <w:t xml:space="preserve"> </w:t>
      </w:r>
      <w:r w:rsidR="00290596" w:rsidRPr="00232B42">
        <w:t xml:space="preserve">l'UIT </w:t>
      </w:r>
      <w:r w:rsidR="001C0F9C" w:rsidRPr="00232B42">
        <w:t>va probablement</w:t>
      </w:r>
      <w:r w:rsidR="00290596" w:rsidRPr="00232B42">
        <w:t xml:space="preserve"> perdre une </w:t>
      </w:r>
      <w:proofErr w:type="spellStart"/>
      <w:r w:rsidR="00290596" w:rsidRPr="00232B42">
        <w:t>demi</w:t>
      </w:r>
      <w:r w:rsidR="001C47D4" w:rsidRPr="00232B42">
        <w:noBreakHyphen/>
      </w:r>
      <w:r w:rsidR="00290596" w:rsidRPr="00232B42">
        <w:t>voix</w:t>
      </w:r>
      <w:proofErr w:type="spellEnd"/>
      <w:r w:rsidR="00290596" w:rsidRPr="00232B42">
        <w:t xml:space="preserve"> (contre 1,5 voix) dans </w:t>
      </w:r>
      <w:r w:rsidR="0028189A" w:rsidRPr="00232B42">
        <w:t xml:space="preserve">le cadre des travaux </w:t>
      </w:r>
      <w:r w:rsidR="00290596" w:rsidRPr="00232B42">
        <w:t xml:space="preserve">du Comité mixte. Le Conseil sera informé en temps utile de la confirmation et des </w:t>
      </w:r>
      <w:r w:rsidR="0028189A" w:rsidRPr="00232B42">
        <w:t xml:space="preserve">incidences </w:t>
      </w:r>
      <w:r w:rsidR="00290596" w:rsidRPr="00232B42">
        <w:t>de ce</w:t>
      </w:r>
      <w:r w:rsidR="0028189A" w:rsidRPr="00232B42">
        <w:t>s</w:t>
      </w:r>
      <w:r w:rsidR="00290596" w:rsidRPr="00232B42">
        <w:t xml:space="preserve"> changement</w:t>
      </w:r>
      <w:r w:rsidR="0028189A" w:rsidRPr="00232B42">
        <w:t>s</w:t>
      </w:r>
      <w:r w:rsidR="00290596" w:rsidRPr="00232B42">
        <w:t>.</w:t>
      </w:r>
    </w:p>
    <w:p w14:paraId="4C978565" w14:textId="4949CDD7" w:rsidR="001D0AF3" w:rsidRPr="00232B42" w:rsidRDefault="001D0AF3" w:rsidP="00D90F44">
      <w:pPr>
        <w:spacing w:before="120"/>
        <w:rPr>
          <w:rFonts w:asciiTheme="minorHAnsi" w:hAnsiTheme="minorHAnsi" w:cstheme="minorHAnsi"/>
        </w:rPr>
      </w:pPr>
      <w:r w:rsidRPr="00232B42">
        <w:rPr>
          <w:rFonts w:asciiTheme="minorHAnsi" w:hAnsiTheme="minorHAnsi" w:cstheme="minorHAnsi"/>
        </w:rPr>
        <w:t>6.3</w:t>
      </w:r>
      <w:r w:rsidRPr="00232B42">
        <w:rPr>
          <w:rFonts w:asciiTheme="minorHAnsi" w:hAnsiTheme="minorHAnsi" w:cstheme="minorHAnsi"/>
        </w:rPr>
        <w:tab/>
        <w:t xml:space="preserve">Le Président </w:t>
      </w:r>
      <w:r w:rsidR="00E50591" w:rsidRPr="00232B42">
        <w:rPr>
          <w:rFonts w:asciiTheme="minorHAnsi" w:hAnsiTheme="minorHAnsi" w:cstheme="minorHAnsi"/>
        </w:rPr>
        <w:t xml:space="preserve">indique </w:t>
      </w:r>
      <w:r w:rsidRPr="00232B42">
        <w:rPr>
          <w:rFonts w:asciiTheme="minorHAnsi" w:hAnsiTheme="minorHAnsi" w:cstheme="minorHAnsi"/>
        </w:rPr>
        <w:t xml:space="preserve">que </w:t>
      </w:r>
      <w:r w:rsidR="00E50591" w:rsidRPr="00232B42">
        <w:rPr>
          <w:rFonts w:asciiTheme="minorHAnsi" w:hAnsiTheme="minorHAnsi" w:cstheme="minorHAnsi"/>
        </w:rPr>
        <w:t>l</w:t>
      </w:r>
      <w:r w:rsidR="00125C02" w:rsidRPr="00232B42">
        <w:rPr>
          <w:rFonts w:asciiTheme="minorHAnsi" w:hAnsiTheme="minorHAnsi" w:cstheme="minorHAnsi"/>
        </w:rPr>
        <w:t>'</w:t>
      </w:r>
      <w:r w:rsidR="00E50591" w:rsidRPr="00232B42">
        <w:rPr>
          <w:rFonts w:asciiTheme="minorHAnsi" w:hAnsiTheme="minorHAnsi" w:cstheme="minorHAnsi"/>
        </w:rPr>
        <w:t>examen de</w:t>
      </w:r>
      <w:r w:rsidRPr="00232B42">
        <w:rPr>
          <w:rFonts w:asciiTheme="minorHAnsi" w:hAnsiTheme="minorHAnsi" w:cstheme="minorHAnsi"/>
        </w:rPr>
        <w:t xml:space="preserve"> ce point</w:t>
      </w:r>
      <w:r w:rsidR="00E50591" w:rsidRPr="00232B42">
        <w:rPr>
          <w:rFonts w:asciiTheme="minorHAnsi" w:hAnsiTheme="minorHAnsi" w:cstheme="minorHAnsi"/>
        </w:rPr>
        <w:t xml:space="preserve"> se poursuivra</w:t>
      </w:r>
      <w:r w:rsidRPr="00232B42">
        <w:rPr>
          <w:rFonts w:asciiTheme="minorHAnsi" w:hAnsiTheme="minorHAnsi" w:cstheme="minorHAnsi"/>
        </w:rPr>
        <w:t xml:space="preserve"> le </w:t>
      </w:r>
      <w:r w:rsidR="001C0F9C" w:rsidRPr="00232B42">
        <w:rPr>
          <w:rFonts w:asciiTheme="minorHAnsi" w:hAnsiTheme="minorHAnsi" w:cstheme="minorHAnsi"/>
        </w:rPr>
        <w:t>jour suivant.</w:t>
      </w:r>
    </w:p>
    <w:p w14:paraId="75916083" w14:textId="77777777" w:rsidR="001D0AF3" w:rsidRPr="00232B42" w:rsidRDefault="001D0AF3" w:rsidP="008D7CEA">
      <w:pPr>
        <w:tabs>
          <w:tab w:val="clear" w:pos="794"/>
          <w:tab w:val="clear" w:pos="1191"/>
          <w:tab w:val="clear" w:pos="1588"/>
          <w:tab w:val="clear" w:pos="1985"/>
          <w:tab w:val="left" w:pos="6521"/>
        </w:tabs>
        <w:snapToGrid w:val="0"/>
        <w:spacing w:before="840" w:line="240" w:lineRule="auto"/>
        <w:rPr>
          <w:rFonts w:asciiTheme="minorHAnsi" w:hAnsiTheme="minorHAnsi" w:cstheme="minorHAnsi"/>
        </w:rPr>
      </w:pPr>
      <w:bookmarkStart w:id="2" w:name="_Hlk59007400"/>
      <w:r w:rsidRPr="00232B42">
        <w:rPr>
          <w:rFonts w:asciiTheme="minorHAnsi" w:hAnsiTheme="minorHAnsi" w:cstheme="minorHAnsi"/>
        </w:rPr>
        <w:t xml:space="preserve">Le Secrétaire </w:t>
      </w:r>
      <w:proofErr w:type="gramStart"/>
      <w:r w:rsidRPr="00232B42">
        <w:rPr>
          <w:rFonts w:asciiTheme="minorHAnsi" w:hAnsiTheme="minorHAnsi" w:cstheme="minorHAnsi"/>
        </w:rPr>
        <w:t>général:</w:t>
      </w:r>
      <w:proofErr w:type="gramEnd"/>
      <w:r w:rsidRPr="00232B42">
        <w:rPr>
          <w:rFonts w:asciiTheme="minorHAnsi" w:hAnsiTheme="minorHAnsi" w:cstheme="minorHAnsi"/>
        </w:rPr>
        <w:tab/>
        <w:t>Le Président:</w:t>
      </w:r>
    </w:p>
    <w:p w14:paraId="653079C6" w14:textId="77777777" w:rsidR="001D0AF3" w:rsidRPr="00232B42" w:rsidRDefault="001D0AF3" w:rsidP="008D7CEA">
      <w:pPr>
        <w:tabs>
          <w:tab w:val="clear" w:pos="794"/>
          <w:tab w:val="clear" w:pos="1191"/>
          <w:tab w:val="clear" w:pos="1588"/>
          <w:tab w:val="clear" w:pos="1985"/>
          <w:tab w:val="left" w:pos="6521"/>
        </w:tabs>
        <w:snapToGrid w:val="0"/>
        <w:spacing w:before="0" w:after="120" w:line="240" w:lineRule="auto"/>
        <w:rPr>
          <w:rFonts w:asciiTheme="minorHAnsi" w:hAnsiTheme="minorHAnsi" w:cstheme="minorHAnsi"/>
        </w:rPr>
      </w:pPr>
      <w:r w:rsidRPr="00232B42">
        <w:rPr>
          <w:rFonts w:asciiTheme="minorHAnsi" w:hAnsiTheme="minorHAnsi" w:cstheme="minorHAnsi"/>
        </w:rPr>
        <w:t>H. ZHAO</w:t>
      </w:r>
      <w:r w:rsidRPr="00232B42">
        <w:rPr>
          <w:rFonts w:asciiTheme="minorHAnsi" w:hAnsiTheme="minorHAnsi" w:cstheme="minorHAnsi"/>
        </w:rPr>
        <w:tab/>
        <w:t>S. BIN GHELAITA</w:t>
      </w:r>
      <w:bookmarkEnd w:id="2"/>
    </w:p>
    <w:sectPr w:rsidR="001D0AF3" w:rsidRPr="00232B42" w:rsidSect="005C3890">
      <w:headerReference w:type="even" r:id="rId36"/>
      <w:headerReference w:type="default" r:id="rId37"/>
      <w:footerReference w:type="even" r:id="rId38"/>
      <w:footerReference w:type="default" r:id="rId39"/>
      <w:footerReference w:type="first" r:id="rId40"/>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A4F07" w14:textId="77777777" w:rsidR="00E51965" w:rsidRDefault="00E51965">
      <w:r>
        <w:separator/>
      </w:r>
    </w:p>
  </w:endnote>
  <w:endnote w:type="continuationSeparator" w:id="0">
    <w:p w14:paraId="79FF28F3" w14:textId="77777777" w:rsidR="00E51965" w:rsidRDefault="00E5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EAE7F" w14:textId="58A551DA" w:rsidR="00E51965" w:rsidRDefault="00946776">
    <w:pPr>
      <w:pStyle w:val="Footer"/>
    </w:pPr>
    <w:fldSimple w:instr=" FILENAME \p \* MERGEFORMAT ">
      <w:r>
        <w:t>P:\FRA\SG\CONSEIL\VC-2\000\012F.docx</w:t>
      </w:r>
    </w:fldSimple>
    <w:r w:rsidR="00E51965">
      <w:tab/>
    </w:r>
    <w:r w:rsidR="00E51965">
      <w:fldChar w:fldCharType="begin"/>
    </w:r>
    <w:r w:rsidR="00E51965">
      <w:instrText xml:space="preserve"> savedate \@ dd.MM.yy </w:instrText>
    </w:r>
    <w:r w:rsidR="00E51965">
      <w:fldChar w:fldCharType="separate"/>
    </w:r>
    <w:r w:rsidR="000B384F">
      <w:t>17.12.20</w:t>
    </w:r>
    <w:r w:rsidR="00E51965">
      <w:fldChar w:fldCharType="end"/>
    </w:r>
    <w:r w:rsidR="00E51965">
      <w:tab/>
    </w:r>
    <w:r w:rsidR="00E51965">
      <w:fldChar w:fldCharType="begin"/>
    </w:r>
    <w:r w:rsidR="00E51965">
      <w:instrText xml:space="preserve"> printdate \@ dd.MM.yy </w:instrText>
    </w:r>
    <w:r w:rsidR="00E51965">
      <w:fldChar w:fldCharType="separate"/>
    </w:r>
    <w:r>
      <w:t>18.07.00</w:t>
    </w:r>
    <w:r w:rsidR="00E5196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49C32" w14:textId="1F488126" w:rsidR="00E51965" w:rsidRDefault="00946776">
    <w:pPr>
      <w:pStyle w:val="Footer"/>
    </w:pPr>
    <w:fldSimple w:instr=" FILENAME \p \* MERGEFORMAT ">
      <w:r>
        <w:t>P:\FRA\SG\CONSEIL\VC-2\000\012F.docx</w:t>
      </w:r>
    </w:fldSimple>
    <w:r w:rsidR="00E51965">
      <w:t xml:space="preserve"> (481102)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42CC2" w14:textId="77777777" w:rsidR="00E51965" w:rsidRDefault="00E5196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E81BF" w14:textId="77777777" w:rsidR="00E51965" w:rsidRDefault="00E51965">
      <w:r>
        <w:t>____________________</w:t>
      </w:r>
    </w:p>
  </w:footnote>
  <w:footnote w:type="continuationSeparator" w:id="0">
    <w:p w14:paraId="69CF4997" w14:textId="77777777" w:rsidR="00E51965" w:rsidRDefault="00E51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D0F66" w14:textId="77777777" w:rsidR="00E51965" w:rsidRDefault="00E51965">
    <w:pPr>
      <w:pStyle w:val="Header"/>
    </w:pPr>
    <w:r>
      <w:t xml:space="preserve">- </w:t>
    </w:r>
    <w:r>
      <w:fldChar w:fldCharType="begin"/>
    </w:r>
    <w:r>
      <w:instrText>PAGE</w:instrText>
    </w:r>
    <w:r>
      <w:fldChar w:fldCharType="separate"/>
    </w:r>
    <w:r>
      <w:rPr>
        <w:noProof/>
      </w:rPr>
      <w:t>2</w:t>
    </w:r>
    <w:r>
      <w:rPr>
        <w:noProof/>
      </w:rPr>
      <w:fldChar w:fldCharType="end"/>
    </w:r>
    <w:r>
      <w:t xml:space="preserve"> -</w:t>
    </w:r>
  </w:p>
  <w:p w14:paraId="68849CB6" w14:textId="77777777" w:rsidR="00E51965" w:rsidRDefault="00E5196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AF2BA" w14:textId="1DDE3B62" w:rsidR="00E51965" w:rsidRDefault="00E51965" w:rsidP="00475FB3">
    <w:pPr>
      <w:pStyle w:val="Header"/>
    </w:pPr>
    <w:r>
      <w:fldChar w:fldCharType="begin"/>
    </w:r>
    <w:r>
      <w:instrText>PAGE</w:instrText>
    </w:r>
    <w:r>
      <w:fldChar w:fldCharType="separate"/>
    </w:r>
    <w:r w:rsidR="00946776">
      <w:rPr>
        <w:noProof/>
      </w:rPr>
      <w:t>6</w:t>
    </w:r>
    <w:r>
      <w:rPr>
        <w:noProof/>
      </w:rPr>
      <w:fldChar w:fldCharType="end"/>
    </w:r>
  </w:p>
  <w:p w14:paraId="69BE9386" w14:textId="51BC0A35" w:rsidR="00E51965" w:rsidRDefault="00E51965" w:rsidP="00106B19">
    <w:pPr>
      <w:pStyle w:val="Header"/>
    </w:pPr>
    <w:r>
      <w:t>VC-2/12-F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05C24"/>
    <w:multiLevelType w:val="multilevel"/>
    <w:tmpl w:val="E1540AC8"/>
    <w:lvl w:ilvl="0">
      <w:start w:val="1"/>
      <w:numFmt w:val="decimal"/>
      <w:lvlText w:val="%1"/>
      <w:lvlJc w:val="left"/>
      <w:pPr>
        <w:ind w:left="720" w:hanging="720"/>
      </w:pPr>
      <w:rPr>
        <w:rFonts w:asciiTheme="minorHAnsi" w:hAnsiTheme="minorHAnsi"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BF73035-2545-4FAC-A56D-55D7494DAE97}"/>
    <w:docVar w:name="dgnword-eventsink" w:val="1644264341424"/>
  </w:docVars>
  <w:rsids>
    <w:rsidRoot w:val="00ED4F28"/>
    <w:rsid w:val="00026723"/>
    <w:rsid w:val="000328FF"/>
    <w:rsid w:val="00032C0C"/>
    <w:rsid w:val="000B384F"/>
    <w:rsid w:val="000D0D0A"/>
    <w:rsid w:val="00103163"/>
    <w:rsid w:val="00106B19"/>
    <w:rsid w:val="00115D93"/>
    <w:rsid w:val="001247A8"/>
    <w:rsid w:val="00125C02"/>
    <w:rsid w:val="001378C0"/>
    <w:rsid w:val="00137EDA"/>
    <w:rsid w:val="0018694A"/>
    <w:rsid w:val="001A3287"/>
    <w:rsid w:val="001A6508"/>
    <w:rsid w:val="001B1CA8"/>
    <w:rsid w:val="001C0F9C"/>
    <w:rsid w:val="001C47D4"/>
    <w:rsid w:val="001D0AF3"/>
    <w:rsid w:val="001D4C31"/>
    <w:rsid w:val="001E4D21"/>
    <w:rsid w:val="00207CD1"/>
    <w:rsid w:val="0023155A"/>
    <w:rsid w:val="00232B42"/>
    <w:rsid w:val="00234DF2"/>
    <w:rsid w:val="002477A2"/>
    <w:rsid w:val="00263A51"/>
    <w:rsid w:val="00267E02"/>
    <w:rsid w:val="0028189A"/>
    <w:rsid w:val="00290596"/>
    <w:rsid w:val="00292645"/>
    <w:rsid w:val="002A5D44"/>
    <w:rsid w:val="002E0BC4"/>
    <w:rsid w:val="002F1B76"/>
    <w:rsid w:val="0033568E"/>
    <w:rsid w:val="00355FF5"/>
    <w:rsid w:val="00361350"/>
    <w:rsid w:val="003C3FAE"/>
    <w:rsid w:val="004038CB"/>
    <w:rsid w:val="0040546F"/>
    <w:rsid w:val="0042404A"/>
    <w:rsid w:val="0044618F"/>
    <w:rsid w:val="0046769A"/>
    <w:rsid w:val="004718F1"/>
    <w:rsid w:val="00475FB3"/>
    <w:rsid w:val="004C37A9"/>
    <w:rsid w:val="004E6C4C"/>
    <w:rsid w:val="004F259E"/>
    <w:rsid w:val="00511F1D"/>
    <w:rsid w:val="00520F36"/>
    <w:rsid w:val="00522C0A"/>
    <w:rsid w:val="00540615"/>
    <w:rsid w:val="00540A6D"/>
    <w:rsid w:val="00571EEA"/>
    <w:rsid w:val="00575417"/>
    <w:rsid w:val="005768E1"/>
    <w:rsid w:val="00594733"/>
    <w:rsid w:val="005B1938"/>
    <w:rsid w:val="005C3890"/>
    <w:rsid w:val="005F7BFE"/>
    <w:rsid w:val="00600017"/>
    <w:rsid w:val="006235CA"/>
    <w:rsid w:val="0062607C"/>
    <w:rsid w:val="006643AB"/>
    <w:rsid w:val="00687208"/>
    <w:rsid w:val="00687824"/>
    <w:rsid w:val="00701DE7"/>
    <w:rsid w:val="007210CD"/>
    <w:rsid w:val="00722225"/>
    <w:rsid w:val="00731614"/>
    <w:rsid w:val="00732045"/>
    <w:rsid w:val="007369DB"/>
    <w:rsid w:val="007451C8"/>
    <w:rsid w:val="007956C2"/>
    <w:rsid w:val="007A187E"/>
    <w:rsid w:val="007C72C2"/>
    <w:rsid w:val="007D4436"/>
    <w:rsid w:val="007F257A"/>
    <w:rsid w:val="007F3665"/>
    <w:rsid w:val="00800037"/>
    <w:rsid w:val="0080108F"/>
    <w:rsid w:val="00805084"/>
    <w:rsid w:val="00837426"/>
    <w:rsid w:val="00861D73"/>
    <w:rsid w:val="008967D7"/>
    <w:rsid w:val="008A4E87"/>
    <w:rsid w:val="008D76E6"/>
    <w:rsid w:val="008D7CEA"/>
    <w:rsid w:val="0092392D"/>
    <w:rsid w:val="0093234A"/>
    <w:rsid w:val="00946776"/>
    <w:rsid w:val="009A3A53"/>
    <w:rsid w:val="009C307F"/>
    <w:rsid w:val="009C353C"/>
    <w:rsid w:val="009C4BCF"/>
    <w:rsid w:val="00A00FDE"/>
    <w:rsid w:val="00A2113E"/>
    <w:rsid w:val="00A23A51"/>
    <w:rsid w:val="00A24607"/>
    <w:rsid w:val="00A25CD3"/>
    <w:rsid w:val="00A477F3"/>
    <w:rsid w:val="00A82767"/>
    <w:rsid w:val="00A83B4E"/>
    <w:rsid w:val="00AA332F"/>
    <w:rsid w:val="00AA7BBB"/>
    <w:rsid w:val="00AB64A8"/>
    <w:rsid w:val="00AC0266"/>
    <w:rsid w:val="00AD24EC"/>
    <w:rsid w:val="00B27B09"/>
    <w:rsid w:val="00B309F9"/>
    <w:rsid w:val="00B32B60"/>
    <w:rsid w:val="00B47907"/>
    <w:rsid w:val="00B511CE"/>
    <w:rsid w:val="00B61619"/>
    <w:rsid w:val="00BB0F5B"/>
    <w:rsid w:val="00BB4545"/>
    <w:rsid w:val="00BD2046"/>
    <w:rsid w:val="00BD5873"/>
    <w:rsid w:val="00C04BE3"/>
    <w:rsid w:val="00C25D29"/>
    <w:rsid w:val="00C27A7C"/>
    <w:rsid w:val="00C85E73"/>
    <w:rsid w:val="00CA08ED"/>
    <w:rsid w:val="00CB1E60"/>
    <w:rsid w:val="00CF183B"/>
    <w:rsid w:val="00D375CD"/>
    <w:rsid w:val="00D5048A"/>
    <w:rsid w:val="00D553A2"/>
    <w:rsid w:val="00D774D3"/>
    <w:rsid w:val="00D904E8"/>
    <w:rsid w:val="00D90F44"/>
    <w:rsid w:val="00DA08C3"/>
    <w:rsid w:val="00DB5A3E"/>
    <w:rsid w:val="00DC22AA"/>
    <w:rsid w:val="00DF74DD"/>
    <w:rsid w:val="00E25AD0"/>
    <w:rsid w:val="00E50591"/>
    <w:rsid w:val="00E51965"/>
    <w:rsid w:val="00EB6350"/>
    <w:rsid w:val="00EC0104"/>
    <w:rsid w:val="00ED4F28"/>
    <w:rsid w:val="00ED6C9B"/>
    <w:rsid w:val="00ED6EAB"/>
    <w:rsid w:val="00EE0660"/>
    <w:rsid w:val="00EE0864"/>
    <w:rsid w:val="00F05B06"/>
    <w:rsid w:val="00F10E97"/>
    <w:rsid w:val="00F15B57"/>
    <w:rsid w:val="00F21B58"/>
    <w:rsid w:val="00F2514E"/>
    <w:rsid w:val="00F427DB"/>
    <w:rsid w:val="00F72513"/>
    <w:rsid w:val="00FA2624"/>
    <w:rsid w:val="00FA5EB1"/>
    <w:rsid w:val="00FA7439"/>
    <w:rsid w:val="00FC2E6E"/>
    <w:rsid w:val="00FC4EC0"/>
    <w:rsid w:val="00FD6756"/>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FC3469A"/>
  <w15:docId w15:val="{3BE36841-2244-4556-96CD-09CFBCC0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CEA"/>
    <w:pPr>
      <w:tabs>
        <w:tab w:val="left" w:pos="794"/>
        <w:tab w:val="left" w:pos="1191"/>
        <w:tab w:val="left" w:pos="1588"/>
        <w:tab w:val="left" w:pos="1985"/>
      </w:tabs>
      <w:overflowPunct w:val="0"/>
      <w:autoSpaceDE w:val="0"/>
      <w:autoSpaceDN w:val="0"/>
      <w:adjustRightInd w:val="0"/>
      <w:spacing w:before="160" w:line="280" w:lineRule="exact"/>
      <w:textAlignment w:val="baseline"/>
    </w:pPr>
    <w:rPr>
      <w:rFonts w:ascii="Calibri" w:hAnsi="Calibri" w:cs="Calibri"/>
      <w:sz w:val="24"/>
      <w:szCs w:val="22"/>
      <w:lang w:val="fr-FR" w:eastAsia="en-US"/>
    </w:rPr>
  </w:style>
  <w:style w:type="paragraph" w:styleId="Heading1">
    <w:name w:val="heading 1"/>
    <w:basedOn w:val="Normal"/>
    <w:next w:val="Normal"/>
    <w:qFormat/>
    <w:rsid w:val="00732045"/>
    <w:pPr>
      <w:keepNext/>
      <w:keepLines/>
      <w:tabs>
        <w:tab w:val="clear" w:pos="794"/>
        <w:tab w:val="clear" w:pos="1191"/>
        <w:tab w:val="clear" w:pos="1588"/>
        <w:tab w:val="clear" w:pos="1985"/>
        <w:tab w:val="left" w:pos="567"/>
        <w:tab w:val="left" w:pos="1134"/>
        <w:tab w:val="left" w:pos="1701"/>
        <w:tab w:val="left" w:pos="2268"/>
        <w:tab w:val="left" w:pos="2835"/>
      </w:tabs>
      <w:spacing w:before="480" w:line="240" w:lineRule="auto"/>
      <w:ind w:left="567" w:hanging="567"/>
      <w:outlineLvl w:val="0"/>
    </w:pPr>
    <w:rPr>
      <w:rFonts w:cs="Times New Roman"/>
      <w:b/>
      <w:sz w:val="28"/>
      <w:szCs w:val="20"/>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794"/>
        <w:tab w:val="clear" w:pos="1191"/>
        <w:tab w:val="clear" w:pos="1588"/>
        <w:tab w:val="clear" w:pos="1985"/>
        <w:tab w:val="left" w:pos="964"/>
        <w:tab w:val="left" w:leader="dot" w:pos="8789"/>
        <w:tab w:val="right" w:pos="9639"/>
      </w:tabs>
      <w:spacing w:before="120" w:line="240" w:lineRule="auto"/>
      <w:ind w:left="964" w:hanging="964"/>
    </w:pPr>
    <w:rPr>
      <w:rFonts w:cs="Times New Roman"/>
      <w:szCs w:val="20"/>
    </w:rPr>
  </w:style>
  <w:style w:type="paragraph" w:styleId="TOC3">
    <w:name w:val="toc 3"/>
    <w:basedOn w:val="Normal"/>
    <w:next w:val="Normal"/>
    <w:rsid w:val="00732045"/>
    <w:pPr>
      <w:tabs>
        <w:tab w:val="clear" w:pos="794"/>
        <w:tab w:val="clear" w:pos="1191"/>
        <w:tab w:val="clear" w:pos="1588"/>
        <w:tab w:val="clear" w:pos="1985"/>
        <w:tab w:val="left" w:pos="964"/>
        <w:tab w:val="left" w:leader="dot" w:pos="8789"/>
        <w:tab w:val="right" w:pos="9639"/>
      </w:tabs>
      <w:spacing w:before="120" w:line="240" w:lineRule="auto"/>
      <w:ind w:left="964" w:hanging="964"/>
    </w:pPr>
    <w:rPr>
      <w:rFonts w:cs="Times New Roman"/>
      <w:szCs w:val="20"/>
    </w:rPr>
  </w:style>
  <w:style w:type="paragraph" w:styleId="TOC2">
    <w:name w:val="toc 2"/>
    <w:basedOn w:val="Normal"/>
    <w:next w:val="Normal"/>
    <w:rsid w:val="00732045"/>
    <w:pPr>
      <w:tabs>
        <w:tab w:val="clear" w:pos="794"/>
        <w:tab w:val="clear" w:pos="1191"/>
        <w:tab w:val="clear" w:pos="1588"/>
        <w:tab w:val="clear" w:pos="1985"/>
        <w:tab w:val="left" w:pos="964"/>
        <w:tab w:val="left" w:leader="dot" w:pos="8789"/>
        <w:tab w:val="right" w:pos="9639"/>
      </w:tabs>
      <w:spacing w:before="120" w:line="240" w:lineRule="auto"/>
      <w:ind w:left="964" w:hanging="964"/>
    </w:pPr>
    <w:rPr>
      <w:rFonts w:cs="Times New Roman"/>
      <w:szCs w:val="20"/>
    </w:rPr>
  </w:style>
  <w:style w:type="paragraph" w:styleId="TOC1">
    <w:name w:val="toc 1"/>
    <w:basedOn w:val="Normal"/>
    <w:rsid w:val="00732045"/>
    <w:pPr>
      <w:tabs>
        <w:tab w:val="clear" w:pos="794"/>
        <w:tab w:val="clear" w:pos="1191"/>
        <w:tab w:val="clear" w:pos="1588"/>
        <w:tab w:val="clear" w:pos="1985"/>
        <w:tab w:val="left" w:pos="964"/>
        <w:tab w:val="left" w:leader="dot" w:pos="8789"/>
        <w:tab w:val="right" w:pos="9639"/>
      </w:tabs>
      <w:spacing w:before="240" w:line="240" w:lineRule="auto"/>
      <w:ind w:left="964" w:hanging="964"/>
    </w:pPr>
    <w:rPr>
      <w:rFonts w:cs="Times New Roman"/>
      <w:szCs w:val="20"/>
    </w:rPr>
  </w:style>
  <w:style w:type="paragraph" w:styleId="TOC7">
    <w:name w:val="toc 7"/>
    <w:basedOn w:val="Normal"/>
    <w:next w:val="Normal"/>
    <w:rsid w:val="00732045"/>
    <w:pPr>
      <w:tabs>
        <w:tab w:val="clear" w:pos="794"/>
        <w:tab w:val="clear" w:pos="1191"/>
        <w:tab w:val="clear" w:pos="1588"/>
        <w:tab w:val="clear" w:pos="1985"/>
        <w:tab w:val="left" w:pos="964"/>
        <w:tab w:val="left" w:leader="dot" w:pos="8789"/>
        <w:tab w:val="right" w:pos="9639"/>
      </w:tabs>
      <w:spacing w:before="120" w:line="240" w:lineRule="auto"/>
      <w:ind w:left="964" w:hanging="964"/>
    </w:pPr>
    <w:rPr>
      <w:rFonts w:cs="Times New Roman"/>
      <w:szCs w:val="20"/>
    </w:rPr>
  </w:style>
  <w:style w:type="paragraph" w:styleId="TOC6">
    <w:name w:val="toc 6"/>
    <w:basedOn w:val="Normal"/>
    <w:next w:val="Normal"/>
    <w:rsid w:val="00732045"/>
    <w:pPr>
      <w:tabs>
        <w:tab w:val="clear" w:pos="794"/>
        <w:tab w:val="clear" w:pos="1191"/>
        <w:tab w:val="clear" w:pos="1588"/>
        <w:tab w:val="clear" w:pos="1985"/>
        <w:tab w:val="left" w:pos="964"/>
        <w:tab w:val="left" w:leader="dot" w:pos="8789"/>
        <w:tab w:val="right" w:pos="9639"/>
      </w:tabs>
      <w:spacing w:before="120" w:line="240" w:lineRule="auto"/>
      <w:ind w:left="964" w:hanging="964"/>
    </w:pPr>
    <w:rPr>
      <w:rFonts w:cs="Times New Roman"/>
      <w:szCs w:val="20"/>
    </w:rPr>
  </w:style>
  <w:style w:type="paragraph" w:styleId="TOC5">
    <w:name w:val="toc 5"/>
    <w:basedOn w:val="Normal"/>
    <w:next w:val="Normal"/>
    <w:rsid w:val="00732045"/>
    <w:pPr>
      <w:tabs>
        <w:tab w:val="clear" w:pos="794"/>
        <w:tab w:val="clear" w:pos="1191"/>
        <w:tab w:val="clear" w:pos="1588"/>
        <w:tab w:val="clear" w:pos="1985"/>
        <w:tab w:val="left" w:pos="964"/>
        <w:tab w:val="left" w:leader="dot" w:pos="8789"/>
        <w:tab w:val="right" w:pos="9639"/>
      </w:tabs>
      <w:spacing w:before="120" w:line="240" w:lineRule="auto"/>
      <w:ind w:left="964" w:hanging="964"/>
    </w:pPr>
    <w:rPr>
      <w:rFonts w:cs="Times New Roman"/>
      <w:szCs w:val="20"/>
    </w:rPr>
  </w:style>
  <w:style w:type="paragraph" w:styleId="TOC4">
    <w:name w:val="toc 4"/>
    <w:basedOn w:val="Normal"/>
    <w:next w:val="Normal"/>
    <w:rsid w:val="00732045"/>
    <w:pPr>
      <w:tabs>
        <w:tab w:val="clear" w:pos="794"/>
        <w:tab w:val="clear" w:pos="1191"/>
        <w:tab w:val="clear" w:pos="1588"/>
        <w:tab w:val="clear" w:pos="1985"/>
        <w:tab w:val="left" w:pos="964"/>
        <w:tab w:val="left" w:pos="8789"/>
        <w:tab w:val="right" w:pos="9639"/>
      </w:tabs>
      <w:spacing w:before="120" w:line="240" w:lineRule="auto"/>
      <w:ind w:left="964" w:hanging="964"/>
    </w:pPr>
    <w:rPr>
      <w:rFonts w:cs="Times New Roman"/>
      <w:szCs w:val="20"/>
    </w:rPr>
  </w:style>
  <w:style w:type="paragraph" w:styleId="Index7">
    <w:name w:val="index 7"/>
    <w:basedOn w:val="Normal"/>
    <w:next w:val="Normal"/>
    <w:rsid w:val="005C3890"/>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1698"/>
    </w:pPr>
    <w:rPr>
      <w:rFonts w:cs="Times New Roman"/>
      <w:szCs w:val="20"/>
    </w:rPr>
  </w:style>
  <w:style w:type="paragraph" w:styleId="Index6">
    <w:name w:val="index 6"/>
    <w:basedOn w:val="Normal"/>
    <w:next w:val="Normal"/>
    <w:rsid w:val="005C3890"/>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1415"/>
    </w:pPr>
    <w:rPr>
      <w:rFonts w:cs="Times New Roman"/>
      <w:szCs w:val="20"/>
    </w:rPr>
  </w:style>
  <w:style w:type="paragraph" w:styleId="Index5">
    <w:name w:val="index 5"/>
    <w:basedOn w:val="Normal"/>
    <w:next w:val="Normal"/>
    <w:rsid w:val="005C3890"/>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1132"/>
    </w:pPr>
    <w:rPr>
      <w:rFonts w:cs="Times New Roman"/>
      <w:szCs w:val="20"/>
    </w:rPr>
  </w:style>
  <w:style w:type="paragraph" w:styleId="Index4">
    <w:name w:val="index 4"/>
    <w:basedOn w:val="Normal"/>
    <w:next w:val="Normal"/>
    <w:rsid w:val="005C3890"/>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849"/>
    </w:pPr>
    <w:rPr>
      <w:rFonts w:cs="Times New Roman"/>
      <w:szCs w:val="20"/>
    </w:rPr>
  </w:style>
  <w:style w:type="paragraph" w:styleId="Index3">
    <w:name w:val="index 3"/>
    <w:basedOn w:val="Normal"/>
    <w:next w:val="Normal"/>
    <w:rsid w:val="005C3890"/>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566"/>
    </w:pPr>
    <w:rPr>
      <w:rFonts w:cs="Times New Roman"/>
      <w:szCs w:val="20"/>
    </w:rPr>
  </w:style>
  <w:style w:type="paragraph" w:styleId="Index2">
    <w:name w:val="index 2"/>
    <w:basedOn w:val="Normal"/>
    <w:next w:val="Normal"/>
    <w:rsid w:val="005C3890"/>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283"/>
    </w:pPr>
    <w:rPr>
      <w:rFonts w:cs="Times New Roman"/>
      <w:szCs w:val="20"/>
    </w:rPr>
  </w:style>
  <w:style w:type="paragraph" w:styleId="Index1">
    <w:name w:val="index 1"/>
    <w:basedOn w:val="Normal"/>
    <w:next w:val="Normal"/>
    <w:rsid w:val="005C3890"/>
    <w:pPr>
      <w:tabs>
        <w:tab w:val="clear" w:pos="794"/>
        <w:tab w:val="clear" w:pos="1191"/>
        <w:tab w:val="clear" w:pos="1588"/>
        <w:tab w:val="clear" w:pos="1985"/>
        <w:tab w:val="left" w:pos="567"/>
        <w:tab w:val="left" w:pos="1134"/>
        <w:tab w:val="left" w:pos="1701"/>
        <w:tab w:val="left" w:pos="2268"/>
        <w:tab w:val="left" w:pos="2835"/>
      </w:tabs>
      <w:spacing w:before="120" w:line="240" w:lineRule="auto"/>
    </w:pPr>
    <w:rPr>
      <w:rFonts w:cs="Times New Roman"/>
      <w:szCs w:val="20"/>
    </w:rPr>
  </w:style>
  <w:style w:type="character" w:styleId="LineNumber">
    <w:name w:val="line number"/>
    <w:basedOn w:val="DefaultParagraphFont"/>
    <w:rsid w:val="005C3890"/>
  </w:style>
  <w:style w:type="paragraph" w:styleId="IndexHeading">
    <w:name w:val="index heading"/>
    <w:basedOn w:val="Normal"/>
    <w:next w:val="Index1"/>
    <w:rsid w:val="005C3890"/>
    <w:pPr>
      <w:tabs>
        <w:tab w:val="clear" w:pos="794"/>
        <w:tab w:val="clear" w:pos="1191"/>
        <w:tab w:val="clear" w:pos="1588"/>
        <w:tab w:val="clear" w:pos="1985"/>
        <w:tab w:val="left" w:pos="567"/>
        <w:tab w:val="left" w:pos="1134"/>
        <w:tab w:val="left" w:pos="1701"/>
        <w:tab w:val="left" w:pos="2268"/>
        <w:tab w:val="left" w:pos="2835"/>
      </w:tabs>
      <w:spacing w:before="120" w:line="240" w:lineRule="auto"/>
    </w:pPr>
    <w:rPr>
      <w:rFonts w:cs="Times New Roman"/>
      <w:szCs w:val="20"/>
    </w:rPr>
  </w:style>
  <w:style w:type="paragraph" w:styleId="Footer">
    <w:name w:val="footer"/>
    <w:basedOn w:val="Normal"/>
    <w:rsid w:val="00732045"/>
    <w:pPr>
      <w:tabs>
        <w:tab w:val="clear" w:pos="794"/>
        <w:tab w:val="clear" w:pos="1191"/>
        <w:tab w:val="clear" w:pos="1588"/>
        <w:tab w:val="clear" w:pos="1985"/>
        <w:tab w:val="left" w:pos="5954"/>
        <w:tab w:val="right" w:pos="9639"/>
      </w:tabs>
      <w:spacing w:before="0" w:line="240" w:lineRule="auto"/>
    </w:pPr>
    <w:rPr>
      <w:rFonts w:cs="Times New Roman"/>
      <w:caps/>
      <w:noProof/>
      <w:sz w:val="16"/>
      <w:szCs w:val="20"/>
    </w:rPr>
  </w:style>
  <w:style w:type="paragraph" w:styleId="Header">
    <w:name w:val="header"/>
    <w:basedOn w:val="Normal"/>
    <w:rsid w:val="00732045"/>
    <w:pPr>
      <w:tabs>
        <w:tab w:val="clear" w:pos="794"/>
        <w:tab w:val="clear" w:pos="1191"/>
        <w:tab w:val="clear" w:pos="1588"/>
        <w:tab w:val="clear" w:pos="1985"/>
      </w:tabs>
      <w:spacing w:before="0" w:line="240" w:lineRule="auto"/>
      <w:jc w:val="center"/>
    </w:pPr>
    <w:rPr>
      <w:rFonts w:cs="Times New Roman"/>
      <w:sz w:val="18"/>
      <w:szCs w:val="20"/>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clear" w:pos="794"/>
        <w:tab w:val="clear" w:pos="1191"/>
        <w:tab w:val="clear" w:pos="1588"/>
        <w:tab w:val="clear" w:pos="1985"/>
        <w:tab w:val="left" w:pos="256"/>
        <w:tab w:val="left" w:pos="567"/>
        <w:tab w:val="left" w:pos="1134"/>
        <w:tab w:val="left" w:pos="1701"/>
        <w:tab w:val="left" w:pos="2268"/>
        <w:tab w:val="left" w:pos="2835"/>
      </w:tabs>
      <w:spacing w:before="120" w:line="240" w:lineRule="auto"/>
      <w:ind w:left="256" w:hanging="256"/>
    </w:pPr>
    <w:rPr>
      <w:rFonts w:cs="Times New Roman"/>
      <w:szCs w:val="20"/>
    </w:rPr>
  </w:style>
  <w:style w:type="paragraph" w:styleId="NormalIndent">
    <w:name w:val="Normal Indent"/>
    <w:basedOn w:val="Normal"/>
    <w:rsid w:val="00732045"/>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567"/>
    </w:pPr>
    <w:rPr>
      <w:rFonts w:cs="Times New Roman"/>
      <w:szCs w:val="20"/>
    </w:rPr>
  </w:style>
  <w:style w:type="paragraph" w:customStyle="1" w:styleId="enumlev1">
    <w:name w:val="enumlev1"/>
    <w:basedOn w:val="Normal"/>
    <w:rsid w:val="00732045"/>
    <w:pPr>
      <w:tabs>
        <w:tab w:val="clear" w:pos="794"/>
        <w:tab w:val="clear" w:pos="1191"/>
        <w:tab w:val="clear" w:pos="1588"/>
        <w:tab w:val="clear" w:pos="1985"/>
        <w:tab w:val="left" w:pos="567"/>
        <w:tab w:val="left" w:pos="1134"/>
        <w:tab w:val="left" w:pos="1701"/>
        <w:tab w:val="left" w:pos="2268"/>
        <w:tab w:val="left" w:pos="2835"/>
      </w:tabs>
      <w:spacing w:before="86" w:line="240" w:lineRule="auto"/>
      <w:ind w:left="567" w:hanging="567"/>
    </w:pPr>
    <w:rPr>
      <w:rFonts w:cs="Times New Roman"/>
      <w:szCs w:val="20"/>
    </w:r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lear" w:pos="794"/>
        <w:tab w:val="clear" w:pos="1191"/>
        <w:tab w:val="clear" w:pos="1588"/>
        <w:tab w:val="clear" w:pos="1985"/>
        <w:tab w:val="left" w:pos="567"/>
        <w:tab w:val="left" w:pos="1134"/>
        <w:tab w:val="left" w:pos="1701"/>
        <w:tab w:val="left" w:pos="2268"/>
        <w:tab w:val="left" w:pos="2835"/>
        <w:tab w:val="center" w:pos="4820"/>
        <w:tab w:val="right" w:pos="9639"/>
      </w:tabs>
      <w:spacing w:before="120" w:line="240" w:lineRule="auto"/>
    </w:pPr>
    <w:rPr>
      <w:rFonts w:cs="Times New Roman"/>
      <w:szCs w:val="20"/>
    </w:rPr>
  </w:style>
  <w:style w:type="paragraph" w:customStyle="1" w:styleId="Head">
    <w:name w:val="Head"/>
    <w:basedOn w:val="Normal"/>
    <w:rsid w:val="005C3890"/>
    <w:pPr>
      <w:tabs>
        <w:tab w:val="clear" w:pos="794"/>
        <w:tab w:val="clear" w:pos="1191"/>
        <w:tab w:val="clear" w:pos="1588"/>
        <w:tab w:val="clear" w:pos="1985"/>
        <w:tab w:val="left" w:pos="567"/>
        <w:tab w:val="left" w:pos="1134"/>
        <w:tab w:val="left" w:pos="1701"/>
        <w:tab w:val="left" w:pos="2268"/>
        <w:tab w:val="left" w:pos="2835"/>
        <w:tab w:val="left" w:pos="6663"/>
      </w:tabs>
      <w:overflowPunct/>
      <w:autoSpaceDE/>
      <w:autoSpaceDN/>
      <w:adjustRightInd/>
      <w:spacing w:before="0" w:line="240" w:lineRule="auto"/>
      <w:textAlignment w:val="auto"/>
    </w:pPr>
    <w:rPr>
      <w:rFonts w:cs="Times New Roman"/>
      <w:szCs w:val="20"/>
    </w:rPr>
  </w:style>
  <w:style w:type="paragraph" w:customStyle="1" w:styleId="Normalaftertitle">
    <w:name w:val="Normal after title"/>
    <w:basedOn w:val="Normal"/>
    <w:next w:val="Normal"/>
    <w:rsid w:val="00732045"/>
    <w:pPr>
      <w:tabs>
        <w:tab w:val="clear" w:pos="794"/>
        <w:tab w:val="clear" w:pos="1191"/>
        <w:tab w:val="clear" w:pos="1588"/>
        <w:tab w:val="clear" w:pos="1985"/>
        <w:tab w:val="left" w:pos="567"/>
        <w:tab w:val="left" w:pos="1134"/>
        <w:tab w:val="left" w:pos="1701"/>
        <w:tab w:val="left" w:pos="2268"/>
        <w:tab w:val="left" w:pos="2835"/>
      </w:tabs>
      <w:spacing w:before="240" w:line="240" w:lineRule="auto"/>
    </w:pPr>
    <w:rPr>
      <w:rFonts w:cs="Times New Roman"/>
      <w:szCs w:val="20"/>
    </w:rPr>
  </w:style>
  <w:style w:type="paragraph" w:customStyle="1" w:styleId="Call">
    <w:name w:val="Call"/>
    <w:basedOn w:val="Normal"/>
    <w:next w:val="Normal"/>
    <w:rsid w:val="00732045"/>
    <w:pPr>
      <w:keepNext/>
      <w:keepLines/>
      <w:tabs>
        <w:tab w:val="clear" w:pos="794"/>
        <w:tab w:val="clear" w:pos="1191"/>
        <w:tab w:val="clear" w:pos="1588"/>
        <w:tab w:val="clear" w:pos="1985"/>
        <w:tab w:val="left" w:pos="567"/>
      </w:tabs>
      <w:spacing w:line="240" w:lineRule="auto"/>
      <w:ind w:left="567"/>
    </w:pPr>
    <w:rPr>
      <w:rFonts w:cs="Times New Roman"/>
      <w:i/>
      <w:szCs w:val="20"/>
    </w:rPr>
  </w:style>
  <w:style w:type="paragraph" w:customStyle="1" w:styleId="toc0">
    <w:name w:val="toc 0"/>
    <w:basedOn w:val="Normal"/>
    <w:next w:val="TOC1"/>
    <w:rsid w:val="00732045"/>
    <w:pPr>
      <w:tabs>
        <w:tab w:val="clear" w:pos="794"/>
        <w:tab w:val="clear" w:pos="1191"/>
        <w:tab w:val="clear" w:pos="1588"/>
        <w:tab w:val="clear" w:pos="1985"/>
        <w:tab w:val="right" w:pos="9781"/>
      </w:tabs>
      <w:spacing w:before="120" w:line="240" w:lineRule="auto"/>
    </w:pPr>
    <w:rPr>
      <w:rFonts w:cs="Times New Roman"/>
      <w:b/>
      <w:szCs w:val="20"/>
    </w:rPr>
  </w:style>
  <w:style w:type="paragraph" w:styleId="List">
    <w:name w:val="List"/>
    <w:basedOn w:val="Normal"/>
    <w:rsid w:val="005C3890"/>
    <w:pPr>
      <w:tabs>
        <w:tab w:val="clear" w:pos="794"/>
        <w:tab w:val="clear" w:pos="1191"/>
        <w:tab w:val="clear" w:pos="1588"/>
        <w:tab w:val="clear" w:pos="1985"/>
        <w:tab w:val="left" w:pos="567"/>
        <w:tab w:val="left" w:pos="1134"/>
        <w:tab w:val="left" w:pos="1701"/>
        <w:tab w:val="left" w:pos="2127"/>
        <w:tab w:val="left" w:pos="2268"/>
        <w:tab w:val="left" w:pos="2835"/>
      </w:tabs>
      <w:spacing w:before="120" w:line="240" w:lineRule="auto"/>
      <w:ind w:left="2127" w:hanging="2127"/>
    </w:pPr>
    <w:rPr>
      <w:rFonts w:cs="Times New Roman"/>
      <w:szCs w:val="20"/>
    </w:rPr>
  </w:style>
  <w:style w:type="paragraph" w:customStyle="1" w:styleId="Part">
    <w:name w:val="Part"/>
    <w:basedOn w:val="Normal"/>
    <w:rsid w:val="005C3890"/>
    <w:pPr>
      <w:tabs>
        <w:tab w:val="clear" w:pos="794"/>
        <w:tab w:val="clear" w:pos="1191"/>
        <w:tab w:val="clear" w:pos="1588"/>
        <w:tab w:val="clear" w:pos="1985"/>
        <w:tab w:val="left" w:pos="567"/>
        <w:tab w:val="left" w:pos="1134"/>
        <w:tab w:val="left" w:pos="1276"/>
        <w:tab w:val="left" w:pos="1701"/>
        <w:tab w:val="left" w:pos="2268"/>
        <w:tab w:val="left" w:pos="2835"/>
      </w:tabs>
      <w:spacing w:before="199" w:line="240" w:lineRule="auto"/>
      <w:ind w:left="1701" w:hanging="1701"/>
    </w:pPr>
    <w:rPr>
      <w:rFonts w:cs="Times New Roman"/>
      <w:caps/>
      <w:szCs w:val="20"/>
    </w:rPr>
  </w:style>
  <w:style w:type="paragraph" w:customStyle="1" w:styleId="Reasons">
    <w:name w:val="Reasons"/>
    <w:basedOn w:val="Normal"/>
    <w:rsid w:val="00732045"/>
    <w:pPr>
      <w:tabs>
        <w:tab w:val="clear" w:pos="794"/>
        <w:tab w:val="clear" w:pos="1191"/>
        <w:tab w:val="clear" w:pos="1588"/>
        <w:tab w:val="clear" w:pos="1985"/>
        <w:tab w:val="left" w:pos="567"/>
        <w:tab w:val="left" w:pos="1134"/>
        <w:tab w:val="left" w:pos="1701"/>
        <w:tab w:val="left" w:pos="2268"/>
        <w:tab w:val="left" w:pos="2835"/>
      </w:tabs>
      <w:spacing w:before="120" w:line="240" w:lineRule="auto"/>
    </w:pPr>
    <w:rPr>
      <w:rFonts w:cs="Times New Roman"/>
      <w:szCs w:val="20"/>
    </w:rPr>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clear" w:pos="794"/>
        <w:tab w:val="clear" w:pos="1191"/>
        <w:tab w:val="clear" w:pos="1588"/>
        <w:tab w:val="clear" w:pos="1985"/>
        <w:tab w:val="left" w:pos="567"/>
        <w:tab w:val="left" w:pos="709"/>
        <w:tab w:val="left" w:pos="1134"/>
        <w:tab w:val="left" w:pos="1701"/>
        <w:tab w:val="left" w:pos="2268"/>
        <w:tab w:val="left" w:pos="2835"/>
      </w:tabs>
      <w:spacing w:before="0" w:line="240" w:lineRule="auto"/>
      <w:ind w:left="709" w:hanging="709"/>
    </w:pPr>
    <w:rPr>
      <w:rFonts w:cs="Times New Roman"/>
      <w:szCs w:val="20"/>
    </w:rPr>
  </w:style>
  <w:style w:type="paragraph" w:customStyle="1" w:styleId="Source">
    <w:name w:val="Source"/>
    <w:basedOn w:val="Normal"/>
    <w:next w:val="Title1"/>
    <w:rsid w:val="00732045"/>
    <w:pPr>
      <w:tabs>
        <w:tab w:val="clear" w:pos="794"/>
        <w:tab w:val="clear" w:pos="1191"/>
        <w:tab w:val="clear" w:pos="1588"/>
        <w:tab w:val="clear" w:pos="1985"/>
        <w:tab w:val="left" w:pos="567"/>
        <w:tab w:val="left" w:pos="1134"/>
        <w:tab w:val="left" w:pos="1701"/>
        <w:tab w:val="left" w:pos="2268"/>
        <w:tab w:val="left" w:pos="2835"/>
      </w:tabs>
      <w:spacing w:before="840" w:line="240" w:lineRule="auto"/>
      <w:jc w:val="center"/>
    </w:pPr>
    <w:rPr>
      <w:rFonts w:cs="Times New Roman"/>
      <w:b/>
      <w:sz w:val="28"/>
      <w:szCs w:val="20"/>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clear" w:pos="794"/>
        <w:tab w:val="clear" w:pos="1191"/>
        <w:tab w:val="clear" w:pos="1588"/>
        <w:tab w:val="clear" w:pos="1985"/>
        <w:tab w:val="left" w:pos="567"/>
        <w:tab w:val="left" w:pos="1134"/>
        <w:tab w:val="left" w:pos="1701"/>
        <w:tab w:val="left" w:pos="1871"/>
        <w:tab w:val="left" w:pos="2268"/>
        <w:tab w:val="left" w:pos="2835"/>
      </w:tabs>
      <w:spacing w:before="120" w:line="240" w:lineRule="auto"/>
    </w:pPr>
    <w:rPr>
      <w:rFonts w:cs="Times New Roman"/>
      <w:b/>
      <w:bCs/>
      <w:szCs w:val="20"/>
    </w:rPr>
  </w:style>
  <w:style w:type="paragraph" w:customStyle="1" w:styleId="FirstFooter">
    <w:name w:val="FirstFooter"/>
    <w:basedOn w:val="Footer"/>
    <w:rsid w:val="00732045"/>
    <w:rPr>
      <w:caps w:val="0"/>
    </w:rPr>
  </w:style>
  <w:style w:type="paragraph" w:customStyle="1" w:styleId="Note">
    <w:name w:val="Note"/>
    <w:basedOn w:val="Normal"/>
    <w:rsid w:val="005C3890"/>
    <w:pPr>
      <w:tabs>
        <w:tab w:val="clear" w:pos="794"/>
        <w:tab w:val="clear" w:pos="1191"/>
        <w:tab w:val="clear" w:pos="1588"/>
        <w:tab w:val="clear" w:pos="1985"/>
        <w:tab w:val="left" w:pos="567"/>
        <w:tab w:val="left" w:pos="1134"/>
        <w:tab w:val="left" w:pos="1701"/>
        <w:tab w:val="left" w:pos="2268"/>
        <w:tab w:val="left" w:pos="2835"/>
      </w:tabs>
      <w:spacing w:before="80" w:line="240" w:lineRule="auto"/>
    </w:pPr>
    <w:rPr>
      <w:rFonts w:cs="Times New Roman"/>
      <w:szCs w:val="20"/>
    </w:rPr>
  </w:style>
  <w:style w:type="paragraph" w:styleId="TOC9">
    <w:name w:val="toc 9"/>
    <w:basedOn w:val="Normal"/>
    <w:next w:val="Normal"/>
    <w:rsid w:val="00732045"/>
    <w:pPr>
      <w:tabs>
        <w:tab w:val="clear" w:pos="794"/>
        <w:tab w:val="clear" w:pos="1191"/>
        <w:tab w:val="clear" w:pos="1588"/>
        <w:tab w:val="clear" w:pos="1985"/>
        <w:tab w:val="right" w:leader="dot" w:pos="9645"/>
      </w:tabs>
      <w:spacing w:before="120" w:line="240" w:lineRule="auto"/>
      <w:ind w:left="1920"/>
    </w:pPr>
    <w:rPr>
      <w:rFonts w:cs="Times New Roman"/>
      <w:szCs w:val="20"/>
    </w:rPr>
  </w:style>
  <w:style w:type="paragraph" w:customStyle="1" w:styleId="ddate">
    <w:name w:val="ddate"/>
    <w:basedOn w:val="Normal"/>
    <w:rsid w:val="005C3890"/>
    <w:pPr>
      <w:framePr w:hSpace="181" w:wrap="notBeside" w:vAnchor="page" w:hAnchor="margin" w:x="1" w:y="852"/>
      <w:shd w:val="solid" w:color="FFFFFF" w:fill="FFFFFF"/>
      <w:tabs>
        <w:tab w:val="clear" w:pos="794"/>
        <w:tab w:val="clear" w:pos="1191"/>
        <w:tab w:val="clear" w:pos="1588"/>
        <w:tab w:val="clear" w:pos="1985"/>
        <w:tab w:val="left" w:pos="567"/>
        <w:tab w:val="left" w:pos="1134"/>
        <w:tab w:val="left" w:pos="1701"/>
        <w:tab w:val="left" w:pos="1871"/>
        <w:tab w:val="left" w:pos="2268"/>
        <w:tab w:val="left" w:pos="2835"/>
      </w:tabs>
      <w:spacing w:before="0" w:line="240" w:lineRule="auto"/>
    </w:pPr>
    <w:rPr>
      <w:rFonts w:cs="Times New Roman"/>
      <w:b/>
      <w:bCs/>
      <w:szCs w:val="20"/>
    </w:rPr>
  </w:style>
  <w:style w:type="paragraph" w:customStyle="1" w:styleId="dorlang">
    <w:name w:val="dorlang"/>
    <w:basedOn w:val="Normal"/>
    <w:rsid w:val="005C3890"/>
    <w:pPr>
      <w:framePr w:hSpace="181" w:wrap="notBeside" w:vAnchor="page" w:hAnchor="margin" w:x="1" w:y="852"/>
      <w:shd w:val="solid" w:color="FFFFFF" w:fill="FFFFFF"/>
      <w:tabs>
        <w:tab w:val="clear" w:pos="794"/>
        <w:tab w:val="clear" w:pos="1191"/>
        <w:tab w:val="clear" w:pos="1588"/>
        <w:tab w:val="clear" w:pos="1985"/>
        <w:tab w:val="left" w:pos="567"/>
        <w:tab w:val="left" w:pos="1134"/>
        <w:tab w:val="left" w:pos="1701"/>
        <w:tab w:val="left" w:pos="1871"/>
        <w:tab w:val="left" w:pos="2268"/>
        <w:tab w:val="left" w:pos="2835"/>
      </w:tabs>
      <w:spacing w:before="0" w:line="240" w:lineRule="auto"/>
    </w:pPr>
    <w:rPr>
      <w:rFonts w:cs="Times New Roman"/>
      <w:b/>
      <w:bCs/>
      <w:szCs w:val="20"/>
    </w:rPr>
  </w:style>
  <w:style w:type="character" w:styleId="Hyperlink">
    <w:name w:val="Hyperlink"/>
    <w:basedOn w:val="DefaultParagraphFont"/>
    <w:uiPriority w:val="99"/>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tabs>
        <w:tab w:val="clear" w:pos="794"/>
        <w:tab w:val="clear" w:pos="1191"/>
        <w:tab w:val="clear" w:pos="1588"/>
        <w:tab w:val="clear" w:pos="1985"/>
        <w:tab w:val="left" w:pos="567"/>
        <w:tab w:val="left" w:pos="1134"/>
        <w:tab w:val="left" w:pos="1701"/>
        <w:tab w:val="left" w:pos="2268"/>
        <w:tab w:val="left" w:pos="2835"/>
      </w:tabs>
      <w:spacing w:before="720" w:line="240" w:lineRule="auto"/>
      <w:jc w:val="center"/>
    </w:pPr>
    <w:rPr>
      <w:rFonts w:cs="Times New Roman"/>
      <w:caps/>
      <w:sz w:val="28"/>
      <w:szCs w:val="20"/>
    </w:rPr>
  </w:style>
  <w:style w:type="paragraph" w:customStyle="1" w:styleId="Annexref">
    <w:name w:val="Annex_ref"/>
    <w:basedOn w:val="Normal"/>
    <w:next w:val="Annextitle"/>
    <w:rsid w:val="00732045"/>
    <w:pPr>
      <w:tabs>
        <w:tab w:val="clear" w:pos="794"/>
        <w:tab w:val="clear" w:pos="1191"/>
        <w:tab w:val="clear" w:pos="1588"/>
        <w:tab w:val="clear" w:pos="1985"/>
        <w:tab w:val="left" w:pos="567"/>
        <w:tab w:val="left" w:pos="1134"/>
        <w:tab w:val="left" w:pos="1701"/>
        <w:tab w:val="left" w:pos="2268"/>
        <w:tab w:val="left" w:pos="2835"/>
      </w:tabs>
      <w:spacing w:before="120" w:line="240" w:lineRule="auto"/>
      <w:jc w:val="center"/>
    </w:pPr>
    <w:rPr>
      <w:rFonts w:cs="Times New Roman"/>
      <w:sz w:val="28"/>
      <w:szCs w:val="20"/>
    </w:rPr>
  </w:style>
  <w:style w:type="paragraph" w:customStyle="1" w:styleId="Annextitle">
    <w:name w:val="Annex_title"/>
    <w:basedOn w:val="Normal"/>
    <w:next w:val="Normal"/>
    <w:rsid w:val="00732045"/>
    <w:pPr>
      <w:tabs>
        <w:tab w:val="clear" w:pos="794"/>
        <w:tab w:val="clear" w:pos="1191"/>
        <w:tab w:val="clear" w:pos="1588"/>
        <w:tab w:val="clear" w:pos="1985"/>
        <w:tab w:val="left" w:pos="567"/>
        <w:tab w:val="left" w:pos="1134"/>
        <w:tab w:val="left" w:pos="1701"/>
        <w:tab w:val="left" w:pos="2268"/>
        <w:tab w:val="left" w:pos="2835"/>
      </w:tabs>
      <w:spacing w:before="240" w:after="240" w:line="240" w:lineRule="auto"/>
      <w:jc w:val="center"/>
    </w:pPr>
    <w:rPr>
      <w:rFonts w:cs="Times New Roman"/>
      <w:b/>
      <w:sz w:val="28"/>
      <w:szCs w:val="20"/>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794"/>
        <w:tab w:val="clear" w:pos="1191"/>
        <w:tab w:val="clear" w:pos="1588"/>
        <w:tab w:val="clear" w:pos="1985"/>
      </w:tabs>
      <w:spacing w:before="480" w:line="240" w:lineRule="auto"/>
      <w:jc w:val="center"/>
    </w:pPr>
    <w:rPr>
      <w:rFonts w:cs="Times New Roman"/>
      <w:b/>
      <w:szCs w:val="20"/>
    </w:rPr>
  </w:style>
  <w:style w:type="paragraph" w:customStyle="1" w:styleId="ArtNo">
    <w:name w:val="Art_No"/>
    <w:basedOn w:val="Normal"/>
    <w:next w:val="Arttitle"/>
    <w:rsid w:val="00732045"/>
    <w:pPr>
      <w:tabs>
        <w:tab w:val="clear" w:pos="794"/>
        <w:tab w:val="clear" w:pos="1191"/>
        <w:tab w:val="clear" w:pos="1588"/>
        <w:tab w:val="clear" w:pos="1985"/>
      </w:tabs>
      <w:spacing w:before="600" w:line="240" w:lineRule="auto"/>
      <w:jc w:val="center"/>
    </w:pPr>
    <w:rPr>
      <w:rFonts w:cs="Times New Roman"/>
      <w:caps/>
      <w:sz w:val="28"/>
      <w:szCs w:val="20"/>
    </w:rPr>
  </w:style>
  <w:style w:type="paragraph" w:customStyle="1" w:styleId="Arttitle">
    <w:name w:val="Art_title"/>
    <w:basedOn w:val="Normal"/>
    <w:next w:val="Normal"/>
    <w:rsid w:val="00732045"/>
    <w:pPr>
      <w:tabs>
        <w:tab w:val="clear" w:pos="794"/>
        <w:tab w:val="clear" w:pos="1191"/>
        <w:tab w:val="clear" w:pos="1588"/>
        <w:tab w:val="clear" w:pos="1985"/>
      </w:tabs>
      <w:spacing w:before="240" w:after="240" w:line="240" w:lineRule="auto"/>
      <w:jc w:val="center"/>
    </w:pPr>
    <w:rPr>
      <w:rFonts w:cs="Times New Roman"/>
      <w:b/>
      <w:sz w:val="28"/>
      <w:szCs w:val="20"/>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tabs>
        <w:tab w:val="clear" w:pos="794"/>
        <w:tab w:val="clear" w:pos="1191"/>
        <w:tab w:val="clear" w:pos="1588"/>
        <w:tab w:val="clear" w:pos="1985"/>
        <w:tab w:val="left" w:pos="567"/>
        <w:tab w:val="left" w:pos="1134"/>
        <w:tab w:val="left" w:pos="1701"/>
        <w:tab w:val="left" w:pos="2268"/>
        <w:tab w:val="left" w:pos="2835"/>
      </w:tabs>
      <w:spacing w:before="120" w:after="120" w:line="240" w:lineRule="auto"/>
      <w:jc w:val="center"/>
    </w:pPr>
    <w:rPr>
      <w:rFonts w:cs="Times New Roman"/>
      <w:szCs w:val="20"/>
    </w:rPr>
  </w:style>
  <w:style w:type="paragraph" w:customStyle="1" w:styleId="Figurelegend">
    <w:name w:val="Figure_legend"/>
    <w:basedOn w:val="Normal"/>
    <w:rsid w:val="005C3890"/>
    <w:pPr>
      <w:keepNext/>
      <w:keepLines/>
      <w:tabs>
        <w:tab w:val="clear" w:pos="794"/>
        <w:tab w:val="clear" w:pos="1191"/>
        <w:tab w:val="clear" w:pos="1588"/>
        <w:tab w:val="clear" w:pos="1985"/>
        <w:tab w:val="left" w:pos="567"/>
        <w:tab w:val="left" w:pos="1134"/>
        <w:tab w:val="left" w:pos="1701"/>
        <w:tab w:val="left" w:pos="2268"/>
        <w:tab w:val="left" w:pos="2835"/>
      </w:tabs>
      <w:spacing w:before="20" w:after="20" w:line="240" w:lineRule="auto"/>
    </w:pPr>
    <w:rPr>
      <w:rFonts w:cs="Times New Roman"/>
      <w:sz w:val="18"/>
      <w:szCs w:val="20"/>
    </w:rPr>
  </w:style>
  <w:style w:type="paragraph" w:customStyle="1" w:styleId="TableNo">
    <w:name w:val="Table_No"/>
    <w:basedOn w:val="Normal"/>
    <w:next w:val="Tabletitle"/>
    <w:rsid w:val="00732045"/>
    <w:pPr>
      <w:keepNext/>
      <w:tabs>
        <w:tab w:val="clear" w:pos="794"/>
        <w:tab w:val="clear" w:pos="1191"/>
        <w:tab w:val="clear" w:pos="1588"/>
        <w:tab w:val="clear" w:pos="1985"/>
        <w:tab w:val="left" w:pos="567"/>
        <w:tab w:val="left" w:pos="1134"/>
        <w:tab w:val="left" w:pos="1701"/>
        <w:tab w:val="left" w:pos="2268"/>
        <w:tab w:val="left" w:pos="2835"/>
      </w:tabs>
      <w:spacing w:before="560" w:after="120" w:line="240" w:lineRule="auto"/>
      <w:jc w:val="center"/>
    </w:pPr>
    <w:rPr>
      <w:rFonts w:cs="Times New Roman"/>
      <w:caps/>
      <w:szCs w:val="20"/>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tabs>
        <w:tab w:val="clear" w:pos="794"/>
        <w:tab w:val="clear" w:pos="1191"/>
        <w:tab w:val="clear" w:pos="1588"/>
        <w:tab w:val="clear" w:pos="1985"/>
        <w:tab w:val="left" w:pos="567"/>
        <w:tab w:val="left" w:pos="1134"/>
        <w:tab w:val="left" w:pos="1701"/>
        <w:tab w:val="left" w:pos="2268"/>
        <w:tab w:val="left" w:pos="2835"/>
      </w:tabs>
      <w:spacing w:before="720" w:line="240" w:lineRule="auto"/>
      <w:jc w:val="center"/>
    </w:pPr>
    <w:rPr>
      <w:rFonts w:cs="Times New Roman"/>
      <w:caps/>
      <w:sz w:val="28"/>
      <w:szCs w:val="20"/>
    </w:rPr>
  </w:style>
  <w:style w:type="paragraph" w:customStyle="1" w:styleId="Rectitle">
    <w:name w:val="Rec_title"/>
    <w:basedOn w:val="Normal"/>
    <w:next w:val="Heading1"/>
    <w:rsid w:val="00732045"/>
    <w:pPr>
      <w:tabs>
        <w:tab w:val="clear" w:pos="794"/>
        <w:tab w:val="clear" w:pos="1191"/>
        <w:tab w:val="clear" w:pos="1588"/>
        <w:tab w:val="clear" w:pos="1985"/>
        <w:tab w:val="left" w:pos="567"/>
        <w:tab w:val="left" w:pos="1134"/>
        <w:tab w:val="left" w:pos="1701"/>
        <w:tab w:val="left" w:pos="2268"/>
        <w:tab w:val="left" w:pos="2835"/>
      </w:tabs>
      <w:spacing w:before="240" w:line="240" w:lineRule="auto"/>
      <w:jc w:val="center"/>
    </w:pPr>
    <w:rPr>
      <w:rFonts w:cs="Times New Roman"/>
      <w:b/>
      <w:sz w:val="28"/>
      <w:szCs w:val="20"/>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567" w:hanging="567"/>
    </w:pPr>
    <w:rPr>
      <w:rFonts w:cs="Times New Roman"/>
      <w:szCs w:val="20"/>
    </w:rPr>
  </w:style>
  <w:style w:type="paragraph" w:customStyle="1" w:styleId="Reftitle">
    <w:name w:val="Ref_title"/>
    <w:basedOn w:val="Normal"/>
    <w:next w:val="Reftext"/>
    <w:rsid w:val="00732045"/>
    <w:pPr>
      <w:tabs>
        <w:tab w:val="clear" w:pos="794"/>
        <w:tab w:val="clear" w:pos="1191"/>
        <w:tab w:val="clear" w:pos="1588"/>
        <w:tab w:val="clear" w:pos="1985"/>
        <w:tab w:val="left" w:pos="567"/>
        <w:tab w:val="left" w:pos="1134"/>
        <w:tab w:val="left" w:pos="1701"/>
        <w:tab w:val="left" w:pos="2268"/>
        <w:tab w:val="left" w:pos="2835"/>
      </w:tabs>
      <w:spacing w:before="480" w:line="240" w:lineRule="auto"/>
      <w:jc w:val="center"/>
    </w:pPr>
    <w:rPr>
      <w:rFonts w:cs="Times New Roman"/>
      <w:caps/>
      <w:sz w:val="28"/>
      <w:szCs w:val="20"/>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pPr>
      <w:tabs>
        <w:tab w:val="clear" w:pos="794"/>
        <w:tab w:val="clear" w:pos="1191"/>
        <w:tab w:val="clear" w:pos="1588"/>
        <w:tab w:val="clear" w:pos="1985"/>
        <w:tab w:val="left" w:pos="567"/>
        <w:tab w:val="left" w:pos="1134"/>
        <w:tab w:val="left" w:pos="1701"/>
        <w:tab w:val="left" w:pos="2268"/>
        <w:tab w:val="left" w:pos="2835"/>
      </w:tabs>
      <w:spacing w:before="120" w:line="240" w:lineRule="auto"/>
    </w:pPr>
    <w:rPr>
      <w:rFonts w:cs="Times New Roman"/>
      <w:sz w:val="28"/>
      <w:szCs w:val="20"/>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794"/>
        <w:tab w:val="clear" w:pos="1191"/>
        <w:tab w:val="clear" w:pos="1588"/>
        <w:tab w:val="clear" w:pos="1985"/>
      </w:tabs>
      <w:spacing w:before="60" w:after="60" w:line="240" w:lineRule="auto"/>
    </w:pPr>
    <w:rPr>
      <w:rFonts w:cs="Times New Roman"/>
      <w:szCs w:val="20"/>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tabs>
        <w:tab w:val="clear" w:pos="794"/>
        <w:tab w:val="clear" w:pos="1191"/>
        <w:tab w:val="clear" w:pos="1588"/>
        <w:tab w:val="clear" w:pos="1985"/>
        <w:tab w:val="left" w:pos="567"/>
        <w:tab w:val="left" w:pos="1134"/>
        <w:tab w:val="left" w:pos="1701"/>
        <w:tab w:val="left" w:pos="2268"/>
        <w:tab w:val="left" w:pos="2835"/>
      </w:tabs>
      <w:spacing w:before="567" w:line="240" w:lineRule="auto"/>
      <w:jc w:val="center"/>
    </w:pPr>
    <w:rPr>
      <w:rFonts w:cs="Times New Roman"/>
      <w:szCs w:val="20"/>
    </w:r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tabs>
        <w:tab w:val="clear" w:pos="794"/>
        <w:tab w:val="clear" w:pos="1191"/>
        <w:tab w:val="clear" w:pos="1588"/>
        <w:tab w:val="clear" w:pos="1985"/>
        <w:tab w:val="left" w:pos="567"/>
        <w:tab w:val="left" w:pos="1134"/>
        <w:tab w:val="left" w:pos="1701"/>
        <w:tab w:val="left" w:pos="2268"/>
        <w:tab w:val="left" w:pos="2835"/>
      </w:tabs>
      <w:spacing w:before="240" w:after="120" w:line="240" w:lineRule="auto"/>
      <w:jc w:val="center"/>
    </w:pPr>
    <w:rPr>
      <w:rFonts w:cs="Times New Roman"/>
      <w:caps/>
      <w:szCs w:val="20"/>
    </w:rPr>
  </w:style>
  <w:style w:type="paragraph" w:customStyle="1" w:styleId="firstfooter0">
    <w:name w:val="firstfooter"/>
    <w:basedOn w:val="Normal"/>
    <w:rsid w:val="00732045"/>
    <w:pPr>
      <w:tabs>
        <w:tab w:val="clear" w:pos="794"/>
        <w:tab w:val="clear" w:pos="1191"/>
        <w:tab w:val="clear" w:pos="1588"/>
        <w:tab w:val="clear" w:pos="1985"/>
      </w:tabs>
      <w:overflowPunct/>
      <w:autoSpaceDE/>
      <w:autoSpaceDN/>
      <w:adjustRightInd/>
      <w:spacing w:before="100" w:beforeAutospacing="1" w:after="100" w:afterAutospacing="1" w:line="240" w:lineRule="auto"/>
      <w:textAlignment w:val="auto"/>
    </w:pPr>
    <w:rPr>
      <w:rFonts w:eastAsia="SimSun" w:cs="Times New Roman"/>
      <w:szCs w:val="24"/>
      <w:lang w:val="en-US" w:eastAsia="zh-CN"/>
    </w:rPr>
  </w:style>
  <w:style w:type="paragraph" w:customStyle="1" w:styleId="Table">
    <w:name w:val="Table_#"/>
    <w:basedOn w:val="Normal"/>
    <w:next w:val="Normal"/>
    <w:rsid w:val="00520F36"/>
    <w:pPr>
      <w:keepNext/>
      <w:overflowPunct/>
      <w:autoSpaceDE/>
      <w:autoSpaceDN/>
      <w:adjustRightInd/>
      <w:spacing w:before="560" w:after="120" w:line="240" w:lineRule="auto"/>
      <w:jc w:val="center"/>
      <w:textAlignment w:val="auto"/>
    </w:pPr>
    <w:rPr>
      <w:rFonts w:ascii="Times New Roman" w:hAnsi="Times New Roman" w:cs="Times New Roman"/>
      <w:caps/>
      <w:szCs w:val="20"/>
      <w:lang w:val="en-GB"/>
    </w:rPr>
  </w:style>
  <w:style w:type="paragraph" w:customStyle="1" w:styleId="AnnexNoTitle">
    <w:name w:val="Annex_NoTitle"/>
    <w:basedOn w:val="Normal"/>
    <w:next w:val="Normal"/>
    <w:rsid w:val="00ED4F28"/>
    <w:pPr>
      <w:keepNext/>
      <w:keepLines/>
      <w:spacing w:before="720" w:after="120"/>
      <w:jc w:val="center"/>
    </w:pPr>
    <w:rPr>
      <w:b/>
    </w:rPr>
  </w:style>
  <w:style w:type="table" w:styleId="TableGrid">
    <w:name w:val="Table Grid"/>
    <w:basedOn w:val="TableNormal"/>
    <w:uiPriority w:val="39"/>
    <w:rsid w:val="00ED4F28"/>
    <w:rPr>
      <w:rFonts w:ascii="Calibri"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718F1"/>
    <w:rPr>
      <w:color w:val="605E5C"/>
      <w:shd w:val="clear" w:color="auto" w:fill="E1DFDD"/>
    </w:rPr>
  </w:style>
  <w:style w:type="paragraph" w:styleId="ListParagraph">
    <w:name w:val="List Paragraph"/>
    <w:basedOn w:val="Normal"/>
    <w:uiPriority w:val="34"/>
    <w:qFormat/>
    <w:rsid w:val="00F21B58"/>
    <w:pPr>
      <w:ind w:left="720"/>
      <w:contextualSpacing/>
    </w:pPr>
    <w:rPr>
      <w:rFonts w:eastAsia="MS Mincho"/>
      <w:sz w:val="22"/>
      <w:lang w:val="en-US"/>
    </w:rPr>
  </w:style>
  <w:style w:type="paragraph" w:styleId="BalloonText">
    <w:name w:val="Balloon Text"/>
    <w:basedOn w:val="Normal"/>
    <w:link w:val="BalloonTextChar"/>
    <w:semiHidden/>
    <w:unhideWhenUsed/>
    <w:rsid w:val="001D0AF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D0AF3"/>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0-CLVC2-C-0003/en" TargetMode="External"/><Relationship Id="rId18" Type="http://schemas.openxmlformats.org/officeDocument/2006/relationships/hyperlink" Target="https://www.itu.int/md/S20-CL-C-0005/en" TargetMode="External"/><Relationship Id="rId26" Type="http://schemas.openxmlformats.org/officeDocument/2006/relationships/hyperlink" Target="https://www.itu.int/md/S20-CLVC2-C-0003/en" TargetMode="External"/><Relationship Id="rId39" Type="http://schemas.openxmlformats.org/officeDocument/2006/relationships/footer" Target="footer2.xml"/><Relationship Id="rId21" Type="http://schemas.openxmlformats.org/officeDocument/2006/relationships/hyperlink" Target="https://www.itu.int/md/S20-CLVC2-201116-TD-0001/en" TargetMode="External"/><Relationship Id="rId34" Type="http://schemas.openxmlformats.org/officeDocument/2006/relationships/hyperlink" Target="https://www.itu.int/md/S20-CL-C-0037/en"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itu.int/md/S20-CLVC2-C-0008/en" TargetMode="External"/><Relationship Id="rId20" Type="http://schemas.openxmlformats.org/officeDocument/2006/relationships/hyperlink" Target="https://www.itu.int/md/S20-CL-C-0023/en" TargetMode="External"/><Relationship Id="rId29" Type="http://schemas.openxmlformats.org/officeDocument/2006/relationships/hyperlink" Target="https://www.itu.int/md/S20-CLVC2-C-0008/e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0-CL-C-0072/en" TargetMode="External"/><Relationship Id="rId24" Type="http://schemas.openxmlformats.org/officeDocument/2006/relationships/hyperlink" Target="https://www.itu.int/md/S20-CL-C-0072/en" TargetMode="External"/><Relationship Id="rId32" Type="http://schemas.openxmlformats.org/officeDocument/2006/relationships/hyperlink" Target="https://www.itu.int/md/S20-CLVC2-C-0010/en" TargetMode="External"/><Relationship Id="rId37" Type="http://schemas.openxmlformats.org/officeDocument/2006/relationships/header" Target="header2.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itu.int/md/S20-CLVC2-C-0007/en" TargetMode="External"/><Relationship Id="rId23" Type="http://schemas.openxmlformats.org/officeDocument/2006/relationships/hyperlink" Target="https://www.itu.int/md/S20-CL-C-0024/en" TargetMode="External"/><Relationship Id="rId28" Type="http://schemas.openxmlformats.org/officeDocument/2006/relationships/hyperlink" Target="https://www.itu.int/md/S20-CLVC2-C-0007/en" TargetMode="External"/><Relationship Id="rId36" Type="http://schemas.openxmlformats.org/officeDocument/2006/relationships/header" Target="header1.xml"/><Relationship Id="rId10" Type="http://schemas.openxmlformats.org/officeDocument/2006/relationships/hyperlink" Target="https://www.itu.int/md/S20-CL-C-0024/en" TargetMode="External"/><Relationship Id="rId19" Type="http://schemas.openxmlformats.org/officeDocument/2006/relationships/hyperlink" Target="https://www.itu.int/md/S20-CL-C-0037/en" TargetMode="External"/><Relationship Id="rId31" Type="http://schemas.openxmlformats.org/officeDocument/2006/relationships/hyperlink" Target="https://www.itu.int/md/S20-CL-INF-0023/en" TargetMode="External"/><Relationship Id="rId4" Type="http://schemas.openxmlformats.org/officeDocument/2006/relationships/webSettings" Target="webSettings.xml"/><Relationship Id="rId9" Type="http://schemas.openxmlformats.org/officeDocument/2006/relationships/hyperlink" Target="https://www.itu.int/md/S20-CL-C-0030/en" TargetMode="External"/><Relationship Id="rId14" Type="http://schemas.openxmlformats.org/officeDocument/2006/relationships/hyperlink" Target="https://www.itu.int/md/S20-CLVC2-C-0004/en" TargetMode="External"/><Relationship Id="rId22" Type="http://schemas.openxmlformats.org/officeDocument/2006/relationships/hyperlink" Target="https://www.itu.int/md/S20-CL-C-0030/en" TargetMode="External"/><Relationship Id="rId27" Type="http://schemas.openxmlformats.org/officeDocument/2006/relationships/hyperlink" Target="https://www.itu.int/md/S20-CLVC2-C-0004/en" TargetMode="External"/><Relationship Id="rId30" Type="http://schemas.openxmlformats.org/officeDocument/2006/relationships/hyperlink" Target="https://www.itu.int/md/S20-CLVC2-C-0009/en" TargetMode="External"/><Relationship Id="rId35" Type="http://schemas.openxmlformats.org/officeDocument/2006/relationships/hyperlink" Target="https://www.itu.int/md/S20-CL-C-0023/en" TargetMode="External"/><Relationship Id="rId8" Type="http://schemas.openxmlformats.org/officeDocument/2006/relationships/hyperlink" Target="https://www.itu.int/md/S20-CLVC2-201116-TD-0001/en" TargetMode="External"/><Relationship Id="rId3" Type="http://schemas.openxmlformats.org/officeDocument/2006/relationships/settings" Target="settings.xml"/><Relationship Id="rId12" Type="http://schemas.openxmlformats.org/officeDocument/2006/relationships/hyperlink" Target="https://www.itu.int/md/S20-CLVC2-C-0002/en" TargetMode="External"/><Relationship Id="rId17" Type="http://schemas.openxmlformats.org/officeDocument/2006/relationships/hyperlink" Target="https://www.itu.int/md/S20-CLVC2-C-0009/en" TargetMode="External"/><Relationship Id="rId25" Type="http://schemas.openxmlformats.org/officeDocument/2006/relationships/hyperlink" Target="https://www.itu.int/md/S20-CLVC2-C-0002/en" TargetMode="External"/><Relationship Id="rId33" Type="http://schemas.openxmlformats.org/officeDocument/2006/relationships/hyperlink" Target="https://www.itu.int/md/S20-CL-C-0005/en" TargetMode="External"/><Relationship Id="rId38"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avat\AppData\Roaming\Microsoft\Templates\POOL%20F%20-%20ITU\PF_C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PF_C20.dotx</Template>
  <TotalTime>1</TotalTime>
  <Pages>6</Pages>
  <Words>2765</Words>
  <Characters>16413</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19140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VC 2020</dc:subject>
  <dc:creator>Chanavat, Emilie</dc:creator>
  <cp:keywords>VC</cp:keywords>
  <dc:description/>
  <cp:lastModifiedBy>Janin, Patricia</cp:lastModifiedBy>
  <cp:revision>2</cp:revision>
  <cp:lastPrinted>2000-07-18T08:55:00Z</cp:lastPrinted>
  <dcterms:created xsi:type="dcterms:W3CDTF">2021-01-14T10:09:00Z</dcterms:created>
  <dcterms:modified xsi:type="dcterms:W3CDTF">2021-01-14T10:09:00Z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