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31" w:type="dxa"/>
        <w:tblLayout w:type="fixed"/>
        <w:tblLook w:val="0000" w:firstRow="0" w:lastRow="0" w:firstColumn="0" w:lastColumn="0" w:noHBand="0" w:noVBand="0"/>
      </w:tblPr>
      <w:tblGrid>
        <w:gridCol w:w="6911"/>
        <w:gridCol w:w="3120"/>
      </w:tblGrid>
      <w:tr w:rsidR="00ED4F28" w:rsidRPr="00E859E8" w14:paraId="34B8F4DF" w14:textId="77777777" w:rsidTr="00FA7FCF">
        <w:trPr>
          <w:cantSplit/>
          <w:trHeight w:val="1276"/>
        </w:trPr>
        <w:tc>
          <w:tcPr>
            <w:tcW w:w="6911" w:type="dxa"/>
          </w:tcPr>
          <w:p w14:paraId="07AC27E6" w14:textId="1E4254AA" w:rsidR="00ED4F28" w:rsidRPr="00E859E8" w:rsidRDefault="00ED4F28" w:rsidP="00FA7FCF">
            <w:pPr>
              <w:spacing w:before="360" w:after="48" w:line="240" w:lineRule="auto"/>
              <w:jc w:val="left"/>
              <w:rPr>
                <w:b/>
                <w:bCs/>
                <w:position w:val="6"/>
                <w:sz w:val="26"/>
                <w:szCs w:val="26"/>
              </w:rPr>
            </w:pPr>
            <w:r w:rsidRPr="00E859E8">
              <w:rPr>
                <w:b/>
                <w:bCs/>
                <w:position w:val="6"/>
                <w:sz w:val="26"/>
                <w:szCs w:val="26"/>
              </w:rPr>
              <w:t xml:space="preserve">Consultation virtuelle des Conseillers </w:t>
            </w:r>
            <w:r w:rsidRPr="00E859E8">
              <w:rPr>
                <w:b/>
                <w:bCs/>
                <w:position w:val="6"/>
                <w:sz w:val="26"/>
                <w:szCs w:val="26"/>
              </w:rPr>
              <w:br/>
              <w:t xml:space="preserve">débutant le </w:t>
            </w:r>
            <w:r w:rsidR="00203D28" w:rsidRPr="00E859E8">
              <w:rPr>
                <w:b/>
                <w:bCs/>
                <w:position w:val="6"/>
                <w:sz w:val="26"/>
                <w:szCs w:val="26"/>
              </w:rPr>
              <w:t>16 novembre 2020</w:t>
            </w:r>
          </w:p>
        </w:tc>
        <w:tc>
          <w:tcPr>
            <w:tcW w:w="3120" w:type="dxa"/>
            <w:vAlign w:val="center"/>
          </w:tcPr>
          <w:p w14:paraId="72835DF8" w14:textId="77777777" w:rsidR="00ED4F28" w:rsidRPr="00E859E8" w:rsidRDefault="00ED4F28" w:rsidP="00FA7FCF">
            <w:pPr>
              <w:spacing w:before="0" w:line="240" w:lineRule="auto"/>
            </w:pPr>
            <w:bookmarkStart w:id="0" w:name="ditulogo"/>
            <w:bookmarkEnd w:id="0"/>
            <w:r w:rsidRPr="00E859E8">
              <w:rPr>
                <w:noProof/>
                <w:lang w:val="en-US"/>
              </w:rPr>
              <w:drawing>
                <wp:inline distT="0" distB="0" distL="0" distR="0" wp14:anchorId="4DF391EB" wp14:editId="1431CCAD">
                  <wp:extent cx="682402" cy="720000"/>
                  <wp:effectExtent l="0" t="0" r="381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ED4F28" w:rsidRPr="00E859E8" w14:paraId="38C3F058" w14:textId="77777777" w:rsidTr="00FA7FCF">
        <w:trPr>
          <w:cantSplit/>
        </w:trPr>
        <w:tc>
          <w:tcPr>
            <w:tcW w:w="6911" w:type="dxa"/>
            <w:tcBorders>
              <w:bottom w:val="single" w:sz="12" w:space="0" w:color="auto"/>
            </w:tcBorders>
          </w:tcPr>
          <w:p w14:paraId="3696D991" w14:textId="77777777" w:rsidR="00ED4F28" w:rsidRPr="00E859E8" w:rsidRDefault="00ED4F28" w:rsidP="00FA7FCF">
            <w:pPr>
              <w:spacing w:before="0" w:after="48" w:line="240" w:lineRule="auto"/>
              <w:rPr>
                <w:b/>
                <w:smallCaps/>
                <w:szCs w:val="24"/>
              </w:rPr>
            </w:pPr>
          </w:p>
        </w:tc>
        <w:tc>
          <w:tcPr>
            <w:tcW w:w="3120" w:type="dxa"/>
            <w:tcBorders>
              <w:bottom w:val="single" w:sz="12" w:space="0" w:color="auto"/>
            </w:tcBorders>
          </w:tcPr>
          <w:p w14:paraId="54255F40" w14:textId="77777777" w:rsidR="00ED4F28" w:rsidRPr="00E859E8" w:rsidRDefault="00ED4F28" w:rsidP="00FA7FCF">
            <w:pPr>
              <w:spacing w:before="0" w:line="240" w:lineRule="auto"/>
              <w:rPr>
                <w:szCs w:val="24"/>
              </w:rPr>
            </w:pPr>
          </w:p>
        </w:tc>
      </w:tr>
      <w:tr w:rsidR="00ED4F28" w:rsidRPr="00E859E8" w14:paraId="6CAEC0F9" w14:textId="77777777" w:rsidTr="00FA7FCF">
        <w:trPr>
          <w:cantSplit/>
        </w:trPr>
        <w:tc>
          <w:tcPr>
            <w:tcW w:w="6911" w:type="dxa"/>
            <w:tcBorders>
              <w:top w:val="single" w:sz="12" w:space="0" w:color="auto"/>
            </w:tcBorders>
          </w:tcPr>
          <w:p w14:paraId="4FE82E7E" w14:textId="77777777" w:rsidR="00ED4F28" w:rsidRPr="00E859E8" w:rsidRDefault="00ED4F28" w:rsidP="00FA7FCF">
            <w:pPr>
              <w:spacing w:before="0" w:after="48" w:line="240" w:lineRule="auto"/>
              <w:rPr>
                <w:b/>
                <w:smallCaps/>
                <w:szCs w:val="24"/>
              </w:rPr>
            </w:pPr>
          </w:p>
        </w:tc>
        <w:tc>
          <w:tcPr>
            <w:tcW w:w="3120" w:type="dxa"/>
            <w:tcBorders>
              <w:top w:val="single" w:sz="12" w:space="0" w:color="auto"/>
            </w:tcBorders>
          </w:tcPr>
          <w:p w14:paraId="194C7F67" w14:textId="541603EC" w:rsidR="00ED4F28" w:rsidRPr="00E859E8" w:rsidRDefault="00ED4F28" w:rsidP="00ED4F28">
            <w:pPr>
              <w:spacing w:before="240" w:line="240" w:lineRule="atLeast"/>
              <w:rPr>
                <w:b/>
                <w:bCs/>
                <w:szCs w:val="24"/>
              </w:rPr>
            </w:pPr>
            <w:r w:rsidRPr="00E859E8">
              <w:rPr>
                <w:b/>
                <w:bCs/>
              </w:rPr>
              <w:t xml:space="preserve">Document </w:t>
            </w:r>
            <w:r w:rsidR="00203D28" w:rsidRPr="00E859E8">
              <w:rPr>
                <w:b/>
                <w:bCs/>
              </w:rPr>
              <w:t>VC-2\11-F</w:t>
            </w:r>
          </w:p>
          <w:p w14:paraId="26C04DEA" w14:textId="1BB9BA91" w:rsidR="00ED4F28" w:rsidRPr="00E859E8" w:rsidRDefault="00503AB7" w:rsidP="00ED4F28">
            <w:pPr>
              <w:spacing w:before="0" w:line="240" w:lineRule="atLeast"/>
              <w:rPr>
                <w:b/>
                <w:bCs/>
                <w:szCs w:val="24"/>
              </w:rPr>
            </w:pPr>
            <w:r>
              <w:rPr>
                <w:b/>
                <w:bCs/>
              </w:rPr>
              <w:t>14</w:t>
            </w:r>
            <w:bookmarkStart w:id="1" w:name="lt_pId005"/>
            <w:r>
              <w:rPr>
                <w:b/>
                <w:bCs/>
              </w:rPr>
              <w:t xml:space="preserve"> janvier</w:t>
            </w:r>
            <w:r w:rsidR="00203D28" w:rsidRPr="00E859E8">
              <w:rPr>
                <w:b/>
                <w:bCs/>
              </w:rPr>
              <w:t xml:space="preserve"> 202</w:t>
            </w:r>
            <w:bookmarkEnd w:id="1"/>
            <w:r>
              <w:rPr>
                <w:b/>
                <w:bCs/>
              </w:rPr>
              <w:t>1</w:t>
            </w:r>
          </w:p>
          <w:p w14:paraId="3A79C607" w14:textId="77777777" w:rsidR="00ED4F28" w:rsidRPr="00E859E8" w:rsidRDefault="00ED4F28" w:rsidP="00ED4F28">
            <w:pPr>
              <w:spacing w:before="0" w:line="240" w:lineRule="auto"/>
              <w:rPr>
                <w:szCs w:val="24"/>
              </w:rPr>
            </w:pPr>
            <w:proofErr w:type="gramStart"/>
            <w:r w:rsidRPr="00E859E8">
              <w:rPr>
                <w:b/>
                <w:bCs/>
              </w:rPr>
              <w:t>Original:</w:t>
            </w:r>
            <w:proofErr w:type="gramEnd"/>
            <w:r w:rsidRPr="00E859E8">
              <w:rPr>
                <w:b/>
                <w:bCs/>
              </w:rPr>
              <w:t xml:space="preserve"> anglais</w:t>
            </w:r>
          </w:p>
        </w:tc>
      </w:tr>
    </w:tbl>
    <w:p w14:paraId="5FEC39C3" w14:textId="11E560D3" w:rsidR="00203D28" w:rsidRPr="00E859E8" w:rsidRDefault="00203D28" w:rsidP="00986072">
      <w:pPr>
        <w:pStyle w:val="Title1"/>
        <w:spacing w:before="480"/>
      </w:pPr>
      <w:bookmarkStart w:id="2" w:name="lt_pId007"/>
      <w:r w:rsidRPr="00E859E8">
        <w:t>COMPTE RENDU</w:t>
      </w:r>
      <w:bookmarkEnd w:id="2"/>
    </w:p>
    <w:p w14:paraId="0470CCB4" w14:textId="27C0320F" w:rsidR="00203D28" w:rsidRPr="00E859E8" w:rsidRDefault="00203D28" w:rsidP="00203D28">
      <w:pPr>
        <w:pStyle w:val="Title1"/>
      </w:pPr>
      <w:bookmarkStart w:id="3" w:name="lt_pId008"/>
      <w:r w:rsidRPr="00E859E8">
        <w:t>DE LA</w:t>
      </w:r>
      <w:bookmarkEnd w:id="3"/>
    </w:p>
    <w:p w14:paraId="24C5A910" w14:textId="7996B379" w:rsidR="009C353C" w:rsidRPr="00E859E8" w:rsidRDefault="00203D28" w:rsidP="00203D28">
      <w:pPr>
        <w:pStyle w:val="Title1"/>
      </w:pPr>
      <w:bookmarkStart w:id="4" w:name="lt_pId009"/>
      <w:r w:rsidRPr="00E859E8">
        <w:t>DEUXIÈME SÉANCE</w:t>
      </w:r>
      <w:bookmarkEnd w:id="4"/>
    </w:p>
    <w:p w14:paraId="4A8BF8B1" w14:textId="77777777" w:rsidR="00203D28" w:rsidRPr="00E859E8" w:rsidRDefault="00203D28" w:rsidP="00203D28">
      <w:pPr>
        <w:jc w:val="center"/>
        <w:rPr>
          <w:szCs w:val="24"/>
        </w:rPr>
      </w:pPr>
      <w:bookmarkStart w:id="5" w:name="lt_pId010"/>
      <w:r w:rsidRPr="00E859E8">
        <w:rPr>
          <w:szCs w:val="24"/>
        </w:rPr>
        <w:t>Mardi 17 novembre 2020, de 12 h 10 à 15 h 10</w:t>
      </w:r>
      <w:bookmarkEnd w:id="5"/>
    </w:p>
    <w:p w14:paraId="25701BD3" w14:textId="78AE7598" w:rsidR="00203D28" w:rsidRPr="00E859E8" w:rsidRDefault="00203D28" w:rsidP="00A64094">
      <w:pPr>
        <w:spacing w:after="480"/>
        <w:jc w:val="center"/>
      </w:pPr>
      <w:bookmarkStart w:id="6" w:name="lt_pId011"/>
      <w:r w:rsidRPr="00E859E8">
        <w:rPr>
          <w:b/>
        </w:rPr>
        <w:t>Président</w:t>
      </w:r>
      <w:r w:rsidRPr="00E859E8">
        <w:t>: M. S. BIN GHELAITA (Émirats arabes unis)</w:t>
      </w:r>
      <w:bookmarkEnd w:id="6"/>
    </w:p>
    <w:tbl>
      <w:tblPr>
        <w:tblW w:w="5071" w:type="pct"/>
        <w:tblLook w:val="0000" w:firstRow="0" w:lastRow="0" w:firstColumn="0" w:lastColumn="0" w:noHBand="0" w:noVBand="0"/>
      </w:tblPr>
      <w:tblGrid>
        <w:gridCol w:w="504"/>
        <w:gridCol w:w="7262"/>
        <w:gridCol w:w="2010"/>
      </w:tblGrid>
      <w:tr w:rsidR="00203D28" w:rsidRPr="00E859E8" w14:paraId="02A09436" w14:textId="77777777" w:rsidTr="006D20C3">
        <w:tc>
          <w:tcPr>
            <w:tcW w:w="258" w:type="pct"/>
          </w:tcPr>
          <w:p w14:paraId="114FECA6" w14:textId="77777777" w:rsidR="00203D28" w:rsidRPr="00E859E8" w:rsidRDefault="00203D28" w:rsidP="006D20C3">
            <w:pPr>
              <w:pStyle w:val="toc0"/>
              <w:spacing w:after="120"/>
              <w:rPr>
                <w:rFonts w:asciiTheme="minorHAnsi" w:hAnsiTheme="minorHAnsi" w:cstheme="minorHAnsi"/>
                <w:sz w:val="22"/>
                <w:szCs w:val="22"/>
              </w:rPr>
            </w:pPr>
            <w:r w:rsidRPr="00E859E8">
              <w:rPr>
                <w:rFonts w:asciiTheme="minorHAnsi" w:hAnsiTheme="minorHAnsi" w:cstheme="minorHAnsi"/>
                <w:b w:val="0"/>
                <w:sz w:val="22"/>
                <w:szCs w:val="22"/>
              </w:rPr>
              <w:br w:type="page"/>
            </w:r>
            <w:r w:rsidRPr="00E859E8">
              <w:rPr>
                <w:rFonts w:asciiTheme="minorHAnsi" w:hAnsiTheme="minorHAnsi" w:cstheme="minorHAnsi"/>
                <w:b w:val="0"/>
                <w:sz w:val="22"/>
                <w:szCs w:val="22"/>
              </w:rPr>
              <w:br w:type="page"/>
            </w:r>
          </w:p>
        </w:tc>
        <w:tc>
          <w:tcPr>
            <w:tcW w:w="3714" w:type="pct"/>
          </w:tcPr>
          <w:p w14:paraId="42365C98" w14:textId="77777777" w:rsidR="00203D28" w:rsidRPr="00E859E8" w:rsidRDefault="00203D28" w:rsidP="00203D28">
            <w:pPr>
              <w:pStyle w:val="Tablehead"/>
              <w:jc w:val="left"/>
            </w:pPr>
            <w:bookmarkStart w:id="7" w:name="lt_pId012"/>
            <w:r w:rsidRPr="00E859E8">
              <w:t>Sujets traités</w:t>
            </w:r>
            <w:bookmarkEnd w:id="7"/>
          </w:p>
        </w:tc>
        <w:tc>
          <w:tcPr>
            <w:tcW w:w="1028" w:type="pct"/>
          </w:tcPr>
          <w:p w14:paraId="3A8B0737" w14:textId="77777777" w:rsidR="00203D28" w:rsidRPr="00E859E8" w:rsidRDefault="00203D28" w:rsidP="00203D28">
            <w:pPr>
              <w:pStyle w:val="Tablehead"/>
            </w:pPr>
            <w:bookmarkStart w:id="8" w:name="lt_pId013"/>
            <w:r w:rsidRPr="00E859E8">
              <w:t>Documents</w:t>
            </w:r>
            <w:bookmarkEnd w:id="8"/>
          </w:p>
        </w:tc>
      </w:tr>
      <w:tr w:rsidR="00203D28" w:rsidRPr="00E859E8" w14:paraId="512A257C" w14:textId="77777777" w:rsidTr="006D20C3">
        <w:tc>
          <w:tcPr>
            <w:tcW w:w="258" w:type="pct"/>
          </w:tcPr>
          <w:p w14:paraId="65629D2D" w14:textId="77777777" w:rsidR="00203D28" w:rsidRPr="00E859E8" w:rsidRDefault="00203D28" w:rsidP="006D20C3">
            <w:pPr>
              <w:pStyle w:val="toc0"/>
              <w:spacing w:after="120"/>
              <w:rPr>
                <w:rFonts w:asciiTheme="minorHAnsi" w:hAnsiTheme="minorHAnsi" w:cstheme="minorHAnsi"/>
                <w:b w:val="0"/>
                <w:szCs w:val="24"/>
              </w:rPr>
            </w:pPr>
            <w:r w:rsidRPr="00E859E8">
              <w:rPr>
                <w:rFonts w:asciiTheme="minorHAnsi" w:hAnsiTheme="minorHAnsi" w:cstheme="minorHAnsi"/>
                <w:b w:val="0"/>
                <w:szCs w:val="24"/>
              </w:rPr>
              <w:t>1</w:t>
            </w:r>
          </w:p>
        </w:tc>
        <w:tc>
          <w:tcPr>
            <w:tcW w:w="3714" w:type="pct"/>
          </w:tcPr>
          <w:p w14:paraId="1334C515" w14:textId="77777777" w:rsidR="00203D28" w:rsidRPr="00E859E8" w:rsidRDefault="00203D28" w:rsidP="006D20C3">
            <w:pPr>
              <w:pStyle w:val="toc0"/>
              <w:spacing w:after="120"/>
              <w:rPr>
                <w:rFonts w:asciiTheme="minorHAnsi" w:hAnsiTheme="minorHAnsi" w:cstheme="minorHAnsi"/>
                <w:b w:val="0"/>
                <w:szCs w:val="24"/>
              </w:rPr>
            </w:pPr>
            <w:bookmarkStart w:id="9" w:name="lt_pId015"/>
            <w:r w:rsidRPr="00E859E8">
              <w:rPr>
                <w:rFonts w:asciiTheme="minorHAnsi" w:hAnsiTheme="minorHAnsi" w:cstheme="minorHAnsi"/>
                <w:b w:val="0"/>
                <w:bCs/>
                <w:szCs w:val="24"/>
              </w:rPr>
              <w:t>Résultats des débats du 16 novembre 2020</w:t>
            </w:r>
            <w:bookmarkEnd w:id="9"/>
          </w:p>
        </w:tc>
        <w:tc>
          <w:tcPr>
            <w:tcW w:w="1028" w:type="pct"/>
          </w:tcPr>
          <w:p w14:paraId="6A79792A" w14:textId="77777777" w:rsidR="00203D28" w:rsidRPr="00E859E8" w:rsidRDefault="00503AB7" w:rsidP="006D20C3">
            <w:pPr>
              <w:pStyle w:val="toc0"/>
              <w:spacing w:after="120"/>
              <w:jc w:val="center"/>
              <w:rPr>
                <w:rFonts w:asciiTheme="minorHAnsi" w:hAnsiTheme="minorHAnsi" w:cstheme="minorHAnsi"/>
                <w:b w:val="0"/>
                <w:szCs w:val="24"/>
              </w:rPr>
            </w:pPr>
            <w:hyperlink r:id="rId7" w:history="1">
              <w:bookmarkStart w:id="10" w:name="lt_pId016"/>
              <w:r w:rsidR="00203D28" w:rsidRPr="00E859E8">
                <w:rPr>
                  <w:rStyle w:val="Hyperlink"/>
                  <w:b w:val="0"/>
                  <w:bCs/>
                  <w:szCs w:val="24"/>
                </w:rPr>
                <w:t>VCC-2/DT/1</w:t>
              </w:r>
              <w:bookmarkEnd w:id="10"/>
            </w:hyperlink>
          </w:p>
        </w:tc>
      </w:tr>
      <w:tr w:rsidR="00203D28" w:rsidRPr="00E859E8" w14:paraId="6B538C31" w14:textId="77777777" w:rsidTr="006D20C3">
        <w:tc>
          <w:tcPr>
            <w:tcW w:w="258" w:type="pct"/>
          </w:tcPr>
          <w:p w14:paraId="58ECEF18" w14:textId="77777777" w:rsidR="00203D28" w:rsidRPr="00E859E8" w:rsidRDefault="00203D28" w:rsidP="006D20C3">
            <w:pPr>
              <w:pStyle w:val="toc0"/>
              <w:spacing w:after="120"/>
              <w:rPr>
                <w:rFonts w:asciiTheme="minorHAnsi" w:hAnsiTheme="minorHAnsi" w:cstheme="minorHAnsi"/>
                <w:b w:val="0"/>
                <w:szCs w:val="24"/>
              </w:rPr>
            </w:pPr>
            <w:r w:rsidRPr="00E859E8">
              <w:rPr>
                <w:rFonts w:asciiTheme="minorHAnsi" w:hAnsiTheme="minorHAnsi" w:cstheme="minorHAnsi"/>
                <w:b w:val="0"/>
                <w:szCs w:val="24"/>
              </w:rPr>
              <w:t>2</w:t>
            </w:r>
          </w:p>
        </w:tc>
        <w:tc>
          <w:tcPr>
            <w:tcW w:w="3714" w:type="pct"/>
          </w:tcPr>
          <w:p w14:paraId="149D5EE3" w14:textId="77777777" w:rsidR="00203D28" w:rsidRPr="00E859E8" w:rsidRDefault="00203D28" w:rsidP="006D20C3">
            <w:pPr>
              <w:pStyle w:val="toc0"/>
              <w:spacing w:after="120"/>
              <w:rPr>
                <w:rFonts w:asciiTheme="minorHAnsi" w:hAnsiTheme="minorHAnsi" w:cstheme="minorHAnsi"/>
                <w:b w:val="0"/>
                <w:szCs w:val="24"/>
              </w:rPr>
            </w:pPr>
            <w:bookmarkStart w:id="11" w:name="lt_pId018"/>
            <w:r w:rsidRPr="00E859E8">
              <w:rPr>
                <w:b w:val="0"/>
                <w:bCs/>
                <w:szCs w:val="24"/>
              </w:rPr>
              <w:t>Allocution du Président d'ANCOM (Roumanie)</w:t>
            </w:r>
            <w:bookmarkEnd w:id="11"/>
          </w:p>
        </w:tc>
        <w:tc>
          <w:tcPr>
            <w:tcW w:w="1028" w:type="pct"/>
          </w:tcPr>
          <w:p w14:paraId="744DE4E8" w14:textId="7949C568" w:rsidR="00203D28" w:rsidRPr="00E859E8" w:rsidRDefault="0079030C" w:rsidP="006D20C3">
            <w:pPr>
              <w:pStyle w:val="toc0"/>
              <w:spacing w:after="120"/>
              <w:jc w:val="center"/>
              <w:rPr>
                <w:rFonts w:asciiTheme="minorHAnsi" w:hAnsiTheme="minorHAnsi" w:cstheme="minorHAnsi"/>
                <w:b w:val="0"/>
                <w:szCs w:val="24"/>
              </w:rPr>
            </w:pPr>
            <w:r w:rsidRPr="00E859E8">
              <w:rPr>
                <w:rFonts w:cstheme="minorHAnsi"/>
                <w:b w:val="0"/>
                <w:szCs w:val="24"/>
              </w:rPr>
              <w:t>–</w:t>
            </w:r>
          </w:p>
        </w:tc>
      </w:tr>
      <w:tr w:rsidR="00203D28" w:rsidRPr="00E859E8" w14:paraId="01F95163" w14:textId="77777777" w:rsidTr="006D20C3">
        <w:tc>
          <w:tcPr>
            <w:tcW w:w="258" w:type="pct"/>
          </w:tcPr>
          <w:p w14:paraId="7F363400" w14:textId="77777777" w:rsidR="00203D28" w:rsidRPr="00E859E8" w:rsidRDefault="00203D28" w:rsidP="006D20C3">
            <w:pPr>
              <w:pStyle w:val="toc0"/>
              <w:spacing w:after="120"/>
              <w:rPr>
                <w:rFonts w:asciiTheme="minorHAnsi" w:hAnsiTheme="minorHAnsi" w:cstheme="minorHAnsi"/>
                <w:b w:val="0"/>
                <w:szCs w:val="24"/>
              </w:rPr>
            </w:pPr>
            <w:r w:rsidRPr="00E859E8">
              <w:rPr>
                <w:rFonts w:asciiTheme="minorHAnsi" w:hAnsiTheme="minorHAnsi" w:cstheme="minorHAnsi"/>
                <w:b w:val="0"/>
                <w:szCs w:val="24"/>
              </w:rPr>
              <w:t>3</w:t>
            </w:r>
          </w:p>
        </w:tc>
        <w:tc>
          <w:tcPr>
            <w:tcW w:w="3714" w:type="pct"/>
          </w:tcPr>
          <w:p w14:paraId="5D75DC1C" w14:textId="77777777" w:rsidR="00203D28" w:rsidRPr="00E859E8" w:rsidRDefault="00203D28" w:rsidP="006D20C3">
            <w:pPr>
              <w:pStyle w:val="toc0"/>
              <w:spacing w:after="120"/>
              <w:rPr>
                <w:rFonts w:asciiTheme="minorHAnsi" w:hAnsiTheme="minorHAnsi" w:cstheme="minorHAnsi"/>
                <w:szCs w:val="24"/>
              </w:rPr>
            </w:pPr>
            <w:bookmarkStart w:id="12" w:name="lt_pId021"/>
            <w:r w:rsidRPr="00E859E8">
              <w:rPr>
                <w:b w:val="0"/>
                <w:bCs/>
                <w:szCs w:val="24"/>
              </w:rPr>
              <w:t>Travaux préparatoires en vue du FMPT-21</w:t>
            </w:r>
            <w:bookmarkEnd w:id="12"/>
          </w:p>
        </w:tc>
        <w:tc>
          <w:tcPr>
            <w:tcW w:w="1028" w:type="pct"/>
          </w:tcPr>
          <w:p w14:paraId="0D89FE9C" w14:textId="77777777" w:rsidR="00203D28" w:rsidRPr="00E859E8" w:rsidRDefault="00503AB7" w:rsidP="006D20C3">
            <w:pPr>
              <w:pStyle w:val="toc0"/>
              <w:spacing w:after="120"/>
              <w:jc w:val="center"/>
              <w:rPr>
                <w:rFonts w:asciiTheme="minorHAnsi" w:hAnsiTheme="minorHAnsi" w:cstheme="minorHAnsi"/>
                <w:b w:val="0"/>
                <w:szCs w:val="24"/>
              </w:rPr>
            </w:pPr>
            <w:hyperlink r:id="rId8" w:history="1">
              <w:bookmarkStart w:id="13" w:name="lt_pId022"/>
              <w:r w:rsidR="00203D28" w:rsidRPr="00E859E8">
                <w:rPr>
                  <w:rStyle w:val="Hyperlink"/>
                  <w:b w:val="0"/>
                  <w:bCs/>
                  <w:szCs w:val="24"/>
                </w:rPr>
                <w:t>C20/5(Rév.1)</w:t>
              </w:r>
              <w:bookmarkEnd w:id="13"/>
            </w:hyperlink>
          </w:p>
        </w:tc>
      </w:tr>
      <w:tr w:rsidR="00203D28" w:rsidRPr="00E859E8" w14:paraId="73DC3BD8" w14:textId="77777777" w:rsidTr="006D20C3">
        <w:tc>
          <w:tcPr>
            <w:tcW w:w="258" w:type="pct"/>
          </w:tcPr>
          <w:p w14:paraId="54B3E49B" w14:textId="77777777" w:rsidR="00203D28" w:rsidRPr="00E859E8" w:rsidRDefault="00203D28" w:rsidP="006D20C3">
            <w:pPr>
              <w:pStyle w:val="toc0"/>
              <w:spacing w:after="120"/>
              <w:rPr>
                <w:rFonts w:asciiTheme="minorHAnsi" w:hAnsiTheme="minorHAnsi" w:cstheme="minorHAnsi"/>
                <w:b w:val="0"/>
                <w:szCs w:val="24"/>
              </w:rPr>
            </w:pPr>
            <w:r w:rsidRPr="00E859E8">
              <w:rPr>
                <w:rFonts w:asciiTheme="minorHAnsi" w:hAnsiTheme="minorHAnsi" w:cstheme="minorHAnsi"/>
                <w:b w:val="0"/>
                <w:szCs w:val="24"/>
              </w:rPr>
              <w:t>4</w:t>
            </w:r>
          </w:p>
        </w:tc>
        <w:tc>
          <w:tcPr>
            <w:tcW w:w="3714" w:type="pct"/>
          </w:tcPr>
          <w:p w14:paraId="1455FD82" w14:textId="1E27100F" w:rsidR="00203D28" w:rsidRPr="00E859E8" w:rsidRDefault="00203D28" w:rsidP="006D20C3">
            <w:pPr>
              <w:pStyle w:val="toc0"/>
              <w:spacing w:after="120"/>
              <w:rPr>
                <w:rFonts w:asciiTheme="minorHAnsi" w:hAnsiTheme="minorHAnsi" w:cstheme="minorHAnsi"/>
                <w:b w:val="0"/>
                <w:szCs w:val="24"/>
              </w:rPr>
            </w:pPr>
            <w:bookmarkStart w:id="14" w:name="lt_pId024"/>
            <w:r w:rsidRPr="00E859E8">
              <w:rPr>
                <w:b w:val="0"/>
                <w:bCs/>
                <w:szCs w:val="24"/>
              </w:rPr>
              <w:t>Comptes vérifiés: Rapport de gestion financière vérifié pour 2019</w:t>
            </w:r>
            <w:bookmarkEnd w:id="14"/>
          </w:p>
        </w:tc>
        <w:tc>
          <w:tcPr>
            <w:tcW w:w="1028" w:type="pct"/>
          </w:tcPr>
          <w:p w14:paraId="41EB1D9F" w14:textId="77777777" w:rsidR="00203D28" w:rsidRPr="00E859E8" w:rsidRDefault="00503AB7" w:rsidP="006D20C3">
            <w:pPr>
              <w:pStyle w:val="toc0"/>
              <w:spacing w:after="120"/>
              <w:jc w:val="center"/>
              <w:rPr>
                <w:rFonts w:asciiTheme="minorHAnsi" w:hAnsiTheme="minorHAnsi" w:cstheme="minorHAnsi"/>
                <w:b w:val="0"/>
                <w:szCs w:val="24"/>
              </w:rPr>
            </w:pPr>
            <w:hyperlink r:id="rId9" w:history="1">
              <w:bookmarkStart w:id="15" w:name="lt_pId025"/>
              <w:r w:rsidR="00203D28" w:rsidRPr="00E859E8">
                <w:rPr>
                  <w:rStyle w:val="Hyperlink"/>
                  <w:b w:val="0"/>
                  <w:bCs/>
                  <w:szCs w:val="24"/>
                </w:rPr>
                <w:t>C20/42(Rév.1)</w:t>
              </w:r>
              <w:bookmarkEnd w:id="15"/>
            </w:hyperlink>
          </w:p>
        </w:tc>
      </w:tr>
      <w:tr w:rsidR="00203D28" w:rsidRPr="00E859E8" w14:paraId="314FBC41" w14:textId="77777777" w:rsidTr="006D20C3">
        <w:tc>
          <w:tcPr>
            <w:tcW w:w="258" w:type="pct"/>
          </w:tcPr>
          <w:p w14:paraId="62F0BA90" w14:textId="77777777" w:rsidR="00203D28" w:rsidRPr="00E859E8" w:rsidRDefault="00203D28" w:rsidP="006D20C3">
            <w:pPr>
              <w:pStyle w:val="toc0"/>
              <w:spacing w:after="120"/>
              <w:rPr>
                <w:rFonts w:asciiTheme="minorHAnsi" w:hAnsiTheme="minorHAnsi" w:cstheme="minorHAnsi"/>
                <w:b w:val="0"/>
                <w:szCs w:val="24"/>
              </w:rPr>
            </w:pPr>
            <w:r w:rsidRPr="00E859E8">
              <w:rPr>
                <w:rFonts w:asciiTheme="minorHAnsi" w:hAnsiTheme="minorHAnsi" w:cstheme="minorHAnsi"/>
                <w:b w:val="0"/>
                <w:szCs w:val="24"/>
              </w:rPr>
              <w:t>5</w:t>
            </w:r>
          </w:p>
        </w:tc>
        <w:tc>
          <w:tcPr>
            <w:tcW w:w="3714" w:type="pct"/>
          </w:tcPr>
          <w:p w14:paraId="48321222" w14:textId="77777777" w:rsidR="00203D28" w:rsidRPr="00E859E8" w:rsidRDefault="00203D28" w:rsidP="006D20C3">
            <w:pPr>
              <w:pStyle w:val="toc0"/>
              <w:spacing w:after="120"/>
              <w:rPr>
                <w:rFonts w:asciiTheme="minorHAnsi" w:hAnsiTheme="minorHAnsi" w:cstheme="minorHAnsi"/>
                <w:b w:val="0"/>
                <w:szCs w:val="24"/>
              </w:rPr>
            </w:pPr>
            <w:bookmarkStart w:id="16" w:name="lt_pId027"/>
            <w:r w:rsidRPr="00E859E8">
              <w:rPr>
                <w:b w:val="0"/>
                <w:bCs/>
                <w:szCs w:val="24"/>
              </w:rPr>
              <w:t>Rapport du Vérificateur extérieur des comptes: Comptes de l'Union pour l'exercice 2019</w:t>
            </w:r>
            <w:bookmarkEnd w:id="16"/>
          </w:p>
        </w:tc>
        <w:tc>
          <w:tcPr>
            <w:tcW w:w="1028" w:type="pct"/>
          </w:tcPr>
          <w:p w14:paraId="43EE8ACD" w14:textId="77777777" w:rsidR="00203D28" w:rsidRPr="00E859E8" w:rsidRDefault="00503AB7" w:rsidP="006D20C3">
            <w:pPr>
              <w:pStyle w:val="toc0"/>
              <w:spacing w:after="120"/>
              <w:jc w:val="center"/>
              <w:rPr>
                <w:rFonts w:asciiTheme="minorHAnsi" w:hAnsiTheme="minorHAnsi" w:cstheme="minorHAnsi"/>
                <w:b w:val="0"/>
                <w:szCs w:val="24"/>
              </w:rPr>
            </w:pPr>
            <w:hyperlink r:id="rId10" w:history="1">
              <w:bookmarkStart w:id="17" w:name="lt_pId028"/>
              <w:r w:rsidR="00203D28" w:rsidRPr="00E859E8">
                <w:rPr>
                  <w:rStyle w:val="Hyperlink"/>
                  <w:b w:val="0"/>
                  <w:bCs/>
                  <w:szCs w:val="24"/>
                </w:rPr>
                <w:t>C20/40</w:t>
              </w:r>
              <w:bookmarkEnd w:id="17"/>
            </w:hyperlink>
          </w:p>
        </w:tc>
      </w:tr>
      <w:tr w:rsidR="00203D28" w:rsidRPr="00E859E8" w14:paraId="648BE11F" w14:textId="77777777" w:rsidTr="006D20C3">
        <w:tc>
          <w:tcPr>
            <w:tcW w:w="258" w:type="pct"/>
          </w:tcPr>
          <w:p w14:paraId="5AF5E506" w14:textId="77777777" w:rsidR="00203D28" w:rsidRPr="00E859E8" w:rsidRDefault="00203D28" w:rsidP="006D20C3">
            <w:pPr>
              <w:pStyle w:val="toc0"/>
              <w:spacing w:after="120"/>
              <w:rPr>
                <w:rFonts w:asciiTheme="minorHAnsi" w:hAnsiTheme="minorHAnsi" w:cstheme="minorHAnsi"/>
                <w:b w:val="0"/>
                <w:szCs w:val="24"/>
              </w:rPr>
            </w:pPr>
            <w:r w:rsidRPr="00E859E8">
              <w:rPr>
                <w:rFonts w:asciiTheme="minorHAnsi" w:hAnsiTheme="minorHAnsi" w:cstheme="minorHAnsi"/>
                <w:b w:val="0"/>
                <w:szCs w:val="24"/>
              </w:rPr>
              <w:t>6</w:t>
            </w:r>
          </w:p>
        </w:tc>
        <w:tc>
          <w:tcPr>
            <w:tcW w:w="3714" w:type="pct"/>
          </w:tcPr>
          <w:p w14:paraId="26600819" w14:textId="77777777" w:rsidR="00203D28" w:rsidRPr="00E859E8" w:rsidRDefault="00203D28" w:rsidP="006D20C3">
            <w:pPr>
              <w:pStyle w:val="toc0"/>
              <w:spacing w:after="120"/>
              <w:rPr>
                <w:rFonts w:asciiTheme="minorHAnsi" w:hAnsiTheme="minorHAnsi" w:cstheme="minorHAnsi"/>
                <w:b w:val="0"/>
                <w:szCs w:val="24"/>
              </w:rPr>
            </w:pPr>
            <w:bookmarkStart w:id="18" w:name="lt_pId030"/>
            <w:r w:rsidRPr="00E859E8">
              <w:rPr>
                <w:b w:val="0"/>
                <w:bCs/>
                <w:szCs w:val="24"/>
              </w:rPr>
              <w:t>Rapport du Comité consultatif indépendant pour les questions de gestion (CCIG)</w:t>
            </w:r>
            <w:bookmarkEnd w:id="18"/>
          </w:p>
        </w:tc>
        <w:tc>
          <w:tcPr>
            <w:tcW w:w="1028" w:type="pct"/>
          </w:tcPr>
          <w:p w14:paraId="4D2376A8" w14:textId="77777777" w:rsidR="00203D28" w:rsidRPr="00E859E8" w:rsidRDefault="00503AB7" w:rsidP="006D20C3">
            <w:pPr>
              <w:pStyle w:val="toc0"/>
              <w:spacing w:after="120"/>
              <w:jc w:val="center"/>
              <w:rPr>
                <w:rFonts w:asciiTheme="minorHAnsi" w:hAnsiTheme="minorHAnsi" w:cstheme="minorHAnsi"/>
                <w:b w:val="0"/>
                <w:szCs w:val="24"/>
              </w:rPr>
            </w:pPr>
            <w:hyperlink r:id="rId11" w:history="1">
              <w:bookmarkStart w:id="19" w:name="lt_pId031"/>
              <w:r w:rsidR="00203D28" w:rsidRPr="00E859E8">
                <w:rPr>
                  <w:rStyle w:val="Hyperlink"/>
                  <w:b w:val="0"/>
                  <w:szCs w:val="24"/>
                </w:rPr>
                <w:t>C20/22(Rév.1)</w:t>
              </w:r>
              <w:bookmarkEnd w:id="19"/>
            </w:hyperlink>
          </w:p>
        </w:tc>
      </w:tr>
      <w:tr w:rsidR="00203D28" w:rsidRPr="00E859E8" w14:paraId="2795D14F" w14:textId="77777777" w:rsidTr="006D20C3">
        <w:tc>
          <w:tcPr>
            <w:tcW w:w="258" w:type="pct"/>
          </w:tcPr>
          <w:p w14:paraId="65485726" w14:textId="77777777" w:rsidR="00203D28" w:rsidRPr="00E859E8" w:rsidRDefault="00203D28" w:rsidP="006D20C3">
            <w:pPr>
              <w:pStyle w:val="toc0"/>
              <w:spacing w:after="120"/>
              <w:rPr>
                <w:rFonts w:asciiTheme="minorHAnsi" w:hAnsiTheme="minorHAnsi" w:cstheme="minorHAnsi"/>
                <w:b w:val="0"/>
                <w:szCs w:val="24"/>
              </w:rPr>
            </w:pPr>
            <w:r w:rsidRPr="00E859E8">
              <w:rPr>
                <w:rFonts w:asciiTheme="minorHAnsi" w:hAnsiTheme="minorHAnsi" w:cstheme="minorHAnsi"/>
                <w:b w:val="0"/>
                <w:szCs w:val="24"/>
              </w:rPr>
              <w:t>7</w:t>
            </w:r>
          </w:p>
        </w:tc>
        <w:tc>
          <w:tcPr>
            <w:tcW w:w="3714" w:type="pct"/>
          </w:tcPr>
          <w:p w14:paraId="2344346F" w14:textId="77777777" w:rsidR="00203D28" w:rsidRPr="00E859E8" w:rsidRDefault="00203D28" w:rsidP="006D20C3">
            <w:pPr>
              <w:pStyle w:val="toc0"/>
              <w:spacing w:after="120"/>
              <w:rPr>
                <w:rFonts w:asciiTheme="minorHAnsi" w:hAnsiTheme="minorHAnsi" w:cstheme="minorHAnsi"/>
                <w:b w:val="0"/>
                <w:szCs w:val="24"/>
              </w:rPr>
            </w:pPr>
            <w:bookmarkStart w:id="20" w:name="lt_pId033"/>
            <w:r w:rsidRPr="00E859E8">
              <w:rPr>
                <w:b w:val="0"/>
                <w:bCs/>
                <w:szCs w:val="24"/>
              </w:rPr>
              <w:t>Rapport du Groupe de travail sur les contrôles internes</w:t>
            </w:r>
            <w:bookmarkEnd w:id="20"/>
          </w:p>
        </w:tc>
        <w:tc>
          <w:tcPr>
            <w:tcW w:w="1028" w:type="pct"/>
          </w:tcPr>
          <w:p w14:paraId="0A9C41D2" w14:textId="77777777" w:rsidR="00203D28" w:rsidRPr="00E859E8" w:rsidRDefault="00503AB7" w:rsidP="006D20C3">
            <w:pPr>
              <w:pStyle w:val="toc0"/>
              <w:spacing w:after="120"/>
              <w:jc w:val="center"/>
              <w:rPr>
                <w:rFonts w:asciiTheme="minorHAnsi" w:hAnsiTheme="minorHAnsi" w:cstheme="minorHAnsi"/>
                <w:b w:val="0"/>
                <w:szCs w:val="24"/>
              </w:rPr>
            </w:pPr>
            <w:hyperlink r:id="rId12" w:history="1">
              <w:bookmarkStart w:id="21" w:name="lt_pId034"/>
              <w:r w:rsidR="00203D28" w:rsidRPr="00E859E8">
                <w:rPr>
                  <w:rStyle w:val="Hyperlink"/>
                  <w:b w:val="0"/>
                  <w:szCs w:val="24"/>
                </w:rPr>
                <w:t>C20/63(Rév.1)</w:t>
              </w:r>
              <w:bookmarkEnd w:id="21"/>
            </w:hyperlink>
          </w:p>
        </w:tc>
      </w:tr>
      <w:tr w:rsidR="00203D28" w:rsidRPr="00E859E8" w14:paraId="0383FAC8" w14:textId="77777777" w:rsidTr="006D20C3">
        <w:tc>
          <w:tcPr>
            <w:tcW w:w="258" w:type="pct"/>
          </w:tcPr>
          <w:p w14:paraId="398B8A22" w14:textId="77777777" w:rsidR="00203D28" w:rsidRPr="00E859E8" w:rsidRDefault="00203D28" w:rsidP="006D20C3">
            <w:pPr>
              <w:pStyle w:val="toc0"/>
              <w:spacing w:after="120"/>
              <w:rPr>
                <w:rFonts w:asciiTheme="minorHAnsi" w:hAnsiTheme="minorHAnsi" w:cstheme="minorHAnsi"/>
                <w:b w:val="0"/>
                <w:szCs w:val="24"/>
              </w:rPr>
            </w:pPr>
            <w:r w:rsidRPr="00E859E8">
              <w:rPr>
                <w:rFonts w:asciiTheme="minorHAnsi" w:hAnsiTheme="minorHAnsi" w:cstheme="minorHAnsi"/>
                <w:b w:val="0"/>
                <w:szCs w:val="24"/>
              </w:rPr>
              <w:t>8</w:t>
            </w:r>
          </w:p>
        </w:tc>
        <w:tc>
          <w:tcPr>
            <w:tcW w:w="3714" w:type="pct"/>
          </w:tcPr>
          <w:p w14:paraId="393F0A4D" w14:textId="77777777" w:rsidR="00203D28" w:rsidRPr="00E859E8" w:rsidRDefault="00203D28" w:rsidP="006D20C3">
            <w:pPr>
              <w:pStyle w:val="toc0"/>
              <w:spacing w:after="120"/>
              <w:rPr>
                <w:b w:val="0"/>
                <w:bCs/>
                <w:szCs w:val="24"/>
              </w:rPr>
            </w:pPr>
            <w:bookmarkStart w:id="22" w:name="lt_pId036"/>
            <w:r w:rsidRPr="00E859E8">
              <w:rPr>
                <w:b w:val="0"/>
                <w:bCs/>
                <w:szCs w:val="24"/>
              </w:rPr>
              <w:t>Rapport de l'auditeur interne sur les activités d'audit interne</w:t>
            </w:r>
            <w:bookmarkEnd w:id="22"/>
          </w:p>
        </w:tc>
        <w:tc>
          <w:tcPr>
            <w:tcW w:w="1028" w:type="pct"/>
          </w:tcPr>
          <w:p w14:paraId="427AFE8B" w14:textId="77777777" w:rsidR="00203D28" w:rsidRPr="00E859E8" w:rsidRDefault="00503AB7" w:rsidP="006D20C3">
            <w:pPr>
              <w:pStyle w:val="toc0"/>
              <w:spacing w:after="120"/>
              <w:jc w:val="center"/>
              <w:rPr>
                <w:b w:val="0"/>
                <w:szCs w:val="24"/>
              </w:rPr>
            </w:pPr>
            <w:hyperlink r:id="rId13" w:history="1">
              <w:bookmarkStart w:id="23" w:name="lt_pId037"/>
              <w:r w:rsidR="00203D28" w:rsidRPr="00E859E8">
                <w:rPr>
                  <w:rStyle w:val="Hyperlink"/>
                  <w:b w:val="0"/>
                  <w:bCs/>
                  <w:szCs w:val="24"/>
                </w:rPr>
                <w:t>C20/44</w:t>
              </w:r>
              <w:bookmarkEnd w:id="23"/>
            </w:hyperlink>
          </w:p>
        </w:tc>
      </w:tr>
    </w:tbl>
    <w:p w14:paraId="57E244F9" w14:textId="564C0E0E" w:rsidR="00203D28" w:rsidRPr="00E859E8" w:rsidRDefault="00203D28" w:rsidP="00203D28">
      <w:pPr>
        <w:jc w:val="left"/>
      </w:pPr>
      <w:r w:rsidRPr="00E859E8">
        <w:br w:type="page"/>
      </w:r>
    </w:p>
    <w:p w14:paraId="51A6FC90" w14:textId="77777777" w:rsidR="0079030C" w:rsidRPr="00E859E8" w:rsidRDefault="00203D28" w:rsidP="0079030C">
      <w:pPr>
        <w:pStyle w:val="Heading1"/>
        <w:rPr>
          <w:bCs/>
        </w:rPr>
      </w:pPr>
      <w:r w:rsidRPr="00E859E8">
        <w:rPr>
          <w:bCs/>
        </w:rPr>
        <w:lastRenderedPageBreak/>
        <w:t>1</w:t>
      </w:r>
      <w:r w:rsidRPr="00E859E8">
        <w:rPr>
          <w:bCs/>
        </w:rPr>
        <w:tab/>
      </w:r>
      <w:bookmarkStart w:id="24" w:name="lt_pId039"/>
      <w:bookmarkStart w:id="25" w:name="_Hlk56507058"/>
      <w:r w:rsidRPr="00E859E8">
        <w:rPr>
          <w:bCs/>
        </w:rPr>
        <w:t xml:space="preserve">Résultats des débats du 16 novembre 2020 (Document </w:t>
      </w:r>
      <w:bookmarkStart w:id="26" w:name="lt_pId039_leftovers"/>
      <w:r w:rsidRPr="00E859E8">
        <w:fldChar w:fldCharType="begin"/>
      </w:r>
      <w:r w:rsidRPr="00E859E8">
        <w:instrText xml:space="preserve"> HYPERLINK "https://www.itu.int/md/S20-CLVC2-201116-TD-0001/en" </w:instrText>
      </w:r>
      <w:r w:rsidRPr="00E859E8">
        <w:fldChar w:fldCharType="separate"/>
      </w:r>
      <w:r w:rsidRPr="00E859E8">
        <w:rPr>
          <w:rStyle w:val="Hyperlink"/>
          <w:bCs/>
        </w:rPr>
        <w:t>VCC-2/DT/1</w:t>
      </w:r>
      <w:r w:rsidRPr="00E859E8">
        <w:fldChar w:fldCharType="end"/>
      </w:r>
      <w:bookmarkEnd w:id="26"/>
      <w:r w:rsidRPr="00E859E8">
        <w:rPr>
          <w:bCs/>
        </w:rPr>
        <w:t>)</w:t>
      </w:r>
      <w:bookmarkEnd w:id="24"/>
    </w:p>
    <w:bookmarkEnd w:id="25"/>
    <w:p w14:paraId="0E326718" w14:textId="2E4ED1E5" w:rsidR="00203D28" w:rsidRPr="00203D28" w:rsidRDefault="00203D28" w:rsidP="00A64094">
      <w:pPr>
        <w:spacing w:before="120"/>
        <w:jc w:val="left"/>
      </w:pPr>
      <w:r w:rsidRPr="00203D28">
        <w:t>1.1</w:t>
      </w:r>
      <w:r w:rsidRPr="00203D28">
        <w:tab/>
      </w:r>
      <w:bookmarkStart w:id="27" w:name="lt_pId041"/>
      <w:r w:rsidRPr="00203D28">
        <w:t>Le Président invite les participants à formuler des commentaires concernant le Document</w:t>
      </w:r>
      <w:r w:rsidR="0079030C" w:rsidRPr="00E859E8">
        <w:t> </w:t>
      </w:r>
      <w:r w:rsidRPr="00203D28">
        <w:t xml:space="preserve">VCC-2/DT/1, qui contient les résultats des débats qui ont eu lieu la veille. </w:t>
      </w:r>
      <w:bookmarkEnd w:id="27"/>
      <w:r w:rsidRPr="00203D28">
        <w:t>Ce document sera mis à jour et examiné quotidiennement.</w:t>
      </w:r>
    </w:p>
    <w:p w14:paraId="3EA9CD73" w14:textId="20D71423" w:rsidR="00203D28" w:rsidRPr="00203D28" w:rsidRDefault="00203D28" w:rsidP="00A64094">
      <w:pPr>
        <w:spacing w:before="120"/>
        <w:jc w:val="left"/>
      </w:pPr>
      <w:r w:rsidRPr="00203D28">
        <w:t>1.2</w:t>
      </w:r>
      <w:r w:rsidRPr="00203D28">
        <w:tab/>
      </w:r>
      <w:bookmarkStart w:id="28" w:name="lt_pId044"/>
      <w:r w:rsidRPr="00203D28">
        <w:t xml:space="preserve">Les participants </w:t>
      </w:r>
      <w:r w:rsidRPr="00203D28">
        <w:rPr>
          <w:b/>
          <w:bCs/>
        </w:rPr>
        <w:t xml:space="preserve">décident </w:t>
      </w:r>
      <w:r w:rsidRPr="00203D28">
        <w:t>d'apporter des modifications au deuxième résultat relatif à l'adoption de l'ordre du jour, visant à maintenir à l'ordre du jour les documents du secrétariat publiés après la date limite afin qu'ils soient présentés et examinés, et à ne faire commencer toute consultation officielle relative à un document tardif lors d'une session du Conseil ou d'une consultation virtuelle des Conseillers qu'un mois après la publication du document (le texte complet du résultat est présenté au §</w:t>
      </w:r>
      <w:r w:rsidR="0079030C" w:rsidRPr="00E859E8">
        <w:t xml:space="preserve"> </w:t>
      </w:r>
      <w:r w:rsidRPr="00203D28">
        <w:t xml:space="preserve">4 du compte rendu de la première séance de la VCC-2 (Document </w:t>
      </w:r>
      <w:hyperlink r:id="rId14" w:history="1">
        <w:r w:rsidRPr="00203D28">
          <w:rPr>
            <w:rStyle w:val="Hyperlink"/>
          </w:rPr>
          <w:t>VC-2/10</w:t>
        </w:r>
      </w:hyperlink>
      <w:r w:rsidRPr="00203D28">
        <w:t>)).</w:t>
      </w:r>
      <w:bookmarkEnd w:id="28"/>
    </w:p>
    <w:p w14:paraId="133B846E" w14:textId="77777777" w:rsidR="00203D28" w:rsidRPr="00203D28" w:rsidRDefault="00203D28" w:rsidP="00A64094">
      <w:pPr>
        <w:spacing w:before="120"/>
        <w:jc w:val="left"/>
      </w:pPr>
      <w:r w:rsidRPr="00203D28">
        <w:t>1.3</w:t>
      </w:r>
      <w:r w:rsidRPr="00203D28">
        <w:tab/>
      </w:r>
      <w:bookmarkStart w:id="29" w:name="lt_pId046"/>
      <w:r w:rsidRPr="00203D28">
        <w:t xml:space="preserve">En réponse à une question, le Conseiller juridique de l'UIT déclare qu'en principe, la Décision 556 ne s'applique pas aux VCC, puisqu'il a été décidé que ces réunions n'ont pas de pouvoir décisionnel, et que les documents émanant du secrétariat n'appellent donc pas de décision. </w:t>
      </w:r>
      <w:bookmarkStart w:id="30" w:name="lt_pId047"/>
      <w:bookmarkEnd w:id="29"/>
      <w:r w:rsidRPr="00203D28">
        <w:t xml:space="preserve">De plus, la Décision 556 renvoie uniquement au Conseil et aux réunions des Groupes de travail du Conseil (GTC), et le </w:t>
      </w:r>
      <w:bookmarkEnd w:id="30"/>
      <w:r w:rsidRPr="00203D28">
        <w:t xml:space="preserve">Règlement intérieur du Conseil ne s'applique pas non plus, en principe, aux VCC. </w:t>
      </w:r>
    </w:p>
    <w:p w14:paraId="6D5426A8" w14:textId="77777777" w:rsidR="00203D28" w:rsidRPr="00203D28" w:rsidRDefault="00203D28" w:rsidP="00A64094">
      <w:pPr>
        <w:spacing w:before="120"/>
        <w:jc w:val="left"/>
      </w:pPr>
      <w:r w:rsidRPr="00203D28">
        <w:t>1.4</w:t>
      </w:r>
      <w:r w:rsidRPr="00203D28">
        <w:tab/>
      </w:r>
      <w:bookmarkStart w:id="31" w:name="lt_pId049"/>
      <w:r w:rsidRPr="00203D28">
        <w:t xml:space="preserve">Un Conseiller se dit surpris que les règles qui s'appliquent aux réunions des GTC ne s'appliquent pas aux VCC, étant donné le statut supérieur des VCC. </w:t>
      </w:r>
      <w:bookmarkEnd w:id="31"/>
    </w:p>
    <w:p w14:paraId="505BEBCC" w14:textId="762C434D" w:rsidR="00203D28" w:rsidRPr="00203D28" w:rsidRDefault="00203D28" w:rsidP="00A64094">
      <w:pPr>
        <w:spacing w:before="120"/>
        <w:jc w:val="left"/>
      </w:pPr>
      <w:r w:rsidRPr="00203D28">
        <w:t>1.5</w:t>
      </w:r>
      <w:r w:rsidRPr="00203D28">
        <w:tab/>
      </w:r>
      <w:bookmarkStart w:id="32" w:name="lt_pId051"/>
      <w:r w:rsidRPr="00203D28">
        <w:t xml:space="preserve">Concernant le projet de politique révisée d'attribution de bourses tel qu'il figure dans l'Annexe 1 du Document </w:t>
      </w:r>
      <w:hyperlink r:id="rId15" w:history="1">
        <w:r w:rsidRPr="00203D28">
          <w:rPr>
            <w:rStyle w:val="Hyperlink"/>
          </w:rPr>
          <w:t>C20/50</w:t>
        </w:r>
      </w:hyperlink>
      <w:r w:rsidRPr="00203D28">
        <w:t xml:space="preserve">, plusieurs Conseillers réitèrent l'importance des bourses dans le cadre de l'AMNT. </w:t>
      </w:r>
      <w:bookmarkStart w:id="33" w:name="lt_pId052"/>
      <w:bookmarkEnd w:id="32"/>
      <w:r w:rsidRPr="00203D28">
        <w:t xml:space="preserve">En conséquence, les participants </w:t>
      </w:r>
      <w:r w:rsidRPr="00203D28">
        <w:rPr>
          <w:b/>
          <w:bCs/>
        </w:rPr>
        <w:t xml:space="preserve">décident </w:t>
      </w:r>
      <w:r w:rsidRPr="00203D28">
        <w:t>de supprimer le texte entre crochets dans l'Annexe 1 du Document C20/50, ce qui entraîne la suppression du deuxième résultat relatif à ce point dans le Document VCC-2/DT/1 et l'extension de la consultation par correspondance, comme indiqué dans le premier résultat, afin d'approuver les nouvelles lignes directrices (le texte complet du résultat est présenté au §</w:t>
      </w:r>
      <w:r w:rsidR="0079030C" w:rsidRPr="00E859E8">
        <w:t xml:space="preserve"> </w:t>
      </w:r>
      <w:r w:rsidRPr="00203D28">
        <w:t xml:space="preserve">9 du compte rendu de la première séance de la VCC-2 (Document </w:t>
      </w:r>
      <w:hyperlink r:id="rId16" w:history="1">
        <w:r w:rsidRPr="00203D28">
          <w:rPr>
            <w:rStyle w:val="Hyperlink"/>
          </w:rPr>
          <w:t>VC-2/10</w:t>
        </w:r>
      </w:hyperlink>
      <w:r w:rsidRPr="00203D28">
        <w:t>).</w:t>
      </w:r>
      <w:bookmarkEnd w:id="33"/>
    </w:p>
    <w:p w14:paraId="7171D92F" w14:textId="77777777" w:rsidR="00203D28" w:rsidRPr="00203D28" w:rsidRDefault="00203D28" w:rsidP="00A64094">
      <w:pPr>
        <w:spacing w:before="120"/>
        <w:jc w:val="left"/>
      </w:pPr>
      <w:r w:rsidRPr="00203D28">
        <w:t>1.6</w:t>
      </w:r>
      <w:r w:rsidRPr="00203D28">
        <w:tab/>
      </w:r>
      <w:bookmarkStart w:id="34" w:name="lt_pId054"/>
      <w:r w:rsidRPr="00203D28">
        <w:t xml:space="preserve">Il est </w:t>
      </w:r>
      <w:r w:rsidRPr="00203D28">
        <w:rPr>
          <w:b/>
          <w:bCs/>
        </w:rPr>
        <w:t>pris note</w:t>
      </w:r>
      <w:r w:rsidRPr="00203D28">
        <w:t xml:space="preserve"> du Document VCC-2/DT/1, tel que modifié.</w:t>
      </w:r>
      <w:bookmarkEnd w:id="34"/>
    </w:p>
    <w:p w14:paraId="37A5C561" w14:textId="77777777" w:rsidR="00203D28" w:rsidRPr="00E859E8" w:rsidRDefault="00203D28" w:rsidP="0079030C">
      <w:pPr>
        <w:pStyle w:val="Heading1"/>
      </w:pPr>
      <w:r w:rsidRPr="00E859E8">
        <w:t>2</w:t>
      </w:r>
      <w:r w:rsidRPr="00E859E8">
        <w:tab/>
      </w:r>
      <w:bookmarkStart w:id="35" w:name="lt_pId056"/>
      <w:r w:rsidRPr="00E859E8">
        <w:t>Allocution du Président d'ANCOM (Roumanie)</w:t>
      </w:r>
      <w:bookmarkEnd w:id="35"/>
    </w:p>
    <w:p w14:paraId="6D91E3E4" w14:textId="3FBF5F4B" w:rsidR="00203D28" w:rsidRPr="00203D28" w:rsidRDefault="00203D28" w:rsidP="00A64094">
      <w:pPr>
        <w:spacing w:before="120"/>
        <w:jc w:val="left"/>
      </w:pPr>
      <w:r w:rsidRPr="00203D28">
        <w:t>2.1</w:t>
      </w:r>
      <w:r w:rsidRPr="00203D28">
        <w:tab/>
      </w:r>
      <w:bookmarkStart w:id="36" w:name="lt_pId058"/>
      <w:r w:rsidRPr="00203D28">
        <w:t xml:space="preserve">Le Président de l'Autorité nationale de gestion et de régulation des communications (ANCOM) de Roumanie prend la parole au nom de son administration, qui se réjouit à l'idée d'accueillir la prochaine Conférence de </w:t>
      </w:r>
      <w:r w:rsidRPr="00503AB7">
        <w:t xml:space="preserve">plénipotentiaires. Son allocution est disponible à l'adresse </w:t>
      </w:r>
      <w:proofErr w:type="gramStart"/>
      <w:r w:rsidRPr="00503AB7">
        <w:t>suivante:</w:t>
      </w:r>
      <w:bookmarkEnd w:id="36"/>
      <w:proofErr w:type="gramEnd"/>
      <w:r w:rsidR="00503AB7" w:rsidRPr="00503AB7">
        <w:t xml:space="preserve"> </w:t>
      </w:r>
      <w:hyperlink r:id="rId17" w:history="1">
        <w:r w:rsidR="00503AB7" w:rsidRPr="00503AB7">
          <w:rPr>
            <w:rStyle w:val="Hyperlink"/>
            <w:rFonts w:asciiTheme="minorHAnsi" w:hAnsiTheme="minorHAnsi" w:cstheme="minorHAnsi"/>
            <w:lang w:val="en-CA"/>
          </w:rPr>
          <w:t>https://www.itu.int/en/council/Documents/2020/VCC2-Roumania-ANCOM-President-speech.pdf</w:t>
        </w:r>
      </w:hyperlink>
    </w:p>
    <w:p w14:paraId="10E090E0" w14:textId="77777777" w:rsidR="00203D28" w:rsidRPr="00203D28" w:rsidRDefault="00203D28" w:rsidP="00A64094">
      <w:pPr>
        <w:spacing w:before="120"/>
        <w:jc w:val="left"/>
      </w:pPr>
      <w:r w:rsidRPr="00203D28">
        <w:t>2.2</w:t>
      </w:r>
      <w:r w:rsidRPr="00203D28">
        <w:tab/>
      </w:r>
      <w:bookmarkStart w:id="37" w:name="lt_pId060"/>
      <w:r w:rsidRPr="00203D28">
        <w:t xml:space="preserve">Une courte vidéo proposant une visite virtuelle de la ville d'accueil, Bucarest, est projetée. </w:t>
      </w:r>
      <w:bookmarkEnd w:id="37"/>
    </w:p>
    <w:p w14:paraId="12229C59" w14:textId="77777777" w:rsidR="00203D28" w:rsidRPr="00203D28" w:rsidRDefault="00203D28" w:rsidP="00A64094">
      <w:pPr>
        <w:spacing w:before="120"/>
        <w:jc w:val="left"/>
      </w:pPr>
      <w:r w:rsidRPr="00203D28">
        <w:t>2.3</w:t>
      </w:r>
      <w:r w:rsidRPr="00203D28">
        <w:tab/>
      </w:r>
      <w:bookmarkStart w:id="38" w:name="lt_pId062"/>
      <w:r w:rsidRPr="00203D28">
        <w:t>Le Secrétaire général remercie une fois encore l'Administration de la Roumanie pour son invitation et se dit confiant que la PP-22 sera couronnée de succès dans le cadre merveilleux de Bucarest.</w:t>
      </w:r>
      <w:bookmarkEnd w:id="38"/>
    </w:p>
    <w:p w14:paraId="66F145E9" w14:textId="77777777" w:rsidR="0079030C" w:rsidRPr="00E859E8" w:rsidRDefault="0079030C" w:rsidP="0079030C">
      <w:pPr>
        <w:pStyle w:val="Heading1"/>
      </w:pPr>
      <w:r w:rsidRPr="00E859E8">
        <w:br w:type="page"/>
      </w:r>
    </w:p>
    <w:p w14:paraId="54D4B3EF" w14:textId="083EA94B" w:rsidR="00203D28" w:rsidRPr="00E859E8" w:rsidRDefault="00203D28" w:rsidP="0079030C">
      <w:pPr>
        <w:pStyle w:val="Heading1"/>
      </w:pPr>
      <w:r w:rsidRPr="00E859E8">
        <w:lastRenderedPageBreak/>
        <w:t>3</w:t>
      </w:r>
      <w:r w:rsidRPr="00E859E8">
        <w:tab/>
      </w:r>
      <w:bookmarkStart w:id="39" w:name="lt_pId064"/>
      <w:bookmarkStart w:id="40" w:name="_Hlk56507072"/>
      <w:r w:rsidRPr="00E859E8">
        <w:t xml:space="preserve">Travaux préparatoires en vue du FMPT-21 (Document </w:t>
      </w:r>
      <w:hyperlink r:id="rId18" w:history="1">
        <w:r w:rsidRPr="00E859E8">
          <w:rPr>
            <w:rStyle w:val="Hyperlink"/>
            <w:bCs/>
          </w:rPr>
          <w:t>C20/5(Rév.1)</w:t>
        </w:r>
      </w:hyperlink>
      <w:r w:rsidRPr="00E859E8">
        <w:t>)</w:t>
      </w:r>
      <w:bookmarkEnd w:id="39"/>
    </w:p>
    <w:bookmarkEnd w:id="40"/>
    <w:p w14:paraId="7F07BB1A" w14:textId="77777777" w:rsidR="00203D28" w:rsidRPr="00203D28" w:rsidRDefault="00203D28" w:rsidP="00A64094">
      <w:pPr>
        <w:spacing w:before="120"/>
        <w:jc w:val="left"/>
      </w:pPr>
      <w:r w:rsidRPr="00203D28">
        <w:t>3.1</w:t>
      </w:r>
      <w:r w:rsidRPr="00203D28">
        <w:tab/>
      </w:r>
      <w:bookmarkStart w:id="41" w:name="lt_pId066"/>
      <w:r w:rsidRPr="00203D28">
        <w:t xml:space="preserve">Le représentant du secrétariat présente le Document C20/5(Rév.1), qui décrit l'état d'avancement du processus préparatoire en vue du Forum mondial des politiques de télécommunication/TIC de 2021 (FMPT-21) et contient un projet de calendrier pour l'élaboration du rapport du Secrétaire général au FMPT. </w:t>
      </w:r>
      <w:bookmarkStart w:id="42" w:name="lt_pId067"/>
      <w:bookmarkEnd w:id="41"/>
      <w:r w:rsidRPr="00203D28">
        <w:t xml:space="preserve">Il indique que dix projets d'avis au total sont examinés actuellement par le Groupe d'experts informel (GEI) et que les vues divergent quant au nombre de réunions préparatoires nécessaires avant </w:t>
      </w:r>
      <w:bookmarkStart w:id="43" w:name="lt_pId068"/>
      <w:bookmarkEnd w:id="42"/>
      <w:r w:rsidRPr="00203D28">
        <w:t>la tenue de la manifestation finale. Les participants à la consultation virtuelle sont invités à prendre note du rapport et à formuler des orientations sur les étapes à venir.</w:t>
      </w:r>
      <w:bookmarkEnd w:id="43"/>
    </w:p>
    <w:p w14:paraId="66A1C822" w14:textId="117F7971" w:rsidR="00203D28" w:rsidRPr="00203D28" w:rsidRDefault="00203D28" w:rsidP="00A64094">
      <w:pPr>
        <w:spacing w:before="120"/>
        <w:jc w:val="left"/>
      </w:pPr>
      <w:r w:rsidRPr="00203D28">
        <w:t>3.2</w:t>
      </w:r>
      <w:r w:rsidRPr="00203D28">
        <w:tab/>
      </w:r>
      <w:bookmarkStart w:id="44" w:name="lt_pId070"/>
      <w:r w:rsidRPr="00203D28">
        <w:t xml:space="preserve">Le Président du GEI-FMPT-21 déclare qu'un groupe de travail informel s'est vu confier la tâche importante de résoudre les questions restées en suspens concernant la terminologie. </w:t>
      </w:r>
      <w:bookmarkEnd w:id="44"/>
      <w:r w:rsidRPr="00203D28">
        <w:t xml:space="preserve">Rappelant que chaque FMPT n'adopte en général que quatre ou cinq avis, l'orateur dit que le total actuel de dix avis est excessif et qu'il doit être réduit. </w:t>
      </w:r>
      <w:bookmarkStart w:id="45" w:name="lt_pId072"/>
      <w:r w:rsidRPr="00203D28">
        <w:t xml:space="preserve">Malgré les difficultés que pose le travail en mode virtuel, le GEI-FMPT-21 s'engage à trouver des solutions dans le temps imparti. </w:t>
      </w:r>
      <w:bookmarkEnd w:id="45"/>
      <w:r w:rsidRPr="00203D28">
        <w:t>Toutefois, l'orateur suggère que les Conseillers décident d'abord à quel momen</w:t>
      </w:r>
      <w:r w:rsidR="00094ECD">
        <w:t>t et selon quelles modalités le </w:t>
      </w:r>
      <w:r w:rsidRPr="00203D28">
        <w:t>FMPT-21 aura lieu,</w:t>
      </w:r>
      <w:bookmarkStart w:id="46" w:name="lt_pId073"/>
      <w:r w:rsidRPr="00203D28">
        <w:t xml:space="preserve"> avant de procéder à l'examen de la procédure et du projet de calendrier pour le processus préparatoire, dans la mesure où le nombre de réunions préparatoires dépend du lieu, du format et des dates du FMPT. </w:t>
      </w:r>
      <w:bookmarkEnd w:id="46"/>
    </w:p>
    <w:p w14:paraId="6787AB92" w14:textId="77777777" w:rsidR="00203D28" w:rsidRPr="00203D28" w:rsidRDefault="00203D28" w:rsidP="00A64094">
      <w:pPr>
        <w:spacing w:before="120"/>
        <w:jc w:val="left"/>
      </w:pPr>
      <w:r w:rsidRPr="00203D28">
        <w:t>3.3</w:t>
      </w:r>
      <w:r w:rsidRPr="00203D28">
        <w:tab/>
      </w:r>
      <w:bookmarkStart w:id="47" w:name="lt_pId075"/>
      <w:r w:rsidRPr="00203D28">
        <w:t xml:space="preserve">Les Conseillers remercient le Président du GEI pour ses efforts. </w:t>
      </w:r>
      <w:bookmarkEnd w:id="47"/>
      <w:r w:rsidRPr="00203D28">
        <w:t xml:space="preserve">Néanmoins, notant que de nombreux travaux préparatoires restent en suspens et que plusieurs réunions du GEI-FMPT-21 sont toujours prévues, de nombreux Conseillers suggèrent de reporter le Forum. Certains suggèrent de le reporter à 2022, tandis que d'autres proposent de le repousser jusqu'en 2023, étant donné que le calendrier de réunions déjà prévues pour 2022 est dense. Un Conseiller suggère toutefois d'organiser le prochain FMPT juste avant la PP-22 afin de tirer parti de la présence des décideurs et de la charge de travail qui est habituellement moins lourde pendant la première semaine des Conférences de plénipotentiaires. </w:t>
      </w:r>
    </w:p>
    <w:p w14:paraId="5ACDFD78" w14:textId="2C67C118" w:rsidR="00203D28" w:rsidRPr="00203D28" w:rsidRDefault="00203D28" w:rsidP="00A64094">
      <w:pPr>
        <w:spacing w:before="120"/>
        <w:jc w:val="left"/>
      </w:pPr>
      <w:r w:rsidRPr="00203D28">
        <w:t>3.4</w:t>
      </w:r>
      <w:r w:rsidRPr="00203D28">
        <w:tab/>
      </w:r>
      <w:bookmarkStart w:id="48" w:name="lt_pId080"/>
      <w:r w:rsidRPr="00203D28">
        <w:t xml:space="preserve">D'autres Conseillers soutiennent qu'il serait particulièrement </w:t>
      </w:r>
      <w:r w:rsidR="00D419D2">
        <w:t>difficile d'organiser ne serait</w:t>
      </w:r>
      <w:r w:rsidR="00D419D2">
        <w:noBreakHyphen/>
      </w:r>
      <w:r w:rsidRPr="00203D28">
        <w:t xml:space="preserve">ce qu'un FMPT virtuel en 2021. </w:t>
      </w:r>
      <w:bookmarkStart w:id="49" w:name="lt_pId081"/>
      <w:bookmarkEnd w:id="48"/>
      <w:r w:rsidRPr="00203D28">
        <w:t>Néanmoins, certains Conseillers sont réticents à écarter cette option, même s'il faudrait pour cela limiter le nombre de réunions préparatoires et de projets d'avis, afin de simplifier le processus de sorte que l'on puisse adopter le total habituel de six avis.</w:t>
      </w:r>
      <w:bookmarkEnd w:id="49"/>
    </w:p>
    <w:p w14:paraId="2B81C0FB" w14:textId="77777777" w:rsidR="00203D28" w:rsidRPr="00203D28" w:rsidRDefault="00203D28" w:rsidP="00A64094">
      <w:pPr>
        <w:spacing w:before="120"/>
        <w:jc w:val="left"/>
      </w:pPr>
      <w:r w:rsidRPr="00203D28">
        <w:t>3.5</w:t>
      </w:r>
      <w:r w:rsidRPr="00203D28">
        <w:tab/>
      </w:r>
      <w:bookmarkStart w:id="50" w:name="lt_pId083"/>
      <w:r w:rsidRPr="00203D28">
        <w:t>De nombreux Conseillers se disent satisfaits du report du FMPT jusqu'en 2023, mais d'autres demandent que cette question soit étudiée dans le cadre d'un examen global de toutes les manifestations et activités au cours de la période de trois ans à venir.</w:t>
      </w:r>
      <w:bookmarkEnd w:id="50"/>
      <w:r w:rsidRPr="00203D28">
        <w:t xml:space="preserve"> </w:t>
      </w:r>
      <w:bookmarkStart w:id="51" w:name="lt_pId084"/>
      <w:r w:rsidRPr="00203D28">
        <w:t>Même une décision provisoire concernant le report du FMPT jusqu'en 2022, dans l'attente de la confirmation du Conseil, ne peut être adoptée de manière isolée.</w:t>
      </w:r>
      <w:bookmarkEnd w:id="51"/>
    </w:p>
    <w:p w14:paraId="2BD5359A" w14:textId="5A8FCB05" w:rsidR="00203D28" w:rsidRPr="00203D28" w:rsidRDefault="00203D28" w:rsidP="00A64094">
      <w:pPr>
        <w:spacing w:before="120"/>
        <w:jc w:val="left"/>
      </w:pPr>
      <w:r w:rsidRPr="00203D28">
        <w:t>3.6</w:t>
      </w:r>
      <w:r w:rsidRPr="00203D28">
        <w:tab/>
      </w:r>
      <w:bookmarkStart w:id="52" w:name="lt_pId086"/>
      <w:r w:rsidRPr="00203D28">
        <w:t>À cet égard, un Conseiller dit avoir adressé un courrier électronique au secrétariat à propos des solutions possibles concernant l'AMNT et dans lequel il demande au secrétariat de préparer un calendrier révisé des manifestations et des activités afin de faciliter l'examen, par les Conseillers, des dates prévues pour chaque manifestation.</w:t>
      </w:r>
      <w:bookmarkEnd w:id="52"/>
    </w:p>
    <w:p w14:paraId="2D76154F" w14:textId="7624781A" w:rsidR="00203D28" w:rsidRPr="00203D28" w:rsidRDefault="00203D28" w:rsidP="00A64094">
      <w:pPr>
        <w:spacing w:before="120"/>
        <w:jc w:val="left"/>
      </w:pPr>
      <w:r w:rsidRPr="00203D28">
        <w:t>3.7</w:t>
      </w:r>
      <w:r w:rsidRPr="00203D28">
        <w:tab/>
      </w:r>
      <w:bookmarkStart w:id="53" w:name="lt_pId088"/>
      <w:r w:rsidRPr="00203D28">
        <w:t xml:space="preserve">Un Conseiller note que la situation actuelle met à rude épreuve les ressources des États Membres et limite considérablement leur participation au processus préparatoire. </w:t>
      </w:r>
      <w:bookmarkStart w:id="54" w:name="lt_pId089"/>
      <w:bookmarkEnd w:id="53"/>
      <w:r w:rsidR="00A64094">
        <w:t>Certes, un </w:t>
      </w:r>
      <w:r w:rsidRPr="00203D28">
        <w:t>FMPT-21 virtuel et un processus préparatoire réduit pourraient alléger ces pressions, mais il serait judicieux d'envisager de suspendre le processus préparatoire si le FMPT-21 est reporté jusqu'en 2023.</w:t>
      </w:r>
      <w:bookmarkEnd w:id="54"/>
    </w:p>
    <w:p w14:paraId="261C52AA" w14:textId="77777777" w:rsidR="00203D28" w:rsidRPr="00203D28" w:rsidRDefault="00203D28" w:rsidP="00A64094">
      <w:pPr>
        <w:spacing w:before="120"/>
        <w:jc w:val="left"/>
      </w:pPr>
      <w:r w:rsidRPr="00203D28">
        <w:lastRenderedPageBreak/>
        <w:t>3.8</w:t>
      </w:r>
      <w:r w:rsidRPr="00203D28">
        <w:tab/>
      </w:r>
      <w:bookmarkStart w:id="55" w:name="lt_pId091"/>
      <w:r w:rsidRPr="00203D28">
        <w:t>Notant l'absence de consensus sur cette question, le Président déclare que, compte tenu des disponibilités des parties extérieures pour les points suivants de l'ordre du jour, le présent débat sera poursuivi à une</w:t>
      </w:r>
      <w:bookmarkEnd w:id="55"/>
      <w:r w:rsidRPr="00203D28">
        <w:t xml:space="preserve"> séance ultérieure de la VCC-2.</w:t>
      </w:r>
    </w:p>
    <w:p w14:paraId="279C0ADE" w14:textId="3E7BB048" w:rsidR="00203D28" w:rsidRPr="00E859E8" w:rsidRDefault="00203D28" w:rsidP="00283211">
      <w:pPr>
        <w:pStyle w:val="Heading1"/>
      </w:pPr>
      <w:r w:rsidRPr="00E859E8">
        <w:t>4</w:t>
      </w:r>
      <w:r w:rsidRPr="00E859E8">
        <w:tab/>
      </w:r>
      <w:bookmarkStart w:id="56" w:name="lt_pId093"/>
      <w:r w:rsidRPr="00E859E8">
        <w:t>Comptes vérifiés: Rapport de gestion financière vérifié pour 2019 (Document</w:t>
      </w:r>
      <w:r w:rsidR="00283211" w:rsidRPr="00E859E8">
        <w:t> </w:t>
      </w:r>
      <w:hyperlink r:id="rId19" w:history="1">
        <w:r w:rsidRPr="00E859E8">
          <w:rPr>
            <w:rStyle w:val="Hyperlink"/>
          </w:rPr>
          <w:t>C20/42(Rév.1)</w:t>
        </w:r>
      </w:hyperlink>
      <w:r w:rsidRPr="00E859E8">
        <w:t>)</w:t>
      </w:r>
      <w:bookmarkEnd w:id="56"/>
    </w:p>
    <w:p w14:paraId="2859A896" w14:textId="77777777" w:rsidR="00203D28" w:rsidRPr="00203D28" w:rsidRDefault="00203D28" w:rsidP="00A64094">
      <w:pPr>
        <w:spacing w:before="120"/>
        <w:jc w:val="left"/>
      </w:pPr>
      <w:r w:rsidRPr="00203D28">
        <w:t>4.1</w:t>
      </w:r>
      <w:r w:rsidRPr="00203D28">
        <w:tab/>
      </w:r>
      <w:bookmarkStart w:id="57" w:name="lt_pId095"/>
      <w:r w:rsidRPr="00203D28">
        <w:t xml:space="preserve">La représentante du secrétariat présente le Document C20/42(Rév.1) et dit qu'il contient le rapport de gestion financière pour l'exercice 2019. </w:t>
      </w:r>
      <w:bookmarkStart w:id="58" w:name="lt_pId096"/>
      <w:bookmarkEnd w:id="57"/>
      <w:r w:rsidRPr="00203D28">
        <w:t>Ce document présente les comptes vérifiés du budget, les comptes vérifiés pour les projets de coopération technique, les contributions volontaires et la Caisse d'assurance du personnel, ainsi que les comptes vérifiés relatifs à la manifestation ITU Telecom World 2019.</w:t>
      </w:r>
      <w:bookmarkEnd w:id="58"/>
      <w:r w:rsidRPr="00203D28">
        <w:t xml:space="preserve"> </w:t>
      </w:r>
      <w:bookmarkStart w:id="59" w:name="lt_pId097"/>
      <w:r w:rsidRPr="00203D28">
        <w:t>Les principaux indicateurs démontrent que la situation financière immédiate de l'Union est saine.</w:t>
      </w:r>
      <w:bookmarkEnd w:id="59"/>
    </w:p>
    <w:p w14:paraId="12A55657" w14:textId="148414D8" w:rsidR="00203D28" w:rsidRPr="00203D28" w:rsidRDefault="00203D28" w:rsidP="00A64094">
      <w:pPr>
        <w:spacing w:before="120"/>
        <w:jc w:val="left"/>
      </w:pPr>
      <w:r w:rsidRPr="00203D28">
        <w:t>4.2</w:t>
      </w:r>
      <w:r w:rsidRPr="00203D28">
        <w:tab/>
      </w:r>
      <w:bookmarkStart w:id="60" w:name="lt_pId099"/>
      <w:r w:rsidRPr="00203D28">
        <w:t>En réponse aux commentaires formulés par des Conseillers concernant l'affectation des économies, le Chef du Département de la gestion des ressources financières (FRMD) indique que l'excédent découlant de la mise en œuvre du budget de 2019 s'élève à 4,78 millions CHF, dont 3,18 millions ont été affectés conformément aux décisions adoptées par le Conseil à sa session de 2019 et à la Décision 5 (Rév. Dubaï, 2018) de la PP, comme indiqué au §</w:t>
      </w:r>
      <w:r w:rsidR="00283211" w:rsidRPr="00E859E8">
        <w:t xml:space="preserve"> </w:t>
      </w:r>
      <w:r w:rsidRPr="00203D28">
        <w:t>23 du Document C20/42(Rév.1).</w:t>
      </w:r>
      <w:bookmarkEnd w:id="60"/>
      <w:r w:rsidRPr="00203D28">
        <w:rPr>
          <w:i/>
        </w:rPr>
        <w:t xml:space="preserve"> </w:t>
      </w:r>
      <w:bookmarkStart w:id="61" w:name="lt_pId100"/>
      <w:r w:rsidRPr="00203D28">
        <w:rPr>
          <w:iCs/>
        </w:rPr>
        <w:t xml:space="preserve">Les attributions proposées de l'excédent restant sont précisées au </w:t>
      </w:r>
      <w:r w:rsidRPr="00203D28">
        <w:t>§</w:t>
      </w:r>
      <w:r w:rsidR="00283211" w:rsidRPr="00E859E8">
        <w:t xml:space="preserve"> </w:t>
      </w:r>
      <w:r w:rsidRPr="00203D28">
        <w:t>24 du document.</w:t>
      </w:r>
      <w:bookmarkEnd w:id="61"/>
      <w:r w:rsidRPr="00203D28">
        <w:t xml:space="preserve"> </w:t>
      </w:r>
      <w:bookmarkStart w:id="62" w:name="lt_pId101"/>
      <w:r w:rsidRPr="00203D28">
        <w:t xml:space="preserve">Un montant de 1,42 million CHF provenant de l'excédent précédent a été transféré vers le nouveau Fonds pour le registre des risques en 2019 et il est prévu de verser sur ce Fonds un montant de l'ordre de 3,6 millions provenant de l'excédent pour l'exercice financier 2020. </w:t>
      </w:r>
      <w:bookmarkEnd w:id="62"/>
    </w:p>
    <w:p w14:paraId="6BEE04E5" w14:textId="4AE9AC80" w:rsidR="00203D28" w:rsidRPr="00203D28" w:rsidRDefault="00203D28" w:rsidP="00A64094">
      <w:pPr>
        <w:spacing w:before="120"/>
        <w:jc w:val="left"/>
      </w:pPr>
      <w:r w:rsidRPr="00203D28">
        <w:t>4.3</w:t>
      </w:r>
      <w:r w:rsidRPr="00203D28">
        <w:tab/>
      </w:r>
      <w:bookmarkStart w:id="63" w:name="lt_pId103"/>
      <w:r w:rsidRPr="00203D28">
        <w:t>Le Président considère que les Conseillers souhaitent conclure que, compte tenu du caractère urgent de ces questions, une consultation par correspondance des États Membres du Conseil sera organisée concernant le rapport de gestion financière sur les comptes vérifiés et l'approbation du projet de Résolution reproduit dans l'Annexe A.</w:t>
      </w:r>
      <w:bookmarkEnd w:id="63"/>
    </w:p>
    <w:p w14:paraId="253EB55C" w14:textId="77777777" w:rsidR="00203D28" w:rsidRPr="00203D28" w:rsidRDefault="00203D28" w:rsidP="00A64094">
      <w:pPr>
        <w:spacing w:before="120"/>
        <w:jc w:val="left"/>
      </w:pPr>
      <w:r w:rsidRPr="00203D28">
        <w:t>4.4</w:t>
      </w:r>
      <w:r w:rsidRPr="00203D28">
        <w:tab/>
        <w:t xml:space="preserve">Il en est ainsi </w:t>
      </w:r>
      <w:r w:rsidRPr="00203D28">
        <w:rPr>
          <w:b/>
          <w:bCs/>
        </w:rPr>
        <w:t>conclu</w:t>
      </w:r>
      <w:r w:rsidRPr="00203D28">
        <w:t>.</w:t>
      </w:r>
    </w:p>
    <w:p w14:paraId="71C0611C" w14:textId="77777777" w:rsidR="00203D28" w:rsidRPr="00E859E8" w:rsidRDefault="00203D28" w:rsidP="00283211">
      <w:pPr>
        <w:pStyle w:val="Heading1"/>
      </w:pPr>
      <w:r w:rsidRPr="00E859E8">
        <w:t>5</w:t>
      </w:r>
      <w:r w:rsidRPr="00E859E8">
        <w:tab/>
      </w:r>
      <w:bookmarkStart w:id="64" w:name="lt_pId107"/>
      <w:r w:rsidRPr="00E859E8">
        <w:t xml:space="preserve">Rapport du Vérificateur extérieur des comptes: Comptes de l'Union pour l'exercice 2019 (Document </w:t>
      </w:r>
      <w:hyperlink r:id="rId20" w:history="1">
        <w:r w:rsidRPr="00E859E8">
          <w:rPr>
            <w:rStyle w:val="Hyperlink"/>
          </w:rPr>
          <w:t>C20/40</w:t>
        </w:r>
      </w:hyperlink>
      <w:r w:rsidRPr="00E859E8">
        <w:t>)</w:t>
      </w:r>
      <w:bookmarkEnd w:id="64"/>
    </w:p>
    <w:p w14:paraId="7C5A7571" w14:textId="06CFB0AA" w:rsidR="00203D28" w:rsidRPr="00203D28" w:rsidRDefault="00203D28" w:rsidP="00A64094">
      <w:pPr>
        <w:spacing w:before="120"/>
        <w:jc w:val="left"/>
      </w:pPr>
      <w:r w:rsidRPr="00203D28">
        <w:t>5.1</w:t>
      </w:r>
      <w:r w:rsidRPr="00203D28">
        <w:tab/>
      </w:r>
      <w:bookmarkStart w:id="65" w:name="lt_pId109"/>
      <w:r w:rsidRPr="00203D28">
        <w:t>Le Vérificateur extérieur des comptes présente son rapport (Document C20/40) portant sur la vérification des états financiers pour l'exercice 2019 et note que l'équipe de direction de l'UIT a donné suite sans délai aux diverses recommandations et suggestions des années précédentes.</w:t>
      </w:r>
      <w:bookmarkEnd w:id="65"/>
      <w:r w:rsidRPr="00203D28">
        <w:t xml:space="preserve"> </w:t>
      </w:r>
      <w:bookmarkStart w:id="66" w:name="lt_pId110"/>
      <w:r w:rsidRPr="00203D28">
        <w:t>Après avoir présenté les principales conclusions, l'orateur indique qu'une opinion avec réserve a été maintenue</w:t>
      </w:r>
      <w:bookmarkStart w:id="67" w:name="lt_pId111"/>
      <w:bookmarkEnd w:id="66"/>
      <w:r w:rsidRPr="00203D28">
        <w:t>. Il est pris acte des réformes et des améliorations en cours, mais des mesures supplémentaires s'imposent, notamment en ce qui concerne les contrôles internes, la passation de marchés, la gestion des ressources humaines et les passifs liés à l'assurance maladie après la cessation de service (ASHI).</w:t>
      </w:r>
      <w:bookmarkEnd w:id="67"/>
      <w:r w:rsidRPr="00203D28">
        <w:t xml:space="preserve"> </w:t>
      </w:r>
      <w:bookmarkStart w:id="68" w:name="lt_pId112"/>
      <w:r w:rsidRPr="00203D28">
        <w:t xml:space="preserve">L'orateur remercie le secrétariat pour son précieux concours et suggère d'envisager de prendre en considération les mesures </w:t>
      </w:r>
      <w:r w:rsidR="000865C1">
        <w:t>adoptées pendant la pandémie de </w:t>
      </w:r>
      <w:r w:rsidRPr="00203D28">
        <w:t>COVID-19, à l'instar du travail à distance, lors de la préparation des futures prévisions budgétaires.</w:t>
      </w:r>
      <w:bookmarkEnd w:id="68"/>
      <w:r w:rsidRPr="00203D28">
        <w:t xml:space="preserve"> </w:t>
      </w:r>
    </w:p>
    <w:p w14:paraId="35585D13" w14:textId="0130F6AF" w:rsidR="00203D28" w:rsidRPr="00203D28" w:rsidRDefault="00203D28" w:rsidP="00A64094">
      <w:pPr>
        <w:spacing w:before="120"/>
        <w:jc w:val="left"/>
      </w:pPr>
      <w:r w:rsidRPr="00203D28">
        <w:t>5.2</w:t>
      </w:r>
      <w:r w:rsidRPr="00203D28">
        <w:tab/>
        <w:t xml:space="preserve">Les Conseillers se félicitent du rapport. Un Conseiller souscrit à la nécessité identifiée d'évaluer, moyennant une étude actuarielle exhaustive, </w:t>
      </w:r>
      <w:bookmarkStart w:id="69" w:name="lt_pId115"/>
      <w:r w:rsidRPr="00203D28">
        <w:t>les incidences du sous-financement résultant des passifs liés à l'ASHI sur la santé financière de l'UIT, et considère que la proposition visant à verser une partie de la réserve du Fonds ASHI sur le nouveau Fonds pour le registre des risques n'est plus réaliste.</w:t>
      </w:r>
      <w:bookmarkEnd w:id="69"/>
      <w:r w:rsidRPr="00203D28">
        <w:t xml:space="preserve"> Il appuie sans réserve la recommandation </w:t>
      </w:r>
      <w:r w:rsidR="00283211" w:rsidRPr="00E859E8">
        <w:t>N°</w:t>
      </w:r>
      <w:r w:rsidRPr="00203D28">
        <w:t xml:space="preserve"> 8 </w:t>
      </w:r>
      <w:bookmarkStart w:id="70" w:name="lt_pId116"/>
      <w:r w:rsidRPr="00203D28">
        <w:t xml:space="preserve">relative au cas de fraude </w:t>
      </w:r>
      <w:r w:rsidRPr="00203D28">
        <w:lastRenderedPageBreak/>
        <w:t>et suggère que l'UIT envisage de faire appel au Bureau des services de contrôle interne (BSCI) de l'ONU afin de mettre en œuvre les recommandations formulées.</w:t>
      </w:r>
      <w:bookmarkStart w:id="71" w:name="lt_pId117"/>
      <w:bookmarkEnd w:id="70"/>
      <w:r w:rsidRPr="00203D28">
        <w:t xml:space="preserve"> Une autre Conseillère se dit déçue qu'une opinion avec réserve ait été émise pour la deuxièm</w:t>
      </w:r>
      <w:r w:rsidR="00A64094">
        <w:t>e année consécutive, et demande </w:t>
      </w:r>
      <w:r w:rsidRPr="00203D28">
        <w:t>si des mesures sont prises pour résoudre les problèmes liés aux contrôles internes et à la passation de marchés, et éviter qu'une autre opinion avec réserve ne soit émise pour l'exercice financier 2020.</w:t>
      </w:r>
      <w:bookmarkEnd w:id="71"/>
    </w:p>
    <w:p w14:paraId="19F76078" w14:textId="0C89AB42" w:rsidR="00203D28" w:rsidRPr="00203D28" w:rsidRDefault="00203D28" w:rsidP="00A64094">
      <w:pPr>
        <w:spacing w:before="120"/>
        <w:jc w:val="left"/>
      </w:pPr>
      <w:r w:rsidRPr="00203D28">
        <w:t>5.3</w:t>
      </w:r>
      <w:r w:rsidRPr="00203D28">
        <w:tab/>
      </w:r>
      <w:bookmarkStart w:id="72" w:name="lt_pId119"/>
      <w:r w:rsidRPr="00203D28">
        <w:t>En réponse aux commentaires formulés, le Conseiller juridique de l'UIT explique que le rapport confidentiel mentionné dans le rapport du Vérificateur extérieur des comptes a été rédigé après la détection du cas de fraude et qu'il sert de fondement à une action disciplinaire à l'encontre de l'auteur de la fraude.</w:t>
      </w:r>
      <w:bookmarkEnd w:id="72"/>
      <w:r w:rsidRPr="00203D28">
        <w:t xml:space="preserve"> </w:t>
      </w:r>
      <w:bookmarkStart w:id="73" w:name="lt_pId120"/>
      <w:r w:rsidRPr="00203D28">
        <w:t xml:space="preserve">Un second document, plus exhaustif, a été rédigé sur la base du premier rapport, afin de constater des défaillances d'ordre individuel et systémique. </w:t>
      </w:r>
      <w:bookmarkStart w:id="74" w:name="lt_pId121"/>
      <w:bookmarkEnd w:id="73"/>
      <w:r w:rsidRPr="00203D28">
        <w:t xml:space="preserve">Les mesures envisagées ou mises en </w:t>
      </w:r>
      <w:r w:rsidR="00283211" w:rsidRPr="00E859E8">
        <w:t>œuvre</w:t>
      </w:r>
      <w:r w:rsidRPr="00203D28">
        <w:t xml:space="preserve"> par l'équipe chargée des contrôles internes visent à remédier aux défaillances systémiques. </w:t>
      </w:r>
      <w:bookmarkStart w:id="75" w:name="lt_pId122"/>
      <w:bookmarkEnd w:id="74"/>
      <w:r w:rsidRPr="00203D28">
        <w:t xml:space="preserve">Pour ce qui est des défaillances individuelles, des procédures disciplinaires sont en cours et des sanctions seront imposées prochainement. </w:t>
      </w:r>
      <w:bookmarkStart w:id="76" w:name="lt_pId123"/>
      <w:bookmarkEnd w:id="75"/>
      <w:r w:rsidRPr="00203D28">
        <w:t xml:space="preserve">Bien qu'il se soit montré enclin à coopérer avec l'UIT, le BSCI ne dispose pas de suffisamment de ressources pour fournir toute l'assistance nécessaire. </w:t>
      </w:r>
      <w:bookmarkEnd w:id="76"/>
    </w:p>
    <w:p w14:paraId="423CA8C5" w14:textId="7AA2EC43" w:rsidR="00203D28" w:rsidRPr="00203D28" w:rsidRDefault="00203D28" w:rsidP="00A64094">
      <w:pPr>
        <w:spacing w:before="120"/>
        <w:jc w:val="left"/>
      </w:pPr>
      <w:r w:rsidRPr="00203D28">
        <w:t>5.4</w:t>
      </w:r>
      <w:r w:rsidRPr="00203D28">
        <w:tab/>
      </w:r>
      <w:bookmarkStart w:id="77" w:name="lt_pId125"/>
      <w:r w:rsidRPr="00203D28">
        <w:t xml:space="preserve">Toujours en réponse aux commentaires formulés, le Chef du Département FRMD déclare que l'UIT a participé activement à un Groupe de travail des Nations Unies sur l'ASHI chargé d'examiner le financement à long terme, lequel recommande </w:t>
      </w:r>
      <w:r w:rsidR="00A64094">
        <w:t>d'appliquer une augmentation de </w:t>
      </w:r>
      <w:r w:rsidRPr="00203D28">
        <w:t>5,5% aux budgets futurs pour le recrutement de nouveau personnel.</w:t>
      </w:r>
      <w:bookmarkEnd w:id="77"/>
      <w:r w:rsidRPr="00203D28">
        <w:t xml:space="preserve"> </w:t>
      </w:r>
      <w:bookmarkStart w:id="78" w:name="lt_pId126"/>
      <w:r w:rsidRPr="00203D28">
        <w:t xml:space="preserve">Dans le cadre des efforts déployés pour alimenter le Fonds ASHI, l'UIT appliquera cette recommandation à partir de janvier 2022 si elle est approuvée par l'Assemblée générale des Nations Unies. </w:t>
      </w:r>
      <w:bookmarkEnd w:id="78"/>
      <w:r w:rsidRPr="00203D28">
        <w:t xml:space="preserve">Après avoir mis en évidence différents facteurs contribuant à la dégradation continue du Fonds ASHI et les difficultés afférentes aux prévisions actuarielles, l'orateur indique que l'Union mènera une étude actuarielle approfondie, conformément aux opinions et aux recommandations formulées par les experts. </w:t>
      </w:r>
      <w:bookmarkStart w:id="79" w:name="lt_pId128"/>
      <w:r w:rsidRPr="00203D28">
        <w:t>Afin d'atténuer les incidences du déficit lié aux passifs de l'ASHI, l'UIT a intégré l'Assurance mutuelle contre la maladie et les accidents du personnel des Nations Unies (UNSMIS) en janvier 2020, après consultation des retraités, du personnel et de la direction.</w:t>
      </w:r>
      <w:bookmarkEnd w:id="79"/>
    </w:p>
    <w:p w14:paraId="2C236ADB" w14:textId="77777777" w:rsidR="00203D28" w:rsidRPr="00203D28" w:rsidRDefault="00203D28" w:rsidP="00A64094">
      <w:pPr>
        <w:spacing w:before="120"/>
        <w:jc w:val="left"/>
      </w:pPr>
      <w:r w:rsidRPr="00203D28">
        <w:t>5.5</w:t>
      </w:r>
      <w:r w:rsidRPr="00203D28">
        <w:tab/>
      </w:r>
      <w:bookmarkStart w:id="80" w:name="lt_pId130"/>
      <w:r w:rsidRPr="00203D28">
        <w:t>En réponse aux commentaires formulés, le Vérificateur extérieur des comptes dit que des progrès ont été accomplis concernant toutes les recommandations restées en suspens et que leur mise en œuvre nécessite simplement plus de temps.</w:t>
      </w:r>
      <w:bookmarkEnd w:id="80"/>
      <w:r w:rsidRPr="00203D28">
        <w:t xml:space="preserve"> </w:t>
      </w:r>
      <w:bookmarkStart w:id="81" w:name="lt_pId131"/>
      <w:r w:rsidRPr="00203D28">
        <w:t xml:space="preserve">Son équipe surveille actuellement le processus de mise en œuvre. </w:t>
      </w:r>
      <w:bookmarkStart w:id="82" w:name="lt_pId132"/>
      <w:bookmarkEnd w:id="81"/>
      <w:r w:rsidRPr="00203D28">
        <w:t xml:space="preserve">Tout problème grave sera mis en évidence dans le rapport du Vérificateur extérieur des comptes et, si un problème s'avère alarmant, celui-ci sera reflété dans la certification annuelle. </w:t>
      </w:r>
      <w:bookmarkStart w:id="83" w:name="lt_pId133"/>
      <w:bookmarkEnd w:id="82"/>
      <w:r w:rsidRPr="00203D28">
        <w:t xml:space="preserve">En ce qui concerne la certification des états financiers pour 2020, des améliorations ont été réalisées et des efforts sont déployés actuellement pour résoudre les principaux problèmes. </w:t>
      </w:r>
      <w:bookmarkEnd w:id="83"/>
    </w:p>
    <w:p w14:paraId="65C70C81" w14:textId="77777777" w:rsidR="00203D28" w:rsidRPr="00203D28" w:rsidRDefault="00203D28" w:rsidP="00A64094">
      <w:pPr>
        <w:spacing w:before="120"/>
        <w:jc w:val="left"/>
      </w:pPr>
      <w:r w:rsidRPr="00203D28">
        <w:t>5.6</w:t>
      </w:r>
      <w:r w:rsidRPr="00203D28">
        <w:tab/>
      </w:r>
      <w:bookmarkStart w:id="84" w:name="lt_pId135"/>
      <w:r w:rsidRPr="00203D28">
        <w:t>Le Président considère que les Conseillers souhaitent conclure que, compte tenu du caractère urgent de cette question, une consultation par correspondance des États Membres du Conseil sera organisée afin d'approuver les comptes tels que vérifiés dans le Document C20/40.</w:t>
      </w:r>
      <w:bookmarkEnd w:id="84"/>
      <w:r w:rsidRPr="00203D28">
        <w:t xml:space="preserve"> </w:t>
      </w:r>
    </w:p>
    <w:p w14:paraId="20378C81" w14:textId="77777777" w:rsidR="00203D28" w:rsidRPr="00203D28" w:rsidRDefault="00203D28" w:rsidP="00A64094">
      <w:pPr>
        <w:spacing w:before="120"/>
        <w:jc w:val="left"/>
      </w:pPr>
      <w:r w:rsidRPr="00203D28">
        <w:t>5.7</w:t>
      </w:r>
      <w:r w:rsidRPr="00203D28">
        <w:tab/>
        <w:t xml:space="preserve">Il en est ainsi </w:t>
      </w:r>
      <w:r w:rsidRPr="00203D28">
        <w:rPr>
          <w:b/>
          <w:bCs/>
        </w:rPr>
        <w:t>conclu</w:t>
      </w:r>
      <w:r w:rsidRPr="00203D28">
        <w:t xml:space="preserve">. </w:t>
      </w:r>
    </w:p>
    <w:p w14:paraId="3851E126" w14:textId="77777777" w:rsidR="000865C1" w:rsidRDefault="000865C1" w:rsidP="00283211">
      <w:pPr>
        <w:pStyle w:val="Heading1"/>
      </w:pPr>
      <w:r>
        <w:br w:type="page"/>
      </w:r>
    </w:p>
    <w:p w14:paraId="0E15E9F6" w14:textId="1F7721A1" w:rsidR="00203D28" w:rsidRPr="00E859E8" w:rsidRDefault="00203D28" w:rsidP="00283211">
      <w:pPr>
        <w:pStyle w:val="Heading1"/>
      </w:pPr>
      <w:r w:rsidRPr="00E859E8">
        <w:lastRenderedPageBreak/>
        <w:t>6</w:t>
      </w:r>
      <w:r w:rsidRPr="00E859E8">
        <w:tab/>
      </w:r>
      <w:bookmarkStart w:id="85" w:name="lt_pId139"/>
      <w:r w:rsidRPr="00E859E8">
        <w:t xml:space="preserve">Rapport du Comité consultatif indépendant pour les questions de gestion (CCIG) (Document </w:t>
      </w:r>
      <w:hyperlink r:id="rId21" w:history="1">
        <w:r w:rsidRPr="00E859E8">
          <w:rPr>
            <w:rStyle w:val="Hyperlink"/>
          </w:rPr>
          <w:t>C20/22 (Rév.1)</w:t>
        </w:r>
      </w:hyperlink>
      <w:r w:rsidRPr="00E859E8">
        <w:t>)</w:t>
      </w:r>
      <w:bookmarkEnd w:id="85"/>
    </w:p>
    <w:p w14:paraId="79BD4593" w14:textId="46C803B7" w:rsidR="00203D28" w:rsidRPr="00203D28" w:rsidRDefault="00203D28" w:rsidP="00A64094">
      <w:pPr>
        <w:spacing w:before="120"/>
        <w:jc w:val="left"/>
      </w:pPr>
      <w:r w:rsidRPr="00203D28">
        <w:t>6.1</w:t>
      </w:r>
      <w:r w:rsidRPr="00203D28">
        <w:tab/>
      </w:r>
      <w:bookmarkStart w:id="86" w:name="lt_pId141"/>
      <w:r w:rsidRPr="00203D28">
        <w:t>Un membre du CCIG présente, au nom du Présid</w:t>
      </w:r>
      <w:r w:rsidR="00A53527">
        <w:t>ent du CCIG, le Document C20/22</w:t>
      </w:r>
      <w:r w:rsidRPr="00203D28">
        <w:t xml:space="preserve">(Rév.1), dans lequel figure le neuvième rapport annuel du CCIG, qui rend compte des vues du Comité sur un certain nombre de sujets, notamment les contrôles et les processus internes, l'ASHI, le projet de construction des locaux du siège et la désignation du nouveau Vérificateur extérieur des comptes. </w:t>
      </w:r>
      <w:bookmarkStart w:id="87" w:name="lt_pId142"/>
      <w:bookmarkEnd w:id="86"/>
      <w:r w:rsidRPr="00203D28">
        <w:t xml:space="preserve">Trois recommandations officielles ont été formulées concernant le renforcement de l'Unité de l'audit interne, le renforcement du système ERP du Département HRMD, et la mise en œuvre des recommandations restées en suspens. </w:t>
      </w:r>
      <w:bookmarkStart w:id="88" w:name="lt_pId143"/>
      <w:bookmarkEnd w:id="87"/>
      <w:r w:rsidRPr="00203D28">
        <w:t>L'orateur remercie le Vérificateur extérieur des comptes, le Secrétaire général et les différentes unités du Secrétariat général pour leur pleine coopération, ainsi que la Directrice du BDT pour son engagement sans équivoque et la stratégie déployée en matière de suivi de la mise en œuvre</w:t>
      </w:r>
      <w:bookmarkEnd w:id="88"/>
      <w:r w:rsidRPr="00203D28">
        <w:t xml:space="preserve">. </w:t>
      </w:r>
    </w:p>
    <w:p w14:paraId="6D2315FB" w14:textId="77777777" w:rsidR="00203D28" w:rsidRPr="00203D28" w:rsidRDefault="00203D28" w:rsidP="00A64094">
      <w:pPr>
        <w:spacing w:before="120"/>
        <w:jc w:val="left"/>
      </w:pPr>
      <w:r w:rsidRPr="00203D28">
        <w:t>6.2</w:t>
      </w:r>
      <w:r w:rsidRPr="00203D28">
        <w:tab/>
      </w:r>
      <w:bookmarkStart w:id="89" w:name="lt_pId145"/>
      <w:r w:rsidRPr="00203D28">
        <w:t>Le Président remercie les membres du CCIG pour leurs travaux.</w:t>
      </w:r>
      <w:bookmarkEnd w:id="89"/>
      <w:r w:rsidRPr="00203D28">
        <w:t xml:space="preserve"> </w:t>
      </w:r>
    </w:p>
    <w:p w14:paraId="760F2881" w14:textId="77777777" w:rsidR="00203D28" w:rsidRPr="00203D28" w:rsidRDefault="00203D28" w:rsidP="00A64094">
      <w:pPr>
        <w:spacing w:before="120"/>
        <w:jc w:val="left"/>
      </w:pPr>
      <w:r w:rsidRPr="00203D28">
        <w:t>6.3</w:t>
      </w:r>
      <w:r w:rsidRPr="00203D28">
        <w:tab/>
      </w:r>
      <w:bookmarkStart w:id="90" w:name="lt_pId147"/>
      <w:r w:rsidRPr="00203D28">
        <w:t>Un Conseiller se dit inquiet du nombre de recommandations du CCIG qui sont encore en cours de mise en œuvre</w:t>
      </w:r>
      <w:bookmarkStart w:id="91" w:name="lt_pId148"/>
      <w:bookmarkEnd w:id="90"/>
      <w:r w:rsidRPr="00203D28">
        <w:t xml:space="preserve">. Un autre Conseiller attire l'attention sur le manque de ressources humaines au sein de l'Unité de l'audit interne, tel qu'indiqué dans le rapport du CCIG. </w:t>
      </w:r>
      <w:bookmarkEnd w:id="91"/>
    </w:p>
    <w:p w14:paraId="3E91D37A" w14:textId="1D47A0F8" w:rsidR="00203D28" w:rsidRPr="00203D28" w:rsidRDefault="00203D28" w:rsidP="00A64094">
      <w:pPr>
        <w:spacing w:before="120"/>
        <w:jc w:val="left"/>
      </w:pPr>
      <w:r w:rsidRPr="00203D28">
        <w:t>6.4</w:t>
      </w:r>
      <w:r w:rsidRPr="00203D28">
        <w:tab/>
      </w:r>
      <w:bookmarkStart w:id="92" w:name="lt_pId150"/>
      <w:r w:rsidRPr="00203D28">
        <w:t>Le Président considère que les Conseillers souhaitent conclure que, compte tenu du caractère urgent de ces questions, une consultation par correspondance des États Membres du Conseil sera organisée afin d'approuver le rapport du CCIG ainsi que les recommandations pour suite à donner par le secrétariat.</w:t>
      </w:r>
      <w:bookmarkEnd w:id="92"/>
    </w:p>
    <w:p w14:paraId="7B6AB779" w14:textId="77777777" w:rsidR="00203D28" w:rsidRPr="00203D28" w:rsidRDefault="00203D28" w:rsidP="00A64094">
      <w:pPr>
        <w:spacing w:before="120"/>
        <w:jc w:val="left"/>
        <w:rPr>
          <w:b/>
        </w:rPr>
      </w:pPr>
      <w:r w:rsidRPr="00203D28">
        <w:t>6.5</w:t>
      </w:r>
      <w:r w:rsidRPr="00203D28">
        <w:tab/>
        <w:t xml:space="preserve">Il en est ainsi </w:t>
      </w:r>
      <w:r w:rsidRPr="00203D28">
        <w:rPr>
          <w:b/>
          <w:bCs/>
        </w:rPr>
        <w:t>conclu</w:t>
      </w:r>
      <w:r w:rsidRPr="00203D28">
        <w:t>.</w:t>
      </w:r>
    </w:p>
    <w:p w14:paraId="480D9A16" w14:textId="2230F2CA" w:rsidR="00203D28" w:rsidRPr="00E859E8" w:rsidRDefault="00203D28" w:rsidP="00283211">
      <w:pPr>
        <w:pStyle w:val="Heading1"/>
      </w:pPr>
      <w:r w:rsidRPr="00E859E8">
        <w:t>7</w:t>
      </w:r>
      <w:r w:rsidRPr="00E859E8">
        <w:tab/>
      </w:r>
      <w:bookmarkStart w:id="93" w:name="lt_pId154"/>
      <w:r w:rsidRPr="00E859E8">
        <w:t>Rapport du Groupe de travail sur les contrôles internes (Document</w:t>
      </w:r>
      <w:r w:rsidR="00283211" w:rsidRPr="00E859E8">
        <w:t> </w:t>
      </w:r>
      <w:hyperlink r:id="rId22" w:history="1">
        <w:r w:rsidRPr="00E859E8">
          <w:rPr>
            <w:rStyle w:val="Hyperlink"/>
          </w:rPr>
          <w:t>C20/63(Rév.1)</w:t>
        </w:r>
      </w:hyperlink>
      <w:r w:rsidRPr="00E859E8">
        <w:t>)</w:t>
      </w:r>
      <w:bookmarkEnd w:id="93"/>
    </w:p>
    <w:p w14:paraId="4CDD2505" w14:textId="77777777" w:rsidR="00203D28" w:rsidRPr="00203D28" w:rsidRDefault="00203D28" w:rsidP="00A64094">
      <w:pPr>
        <w:spacing w:before="120"/>
        <w:jc w:val="left"/>
      </w:pPr>
      <w:r w:rsidRPr="00203D28">
        <w:t>7.1</w:t>
      </w:r>
      <w:r w:rsidRPr="00203D28">
        <w:tab/>
      </w:r>
      <w:bookmarkStart w:id="94" w:name="lt_pId156"/>
      <w:r w:rsidRPr="00203D28">
        <w:t xml:space="preserve">La Directrice du BDT présente le rapport du Groupe de travail sur les contrôles internes (Document C20/63(Rév.1)) et dit qu'il donne un aperçu des mesures prises par le Groupe de travail à ce jour et des mesures en cours de mise en œuvre. </w:t>
      </w:r>
      <w:bookmarkStart w:id="95" w:name="lt_pId157"/>
      <w:bookmarkEnd w:id="94"/>
      <w:r w:rsidRPr="00203D28">
        <w:t xml:space="preserve">Le tableau de bord de la conformité mis au point afin d'évaluer les risques inhérents et les risques résiduels ainsi que l'efficacité des mesures d'atténuation </w:t>
      </w:r>
      <w:bookmarkEnd w:id="95"/>
      <w:r w:rsidRPr="00203D28">
        <w:t>sera utilisé comme outil institutionnel par l'UIT. Elle remercie le CCIG et le Vérificateur extérieur des comptes d'avoir formulé des observations en retour et des recommandations constructives, et donne l'assurance aux Conseillers que l'UI</w:t>
      </w:r>
      <w:bookmarkStart w:id="96" w:name="lt_pId158"/>
      <w:r w:rsidRPr="00203D28">
        <w:t>T, qui applique une tolérance zéro à l'égard de la fraude, de l'abus de pouvoir, des manquements et du harcèlement, mettra tout en œuvre pour continuer de respecter les principes de transparence, de responsabilisation et de conduite éthique.</w:t>
      </w:r>
      <w:bookmarkEnd w:id="96"/>
      <w:r w:rsidRPr="00203D28">
        <w:t xml:space="preserve"> </w:t>
      </w:r>
    </w:p>
    <w:p w14:paraId="5AE2014A" w14:textId="77777777" w:rsidR="00203D28" w:rsidRPr="00203D28" w:rsidRDefault="00203D28" w:rsidP="00A64094">
      <w:pPr>
        <w:spacing w:before="120"/>
        <w:jc w:val="left"/>
      </w:pPr>
      <w:r w:rsidRPr="00203D28">
        <w:t>7.2</w:t>
      </w:r>
      <w:r w:rsidRPr="00203D28">
        <w:tab/>
      </w:r>
      <w:bookmarkStart w:id="97" w:name="lt_pId160"/>
      <w:r w:rsidRPr="00203D28">
        <w:t xml:space="preserve">Les Conseillers saluent la célérité des mesures prises par la Directrice du BDT en réponse au cas de fraude et un Conseiller demande d'accélérer les efforts concernant les procédures relatives à la sélection des consultants. </w:t>
      </w:r>
      <w:bookmarkEnd w:id="97"/>
      <w:r w:rsidRPr="00203D28">
        <w:t>Un autre Conseiller souligne combien il est important de garantir que toutes les recommandations sont mises en œuvre.</w:t>
      </w:r>
      <w:bookmarkStart w:id="98" w:name="lt_pId162"/>
      <w:r w:rsidRPr="00203D28">
        <w:t xml:space="preserve"> Un autre Conseiller souligne la nécessité d'harmoniser la politique relative au signalement d'un manquement récemment publiée par l'UIT avec celle d'autres organismes des Nations Unies.</w:t>
      </w:r>
      <w:bookmarkEnd w:id="98"/>
    </w:p>
    <w:p w14:paraId="2B5850DF" w14:textId="54A157E4" w:rsidR="00203D28" w:rsidRPr="00203D28" w:rsidRDefault="00203D28" w:rsidP="00A64094">
      <w:pPr>
        <w:spacing w:before="120"/>
        <w:jc w:val="left"/>
      </w:pPr>
      <w:r w:rsidRPr="00203D28">
        <w:t>7.3</w:t>
      </w:r>
      <w:r w:rsidRPr="00203D28">
        <w:tab/>
      </w:r>
      <w:bookmarkStart w:id="99" w:name="lt_pId164"/>
      <w:r w:rsidRPr="00203D28">
        <w:t xml:space="preserve">En réponse aux questions et aux commentaires formulés, la Directrice du BDT déclare que le Groupe de travail poursuivra ses activités jusqu'à ce que toutes les mesures </w:t>
      </w:r>
      <w:bookmarkEnd w:id="99"/>
      <w:r w:rsidRPr="00203D28">
        <w:t xml:space="preserve">aient été menées à bien. Le groupe a soumis régulièrement des rapports au Groupe de travail du Conseil sur les ressources financières et les ressources humaines (GTC-FHR) </w:t>
      </w:r>
      <w:bookmarkStart w:id="100" w:name="lt_pId165"/>
      <w:r w:rsidRPr="00203D28">
        <w:t xml:space="preserve">et continuera volontiers de </w:t>
      </w:r>
      <w:r w:rsidRPr="00203D28">
        <w:lastRenderedPageBreak/>
        <w:t>soumettre des rapports au Conseil, selon qu'il conviendra</w:t>
      </w:r>
      <w:bookmarkEnd w:id="100"/>
      <w:r w:rsidRPr="00203D28">
        <w:t xml:space="preserve">. En ce qui concerne le recrutement, le processus concernant les postes financés par le budget ordinaire est le même pour les bureaux régionaux et pour le siège. </w:t>
      </w:r>
      <w:bookmarkStart w:id="101" w:name="lt_pId167"/>
      <w:r w:rsidRPr="00203D28">
        <w:t xml:space="preserve">Lorsqu'il engage des experts pour collaborer sur des projets ou pour œuvrer à l'application du Plan opérationnel, le BDT utilise un fichier de recrutement. </w:t>
      </w:r>
      <w:bookmarkEnd w:id="101"/>
      <w:r w:rsidRPr="00203D28">
        <w:t xml:space="preserve">Des mesures sont prises pour aligner cette approche sur le processus de recrutement institutionnel de l'Union, l'objectif étant de mettre au point un système de recrutement unique. Le nouveau tableau de bord de conformité permettra de suivre les progrès réalisés au regard de la mise en œuvre des recommandations. </w:t>
      </w:r>
    </w:p>
    <w:p w14:paraId="76233E72" w14:textId="4ADEF8F6" w:rsidR="00203D28" w:rsidRPr="00203D28" w:rsidRDefault="00203D28" w:rsidP="00A64094">
      <w:pPr>
        <w:spacing w:before="120"/>
        <w:jc w:val="left"/>
      </w:pPr>
      <w:r w:rsidRPr="00203D28">
        <w:t>7.4</w:t>
      </w:r>
      <w:r w:rsidRPr="00203D28">
        <w:tab/>
      </w:r>
      <w:bookmarkStart w:id="102" w:name="lt_pId171"/>
      <w:r w:rsidRPr="00203D28">
        <w:t>Le Président considère que les Conseillers souhaitent conclure que, compte tenu du caractère urgent de ces questions, une consultation par correspondance des États Membres du Conseil sera organisée afin de prendre note du rapport du Groupe de travail sur les contrôles internes.</w:t>
      </w:r>
      <w:bookmarkEnd w:id="102"/>
    </w:p>
    <w:p w14:paraId="411F8789" w14:textId="77777777" w:rsidR="00203D28" w:rsidRPr="00203D28" w:rsidRDefault="00203D28" w:rsidP="00203D28">
      <w:pPr>
        <w:jc w:val="left"/>
      </w:pPr>
      <w:r w:rsidRPr="00203D28">
        <w:t>7.5</w:t>
      </w:r>
      <w:r w:rsidRPr="00203D28">
        <w:tab/>
        <w:t xml:space="preserve">Il en est ainsi </w:t>
      </w:r>
      <w:r w:rsidRPr="00203D28">
        <w:rPr>
          <w:b/>
          <w:bCs/>
        </w:rPr>
        <w:t>conclu</w:t>
      </w:r>
      <w:r w:rsidRPr="00203D28">
        <w:t>.</w:t>
      </w:r>
    </w:p>
    <w:p w14:paraId="53E52DB5" w14:textId="2A9279F6" w:rsidR="00077A69" w:rsidRPr="00E859E8" w:rsidRDefault="00077A69" w:rsidP="00077A69">
      <w:pPr>
        <w:pStyle w:val="Heading1"/>
      </w:pPr>
      <w:r w:rsidRPr="00E859E8">
        <w:t>8</w:t>
      </w:r>
      <w:r w:rsidRPr="00E859E8">
        <w:tab/>
        <w:t>Rapport de l'auditeur interne sur les activités d'audit interne (Document </w:t>
      </w:r>
      <w:hyperlink r:id="rId23" w:history="1">
        <w:r w:rsidRPr="00E859E8">
          <w:rPr>
            <w:rStyle w:val="Hyperlink"/>
          </w:rPr>
          <w:t>C20/44</w:t>
        </w:r>
      </w:hyperlink>
      <w:r w:rsidRPr="00E859E8">
        <w:t>)</w:t>
      </w:r>
    </w:p>
    <w:p w14:paraId="1A175D63" w14:textId="1BA3EA7B" w:rsidR="00077A69" w:rsidRPr="00077A69" w:rsidRDefault="00077A69" w:rsidP="00A64094">
      <w:pPr>
        <w:spacing w:before="120"/>
        <w:jc w:val="left"/>
      </w:pPr>
      <w:r w:rsidRPr="00077A69">
        <w:t>8.1</w:t>
      </w:r>
      <w:r w:rsidRPr="00E859E8">
        <w:tab/>
      </w:r>
      <w:r w:rsidRPr="00077A69">
        <w:t>L'auditeur interne présent</w:t>
      </w:r>
      <w:r w:rsidR="00D419D2">
        <w:t>e son rapport figurant dans le D</w:t>
      </w:r>
      <w:r w:rsidRPr="00077A69">
        <w:t>ocument C20/44, qui fournit des informations sur l'orientation et le champ des activités d'audit interne pour la période allant de mai 2019 à avril 2020, et contient notamment des précisions sur les enquêtes qui ont été initiées, ainsi qu</w:t>
      </w:r>
      <w:r w:rsidR="00AD7263" w:rsidRPr="00E859E8">
        <w:t>'</w:t>
      </w:r>
      <w:r w:rsidRPr="00077A69">
        <w:t xml:space="preserve">un aperçu des missions d'assurance qui ont été menées. Il résume également le rôle joué par l'Unité de l'audit interne dans le processus de sélection du Vérificateur extérieur des comptes et dans le processus de sélection pour la vérification juricomptable demandée par le Conseil dans sa Décision 613, et rend compte, en outre, de la mise en œuvre des recommandations formulées dans les rapports d'audit précédents. </w:t>
      </w:r>
    </w:p>
    <w:p w14:paraId="0D665045" w14:textId="66BCE804" w:rsidR="00077A69" w:rsidRPr="00077A69" w:rsidRDefault="00077A69" w:rsidP="00A64094">
      <w:pPr>
        <w:spacing w:before="120"/>
        <w:jc w:val="left"/>
      </w:pPr>
      <w:r w:rsidRPr="00077A69">
        <w:t>8.2</w:t>
      </w:r>
      <w:r w:rsidRPr="00E859E8">
        <w:tab/>
      </w:r>
      <w:r w:rsidRPr="00077A69">
        <w:t xml:space="preserve">En réponse à des observations, il indique que le rôle de l'Unité de l'audit interne dans le processus de sélection du Vérificateur extérieur des comptes s'est limité à apporter un soutien du secrétariat au Comité d'évaluation. Le Document </w:t>
      </w:r>
      <w:hyperlink r:id="rId24" w:history="1">
        <w:r w:rsidRPr="00077A69">
          <w:rPr>
            <w:rStyle w:val="Hyperlink"/>
          </w:rPr>
          <w:t>C20/78</w:t>
        </w:r>
      </w:hyperlink>
      <w:r w:rsidRPr="00077A69">
        <w:t xml:space="preserve"> sur la création et le financement d'une nouvelle fonction d</w:t>
      </w:r>
      <w:r w:rsidR="00AD7263" w:rsidRPr="00E859E8">
        <w:t>'</w:t>
      </w:r>
      <w:r w:rsidRPr="00077A69">
        <w:t>investigation doit être examiné au cours de la présente consultation virtuelle. Il donne des informations actualisées sur la sélection de l</w:t>
      </w:r>
      <w:r w:rsidR="00AD7263" w:rsidRPr="00E859E8">
        <w:t>'</w:t>
      </w:r>
      <w:r w:rsidRPr="00077A69">
        <w:t>entreprise chargée d'effectuer la vérification juricomptable, et précise que le délai fixé pour la remise du rapport sur la vérification juricomptable à la session de 2021 du Conseil devrait être respecté.</w:t>
      </w:r>
    </w:p>
    <w:p w14:paraId="29222E7A" w14:textId="111BA257" w:rsidR="00077A69" w:rsidRPr="00077A69" w:rsidRDefault="00077A69" w:rsidP="00A64094">
      <w:pPr>
        <w:spacing w:before="120"/>
        <w:jc w:val="left"/>
      </w:pPr>
      <w:r w:rsidRPr="00077A69">
        <w:t>8.3</w:t>
      </w:r>
      <w:r w:rsidRPr="00E859E8">
        <w:tab/>
      </w:r>
      <w:r w:rsidRPr="00077A69">
        <w:t>Répondant aux préoccupations de certains Conseillers, il indique que certaines des recommandations en suspens, qui portent sur des problèmes récurrents ou persistants, font double emploi avec d</w:t>
      </w:r>
      <w:r w:rsidR="00AD7263" w:rsidRPr="00E859E8">
        <w:t>'</w:t>
      </w:r>
      <w:r w:rsidRPr="00077A69">
        <w:t>autres. Certaines d'entre elles ont depuis été mises en œuvre. À cet égard, il prend note des mesures rapides prises par la Directrice du BDT, à la suite des recommandations formulées par l'Unité de l'audit interne. L</w:t>
      </w:r>
      <w:r w:rsidR="00AD7263" w:rsidRPr="00E859E8">
        <w:t>'</w:t>
      </w:r>
      <w:r w:rsidRPr="00077A69">
        <w:t>Unité suit de près l'état d'avancement de la mise en œuvre des recommandations et le CCIG est également régulièrement informé des progrès accomplis à cet égard.</w:t>
      </w:r>
    </w:p>
    <w:p w14:paraId="1F5DB5C5" w14:textId="0E059F5F" w:rsidR="00077A69" w:rsidRPr="00077A69" w:rsidRDefault="00077A69" w:rsidP="00A64094">
      <w:pPr>
        <w:spacing w:before="120"/>
        <w:jc w:val="left"/>
      </w:pPr>
      <w:r w:rsidRPr="00077A69">
        <w:t>8.4</w:t>
      </w:r>
      <w:r w:rsidRPr="00E859E8">
        <w:tab/>
      </w:r>
      <w:r w:rsidRPr="00077A69">
        <w:t xml:space="preserve">Le Conseiller juridique de l'UIT, répondant aux observations formulées sur le cas de fraude constaté dans un bureau régional, indique que le Secrétaire général a décidé de poursuivre l'auteur principal des faits et ses éventuels complices. L'affaire sera portée devant les tribunaux nationaux, en Thaïlande, et une équipe juridique a été chargée de représenter l'UIT. Des discussions avec les autorités thaïlandaises et le Comité national de lutte contre la corruption sont en cours, en vue d'élargir la portée de l'enquête. La décision de geler les actifs du fonds de pension de l'auteur principal de la fraude a déjà été prise, mais ces fonds ne peuvent être récupérés sans autorisation judiciaire. </w:t>
      </w:r>
    </w:p>
    <w:p w14:paraId="691309ED" w14:textId="0A296434" w:rsidR="00077A69" w:rsidRPr="00077A69" w:rsidRDefault="00077A69" w:rsidP="00A64094">
      <w:pPr>
        <w:spacing w:before="120"/>
        <w:jc w:val="left"/>
      </w:pPr>
      <w:r w:rsidRPr="00077A69">
        <w:lastRenderedPageBreak/>
        <w:t>8.5</w:t>
      </w:r>
      <w:r w:rsidRPr="00E859E8">
        <w:tab/>
      </w:r>
      <w:r w:rsidRPr="00077A69">
        <w:t>Le Conseiller de la Thaïlande fournit des informations complémentaires sur cette affaire de fraude. Tout au long de l'année écoulée, la Commission nationale de la radiodiffusion et des télécommunications de la Thaïlande a travaillé en étroite collaboration avec l'UIT et facilité les contacts avec les organismes nationaux compétents. La Thaïlande applique la tolérance zéro en matière de fraude et la Commission est prête à fournir une assistance supplémentaire à l'UIT, en tant que de besoin.</w:t>
      </w:r>
    </w:p>
    <w:p w14:paraId="1A70AE41" w14:textId="0587B7A6" w:rsidR="00077A69" w:rsidRPr="00077A69" w:rsidRDefault="00077A69" w:rsidP="00A64094">
      <w:pPr>
        <w:spacing w:before="120"/>
        <w:jc w:val="left"/>
      </w:pPr>
      <w:r w:rsidRPr="00077A69">
        <w:t>8.6</w:t>
      </w:r>
      <w:r w:rsidRPr="00E859E8">
        <w:tab/>
      </w:r>
      <w:r w:rsidRPr="00077A69">
        <w:t>La Directrice du BDT, répondant à une observation concernant la gestion des projets, indique que des mesures sont en train d</w:t>
      </w:r>
      <w:r w:rsidR="00AD7263" w:rsidRPr="00E859E8">
        <w:t>'</w:t>
      </w:r>
      <w:r w:rsidRPr="00077A69">
        <w:t>être prises afin de revoir les rôles et les responsabilités, d</w:t>
      </w:r>
      <w:r w:rsidR="00AD7263" w:rsidRPr="00E859E8">
        <w:t>'</w:t>
      </w:r>
      <w:r w:rsidRPr="00077A69">
        <w:t>examiner les questions de diligence raisonnable, de mettre à jour les descriptions d</w:t>
      </w:r>
      <w:r w:rsidR="00AD7263" w:rsidRPr="00E859E8">
        <w:t>'</w:t>
      </w:r>
      <w:r w:rsidRPr="00077A69">
        <w:t>emploi et d</w:t>
      </w:r>
      <w:r w:rsidR="00AD7263" w:rsidRPr="00E859E8">
        <w:t>'</w:t>
      </w:r>
      <w:r w:rsidRPr="00077A69">
        <w:t>inclure de nouvelles références dans le système de gestion de la performance. Des mesures ont également été prises pour former le personnel chargé de la gestion de projets et pour établir un cadre de responsabilité, notamment en créant un comité directeur des projets en vue d'améliorer la conception, la planification, la mise en œuvre, l'évaluation et la supervision des projets. Un nouveau poste a été créé au sein du BDT pour assurer le suivi des rapports et l'évaluation des projets.</w:t>
      </w:r>
    </w:p>
    <w:p w14:paraId="6FD9AF54" w14:textId="6DB34031" w:rsidR="00077A69" w:rsidRPr="00077A69" w:rsidRDefault="00077A69" w:rsidP="00D419D2">
      <w:pPr>
        <w:jc w:val="left"/>
      </w:pPr>
      <w:r w:rsidRPr="00077A69">
        <w:t>8.7</w:t>
      </w:r>
      <w:r w:rsidRPr="00E859E8">
        <w:tab/>
      </w:r>
      <w:r w:rsidRPr="00077A69">
        <w:t xml:space="preserve">Un Conseiller note avec satisfaction que les recommandations formulées par l'auditeur interne, le Vérificateur extérieur des comptes, le CCIG et le Corps commun d'inspection du système des Nations Unies sont prises au sérieux. Il est essentiel que toutes les recommandations contenues dans le Document </w:t>
      </w:r>
      <w:hyperlink r:id="rId25" w:history="1">
        <w:r w:rsidRPr="00077A69">
          <w:rPr>
            <w:rStyle w:val="Hyperlink"/>
          </w:rPr>
          <w:t>C20/74</w:t>
        </w:r>
      </w:hyperlink>
      <w:r w:rsidRPr="00077A69">
        <w:t xml:space="preserve"> (Rapport de PricewaterhouseCoopers sur l'examen de la présence régionale de l'UIT) soient rapidement et pleinement mises en œuvre afin de corriger les insuffisances et d'atténuer les risques. Les efforts visant à introduire des politiques et des processus généraux demandent des pratiques de gestion exemplaires.</w:t>
      </w:r>
    </w:p>
    <w:p w14:paraId="0D2820CE" w14:textId="774F8CF1" w:rsidR="00077A69" w:rsidRPr="00077A69" w:rsidRDefault="00077A69" w:rsidP="00A64094">
      <w:pPr>
        <w:spacing w:before="120"/>
        <w:jc w:val="left"/>
      </w:pPr>
      <w:r w:rsidRPr="00077A69">
        <w:t>8.8</w:t>
      </w:r>
      <w:r w:rsidRPr="00E859E8">
        <w:tab/>
      </w:r>
      <w:r w:rsidRPr="00077A69">
        <w:t>Le Président considère que les Conseillers souhaitent conclure que, du fait de l'urgence de ces questions, une consultation par correspondance des États Membres du Conseil sera organisée afin de prendre note du Rapport de l'auditeur interne sur les activités d'audit interne.</w:t>
      </w:r>
    </w:p>
    <w:p w14:paraId="577F38E7" w14:textId="2159DBDC" w:rsidR="00077A69" w:rsidRPr="00077A69" w:rsidRDefault="00077A69" w:rsidP="00A64094">
      <w:pPr>
        <w:spacing w:before="120"/>
        <w:jc w:val="left"/>
      </w:pPr>
      <w:r w:rsidRPr="00077A69">
        <w:t>8.9</w:t>
      </w:r>
      <w:r w:rsidRPr="00E859E8">
        <w:tab/>
      </w:r>
      <w:r w:rsidRPr="00077A69">
        <w:t xml:space="preserve">Il en est ainsi </w:t>
      </w:r>
      <w:r w:rsidRPr="00077A69">
        <w:rPr>
          <w:b/>
        </w:rPr>
        <w:t>conclu</w:t>
      </w:r>
      <w:r w:rsidRPr="00077A69">
        <w:t>.</w:t>
      </w:r>
    </w:p>
    <w:p w14:paraId="72BC8410" w14:textId="4DFBB857" w:rsidR="00077A69" w:rsidRPr="00077A69" w:rsidRDefault="00077A69" w:rsidP="00AD7263">
      <w:pPr>
        <w:tabs>
          <w:tab w:val="clear" w:pos="794"/>
          <w:tab w:val="clear" w:pos="1191"/>
          <w:tab w:val="clear" w:pos="1588"/>
          <w:tab w:val="clear" w:pos="1985"/>
          <w:tab w:val="left" w:pos="6804"/>
        </w:tabs>
        <w:spacing w:before="480"/>
        <w:jc w:val="left"/>
      </w:pPr>
      <w:r w:rsidRPr="00077A69">
        <w:t>Le Secrétaire général:</w:t>
      </w:r>
      <w:r w:rsidRPr="00077A69">
        <w:tab/>
        <w:t>Le Président:</w:t>
      </w:r>
      <w:r w:rsidR="00AD7263" w:rsidRPr="00E859E8">
        <w:br/>
      </w:r>
      <w:r w:rsidRPr="00077A69">
        <w:t>H. ZHAO</w:t>
      </w:r>
      <w:r w:rsidRPr="00077A69">
        <w:tab/>
        <w:t>S. BIN GHELAITA</w:t>
      </w:r>
    </w:p>
    <w:sectPr w:rsidR="00077A69" w:rsidRPr="00077A69" w:rsidSect="005C3890">
      <w:headerReference w:type="even" r:id="rId26"/>
      <w:headerReference w:type="default" r:id="rId27"/>
      <w:footerReference w:type="even" r:id="rId28"/>
      <w:footerReference w:type="default" r:id="rId29"/>
      <w:footerReference w:type="first" r:id="rId30"/>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D5955" w14:textId="77777777" w:rsidR="00203D28" w:rsidRDefault="00203D28">
      <w:r>
        <w:separator/>
      </w:r>
    </w:p>
  </w:endnote>
  <w:endnote w:type="continuationSeparator" w:id="0">
    <w:p w14:paraId="22A0335E" w14:textId="77777777" w:rsidR="00203D28" w:rsidRDefault="0020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36D96" w14:textId="4A00A620" w:rsidR="00732045" w:rsidRDefault="00503AB7">
    <w:pPr>
      <w:pStyle w:val="Footer"/>
    </w:pPr>
    <w:r>
      <w:fldChar w:fldCharType="begin"/>
    </w:r>
    <w:r>
      <w:instrText xml:space="preserve"> FILENAME \p \* MERGEFORMAT </w:instrText>
    </w:r>
    <w:r>
      <w:fldChar w:fldCharType="separate"/>
    </w:r>
    <w:r w:rsidR="00986072">
      <w:t>P:\FRA\SG\CONSEIL\VC-2\000\011F.docx</w:t>
    </w:r>
    <w:r>
      <w:fldChar w:fldCharType="end"/>
    </w:r>
    <w:r w:rsidR="00732045">
      <w:tab/>
    </w:r>
    <w:r w:rsidR="002F1B76">
      <w:fldChar w:fldCharType="begin"/>
    </w:r>
    <w:r w:rsidR="00732045">
      <w:instrText xml:space="preserve"> savedate \@ dd.MM.yy </w:instrText>
    </w:r>
    <w:r w:rsidR="002F1B76">
      <w:fldChar w:fldCharType="separate"/>
    </w:r>
    <w:r>
      <w:t>22.12.20</w:t>
    </w:r>
    <w:r w:rsidR="002F1B76">
      <w:fldChar w:fldCharType="end"/>
    </w:r>
    <w:r w:rsidR="00732045">
      <w:tab/>
    </w:r>
    <w:r w:rsidR="002F1B76">
      <w:fldChar w:fldCharType="begin"/>
    </w:r>
    <w:r w:rsidR="00732045">
      <w:instrText xml:space="preserve"> printdate \@ dd.MM.yy </w:instrText>
    </w:r>
    <w:r w:rsidR="002F1B76">
      <w:fldChar w:fldCharType="separate"/>
    </w:r>
    <w:r w:rsidR="00986072">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2CABA" w14:textId="2E5D3913" w:rsidR="00732045" w:rsidRDefault="00503AB7">
    <w:pPr>
      <w:pStyle w:val="Footer"/>
    </w:pPr>
    <w:r>
      <w:fldChar w:fldCharType="begin"/>
    </w:r>
    <w:r>
      <w:instrText xml:space="preserve"> FILENAME \p \* MERGEFORMAT </w:instrText>
    </w:r>
    <w:r>
      <w:fldChar w:fldCharType="separate"/>
    </w:r>
    <w:r w:rsidR="00986072">
      <w:t>P:\FRA\SG\CONSEIL\VC-2\000\011F.docx</w:t>
    </w:r>
    <w:r>
      <w:fldChar w:fldCharType="end"/>
    </w:r>
    <w:r w:rsidR="00283211">
      <w:t xml:space="preserve"> (481101)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10F1C" w14:textId="77777777"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0982D" w14:textId="77777777" w:rsidR="00203D28" w:rsidRDefault="00203D28">
      <w:r>
        <w:t>____________________</w:t>
      </w:r>
    </w:p>
  </w:footnote>
  <w:footnote w:type="continuationSeparator" w:id="0">
    <w:p w14:paraId="117AB101" w14:textId="77777777" w:rsidR="00203D28" w:rsidRDefault="00203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DAB2B"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487C818A"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187B9" w14:textId="24F70D18" w:rsidR="00732045" w:rsidRDefault="00C27A7C" w:rsidP="00475FB3">
    <w:pPr>
      <w:pStyle w:val="Header"/>
    </w:pPr>
    <w:r>
      <w:fldChar w:fldCharType="begin"/>
    </w:r>
    <w:r>
      <w:instrText>PAGE</w:instrText>
    </w:r>
    <w:r>
      <w:fldChar w:fldCharType="separate"/>
    </w:r>
    <w:r w:rsidR="00A53527">
      <w:rPr>
        <w:noProof/>
      </w:rPr>
      <w:t>8</w:t>
    </w:r>
    <w:r>
      <w:rPr>
        <w:noProof/>
      </w:rPr>
      <w:fldChar w:fldCharType="end"/>
    </w:r>
  </w:p>
  <w:p w14:paraId="21206866" w14:textId="1A3113DA" w:rsidR="00732045" w:rsidRDefault="00ED4F28" w:rsidP="00106B19">
    <w:pPr>
      <w:pStyle w:val="Header"/>
    </w:pPr>
    <w:r>
      <w:t>VC</w:t>
    </w:r>
    <w:r w:rsidR="00203D28">
      <w:t>-2</w:t>
    </w:r>
    <w:r w:rsidR="00732045">
      <w:t>/</w:t>
    </w:r>
    <w:r w:rsidR="00203D28">
      <w:t>11</w:t>
    </w:r>
    <w:r w:rsidR="00732045">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F28"/>
    <w:rsid w:val="00077A69"/>
    <w:rsid w:val="000865C1"/>
    <w:rsid w:val="00094ECD"/>
    <w:rsid w:val="000D0CAB"/>
    <w:rsid w:val="000D0D0A"/>
    <w:rsid w:val="00103163"/>
    <w:rsid w:val="00106B19"/>
    <w:rsid w:val="00115D93"/>
    <w:rsid w:val="001247A8"/>
    <w:rsid w:val="001378C0"/>
    <w:rsid w:val="0018694A"/>
    <w:rsid w:val="001A3287"/>
    <w:rsid w:val="001A6508"/>
    <w:rsid w:val="001D4C31"/>
    <w:rsid w:val="001E4D21"/>
    <w:rsid w:val="00203D28"/>
    <w:rsid w:val="00207CD1"/>
    <w:rsid w:val="002477A2"/>
    <w:rsid w:val="00263A51"/>
    <w:rsid w:val="00267E02"/>
    <w:rsid w:val="00283211"/>
    <w:rsid w:val="002A5D44"/>
    <w:rsid w:val="002D4098"/>
    <w:rsid w:val="002E0BC4"/>
    <w:rsid w:val="002F1B76"/>
    <w:rsid w:val="0033568E"/>
    <w:rsid w:val="00355FF5"/>
    <w:rsid w:val="00361350"/>
    <w:rsid w:val="003C3FAE"/>
    <w:rsid w:val="004038CB"/>
    <w:rsid w:val="0040546F"/>
    <w:rsid w:val="0042404A"/>
    <w:rsid w:val="0044618F"/>
    <w:rsid w:val="0046769A"/>
    <w:rsid w:val="00475FB3"/>
    <w:rsid w:val="004C37A9"/>
    <w:rsid w:val="004F259E"/>
    <w:rsid w:val="00503AB7"/>
    <w:rsid w:val="00511F1D"/>
    <w:rsid w:val="00520F36"/>
    <w:rsid w:val="00540615"/>
    <w:rsid w:val="00540A6D"/>
    <w:rsid w:val="00571EEA"/>
    <w:rsid w:val="00575417"/>
    <w:rsid w:val="005768E1"/>
    <w:rsid w:val="005B1938"/>
    <w:rsid w:val="005C3890"/>
    <w:rsid w:val="005F7BFE"/>
    <w:rsid w:val="00600017"/>
    <w:rsid w:val="006235CA"/>
    <w:rsid w:val="006643AB"/>
    <w:rsid w:val="006A740D"/>
    <w:rsid w:val="007210CD"/>
    <w:rsid w:val="00732045"/>
    <w:rsid w:val="007369DB"/>
    <w:rsid w:val="0079030C"/>
    <w:rsid w:val="007956C2"/>
    <w:rsid w:val="007A187E"/>
    <w:rsid w:val="007C72C2"/>
    <w:rsid w:val="007D4436"/>
    <w:rsid w:val="007F257A"/>
    <w:rsid w:val="007F3665"/>
    <w:rsid w:val="00800037"/>
    <w:rsid w:val="00861D73"/>
    <w:rsid w:val="008A4E87"/>
    <w:rsid w:val="008D76E6"/>
    <w:rsid w:val="0092392D"/>
    <w:rsid w:val="0093234A"/>
    <w:rsid w:val="00986072"/>
    <w:rsid w:val="009C307F"/>
    <w:rsid w:val="009C353C"/>
    <w:rsid w:val="00A2113E"/>
    <w:rsid w:val="00A23A51"/>
    <w:rsid w:val="00A24607"/>
    <w:rsid w:val="00A25CD3"/>
    <w:rsid w:val="00A53527"/>
    <w:rsid w:val="00A64094"/>
    <w:rsid w:val="00A82767"/>
    <w:rsid w:val="00AA332F"/>
    <w:rsid w:val="00AA7BBB"/>
    <w:rsid w:val="00AB64A8"/>
    <w:rsid w:val="00AC0266"/>
    <w:rsid w:val="00AD24EC"/>
    <w:rsid w:val="00AD7263"/>
    <w:rsid w:val="00B27B09"/>
    <w:rsid w:val="00B309F9"/>
    <w:rsid w:val="00B32B60"/>
    <w:rsid w:val="00B61619"/>
    <w:rsid w:val="00BB4545"/>
    <w:rsid w:val="00BD5873"/>
    <w:rsid w:val="00C04BE3"/>
    <w:rsid w:val="00C25D29"/>
    <w:rsid w:val="00C27A7C"/>
    <w:rsid w:val="00CA08ED"/>
    <w:rsid w:val="00CF183B"/>
    <w:rsid w:val="00D375CD"/>
    <w:rsid w:val="00D419D2"/>
    <w:rsid w:val="00D553A2"/>
    <w:rsid w:val="00D774D3"/>
    <w:rsid w:val="00D904E8"/>
    <w:rsid w:val="00DA08C3"/>
    <w:rsid w:val="00DB5A3E"/>
    <w:rsid w:val="00DC22AA"/>
    <w:rsid w:val="00DE04B6"/>
    <w:rsid w:val="00DF74DD"/>
    <w:rsid w:val="00E25AD0"/>
    <w:rsid w:val="00E859E8"/>
    <w:rsid w:val="00EB6350"/>
    <w:rsid w:val="00ED4F28"/>
    <w:rsid w:val="00F15B57"/>
    <w:rsid w:val="00F427DB"/>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7F9E509"/>
  <w15:docId w15:val="{3BE36841-2244-4556-96CD-09CFBCC0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B09"/>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Calibri" w:hAnsi="Calibri" w:cs="Calibri"/>
      <w:sz w:val="24"/>
      <w:szCs w:val="22"/>
      <w:lang w:val="fr-FR" w:eastAsia="en-US"/>
    </w:rPr>
  </w:style>
  <w:style w:type="paragraph" w:styleId="Heading1">
    <w:name w:val="heading 1"/>
    <w:basedOn w:val="Normal"/>
    <w:next w:val="Normal"/>
    <w:qFormat/>
    <w:rsid w:val="00732045"/>
    <w:pPr>
      <w:keepNext/>
      <w:keepLines/>
      <w:tabs>
        <w:tab w:val="clear" w:pos="794"/>
        <w:tab w:val="clear" w:pos="1191"/>
        <w:tab w:val="clear" w:pos="1588"/>
        <w:tab w:val="clear" w:pos="1985"/>
        <w:tab w:val="left" w:pos="567"/>
        <w:tab w:val="left" w:pos="1134"/>
        <w:tab w:val="left" w:pos="1701"/>
        <w:tab w:val="left" w:pos="2268"/>
        <w:tab w:val="left" w:pos="2835"/>
      </w:tabs>
      <w:spacing w:before="480" w:line="240" w:lineRule="auto"/>
      <w:ind w:left="567" w:hanging="567"/>
      <w:jc w:val="left"/>
      <w:outlineLvl w:val="0"/>
    </w:pPr>
    <w:rPr>
      <w:rFonts w:cs="Times New Roman"/>
      <w:b/>
      <w:sz w:val="28"/>
      <w:szCs w:val="20"/>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794"/>
        <w:tab w:val="clear" w:pos="1191"/>
        <w:tab w:val="clear" w:pos="1588"/>
        <w:tab w:val="clear" w:pos="1985"/>
        <w:tab w:val="left" w:pos="964"/>
        <w:tab w:val="left" w:leader="dot" w:pos="8789"/>
        <w:tab w:val="right" w:pos="9639"/>
      </w:tabs>
      <w:spacing w:before="120" w:line="240" w:lineRule="auto"/>
      <w:ind w:left="964" w:hanging="964"/>
      <w:jc w:val="left"/>
    </w:pPr>
    <w:rPr>
      <w:rFonts w:cs="Times New Roman"/>
      <w:szCs w:val="20"/>
    </w:rPr>
  </w:style>
  <w:style w:type="paragraph" w:styleId="TOC3">
    <w:name w:val="toc 3"/>
    <w:basedOn w:val="Normal"/>
    <w:next w:val="Normal"/>
    <w:rsid w:val="00732045"/>
    <w:pPr>
      <w:tabs>
        <w:tab w:val="clear" w:pos="794"/>
        <w:tab w:val="clear" w:pos="1191"/>
        <w:tab w:val="clear" w:pos="1588"/>
        <w:tab w:val="clear" w:pos="1985"/>
        <w:tab w:val="left" w:pos="964"/>
        <w:tab w:val="left" w:leader="dot" w:pos="8789"/>
        <w:tab w:val="right" w:pos="9639"/>
      </w:tabs>
      <w:spacing w:before="120" w:line="240" w:lineRule="auto"/>
      <w:ind w:left="964" w:hanging="964"/>
      <w:jc w:val="left"/>
    </w:pPr>
    <w:rPr>
      <w:rFonts w:cs="Times New Roman"/>
      <w:szCs w:val="20"/>
    </w:rPr>
  </w:style>
  <w:style w:type="paragraph" w:styleId="TOC2">
    <w:name w:val="toc 2"/>
    <w:basedOn w:val="Normal"/>
    <w:next w:val="Normal"/>
    <w:rsid w:val="00732045"/>
    <w:pPr>
      <w:tabs>
        <w:tab w:val="clear" w:pos="794"/>
        <w:tab w:val="clear" w:pos="1191"/>
        <w:tab w:val="clear" w:pos="1588"/>
        <w:tab w:val="clear" w:pos="1985"/>
        <w:tab w:val="left" w:pos="964"/>
        <w:tab w:val="left" w:leader="dot" w:pos="8789"/>
        <w:tab w:val="right" w:pos="9639"/>
      </w:tabs>
      <w:spacing w:before="120" w:line="240" w:lineRule="auto"/>
      <w:ind w:left="964" w:hanging="964"/>
      <w:jc w:val="left"/>
    </w:pPr>
    <w:rPr>
      <w:rFonts w:cs="Times New Roman"/>
      <w:szCs w:val="20"/>
    </w:rPr>
  </w:style>
  <w:style w:type="paragraph" w:styleId="TOC1">
    <w:name w:val="toc 1"/>
    <w:basedOn w:val="Normal"/>
    <w:rsid w:val="00732045"/>
    <w:pPr>
      <w:tabs>
        <w:tab w:val="clear" w:pos="794"/>
        <w:tab w:val="clear" w:pos="1191"/>
        <w:tab w:val="clear" w:pos="1588"/>
        <w:tab w:val="clear" w:pos="1985"/>
        <w:tab w:val="left" w:pos="964"/>
        <w:tab w:val="left" w:leader="dot" w:pos="8789"/>
        <w:tab w:val="right" w:pos="9639"/>
      </w:tabs>
      <w:spacing w:before="240" w:line="240" w:lineRule="auto"/>
      <w:ind w:left="964" w:hanging="964"/>
      <w:jc w:val="left"/>
    </w:pPr>
    <w:rPr>
      <w:rFonts w:cs="Times New Roman"/>
      <w:szCs w:val="20"/>
    </w:rPr>
  </w:style>
  <w:style w:type="paragraph" w:styleId="TOC7">
    <w:name w:val="toc 7"/>
    <w:basedOn w:val="Normal"/>
    <w:next w:val="Normal"/>
    <w:rsid w:val="00732045"/>
    <w:pPr>
      <w:tabs>
        <w:tab w:val="clear" w:pos="794"/>
        <w:tab w:val="clear" w:pos="1191"/>
        <w:tab w:val="clear" w:pos="1588"/>
        <w:tab w:val="clear" w:pos="1985"/>
        <w:tab w:val="left" w:pos="964"/>
        <w:tab w:val="left" w:leader="dot" w:pos="8789"/>
        <w:tab w:val="right" w:pos="9639"/>
      </w:tabs>
      <w:spacing w:before="120" w:line="240" w:lineRule="auto"/>
      <w:ind w:left="964" w:hanging="964"/>
      <w:jc w:val="left"/>
    </w:pPr>
    <w:rPr>
      <w:rFonts w:cs="Times New Roman"/>
      <w:szCs w:val="20"/>
    </w:rPr>
  </w:style>
  <w:style w:type="paragraph" w:styleId="TOC6">
    <w:name w:val="toc 6"/>
    <w:basedOn w:val="Normal"/>
    <w:next w:val="Normal"/>
    <w:rsid w:val="00732045"/>
    <w:pPr>
      <w:tabs>
        <w:tab w:val="clear" w:pos="794"/>
        <w:tab w:val="clear" w:pos="1191"/>
        <w:tab w:val="clear" w:pos="1588"/>
        <w:tab w:val="clear" w:pos="1985"/>
        <w:tab w:val="left" w:pos="964"/>
        <w:tab w:val="left" w:leader="dot" w:pos="8789"/>
        <w:tab w:val="right" w:pos="9639"/>
      </w:tabs>
      <w:spacing w:before="120" w:line="240" w:lineRule="auto"/>
      <w:ind w:left="964" w:hanging="964"/>
      <w:jc w:val="left"/>
    </w:pPr>
    <w:rPr>
      <w:rFonts w:cs="Times New Roman"/>
      <w:szCs w:val="20"/>
    </w:rPr>
  </w:style>
  <w:style w:type="paragraph" w:styleId="TOC5">
    <w:name w:val="toc 5"/>
    <w:basedOn w:val="Normal"/>
    <w:next w:val="Normal"/>
    <w:rsid w:val="00732045"/>
    <w:pPr>
      <w:tabs>
        <w:tab w:val="clear" w:pos="794"/>
        <w:tab w:val="clear" w:pos="1191"/>
        <w:tab w:val="clear" w:pos="1588"/>
        <w:tab w:val="clear" w:pos="1985"/>
        <w:tab w:val="left" w:pos="964"/>
        <w:tab w:val="left" w:leader="dot" w:pos="8789"/>
        <w:tab w:val="right" w:pos="9639"/>
      </w:tabs>
      <w:spacing w:before="120" w:line="240" w:lineRule="auto"/>
      <w:ind w:left="964" w:hanging="964"/>
      <w:jc w:val="left"/>
    </w:pPr>
    <w:rPr>
      <w:rFonts w:cs="Times New Roman"/>
      <w:szCs w:val="20"/>
    </w:rPr>
  </w:style>
  <w:style w:type="paragraph" w:styleId="TOC4">
    <w:name w:val="toc 4"/>
    <w:basedOn w:val="Normal"/>
    <w:next w:val="Normal"/>
    <w:rsid w:val="00732045"/>
    <w:pPr>
      <w:tabs>
        <w:tab w:val="clear" w:pos="794"/>
        <w:tab w:val="clear" w:pos="1191"/>
        <w:tab w:val="clear" w:pos="1588"/>
        <w:tab w:val="clear" w:pos="1985"/>
        <w:tab w:val="left" w:pos="964"/>
        <w:tab w:val="left" w:pos="8789"/>
        <w:tab w:val="right" w:pos="9639"/>
      </w:tabs>
      <w:spacing w:before="120" w:line="240" w:lineRule="auto"/>
      <w:ind w:left="964" w:hanging="964"/>
      <w:jc w:val="left"/>
    </w:pPr>
    <w:rPr>
      <w:rFonts w:cs="Times New Roman"/>
      <w:szCs w:val="20"/>
    </w:rPr>
  </w:style>
  <w:style w:type="paragraph" w:styleId="Index7">
    <w:name w:val="index 7"/>
    <w:basedOn w:val="Normal"/>
    <w:next w:val="Normal"/>
    <w:rsid w:val="005C3890"/>
    <w:pPr>
      <w:tabs>
        <w:tab w:val="clear" w:pos="794"/>
        <w:tab w:val="clear" w:pos="1191"/>
        <w:tab w:val="clear" w:pos="1588"/>
        <w:tab w:val="clear" w:pos="1985"/>
        <w:tab w:val="left" w:pos="567"/>
        <w:tab w:val="left" w:pos="1134"/>
        <w:tab w:val="left" w:pos="1701"/>
        <w:tab w:val="left" w:pos="2268"/>
        <w:tab w:val="left" w:pos="2835"/>
      </w:tabs>
      <w:spacing w:before="120" w:line="240" w:lineRule="auto"/>
      <w:ind w:left="1698"/>
      <w:jc w:val="left"/>
    </w:pPr>
    <w:rPr>
      <w:rFonts w:cs="Times New Roman"/>
      <w:szCs w:val="20"/>
    </w:rPr>
  </w:style>
  <w:style w:type="paragraph" w:styleId="Index6">
    <w:name w:val="index 6"/>
    <w:basedOn w:val="Normal"/>
    <w:next w:val="Normal"/>
    <w:rsid w:val="005C3890"/>
    <w:pPr>
      <w:tabs>
        <w:tab w:val="clear" w:pos="794"/>
        <w:tab w:val="clear" w:pos="1191"/>
        <w:tab w:val="clear" w:pos="1588"/>
        <w:tab w:val="clear" w:pos="1985"/>
        <w:tab w:val="left" w:pos="567"/>
        <w:tab w:val="left" w:pos="1134"/>
        <w:tab w:val="left" w:pos="1701"/>
        <w:tab w:val="left" w:pos="2268"/>
        <w:tab w:val="left" w:pos="2835"/>
      </w:tabs>
      <w:spacing w:before="120" w:line="240" w:lineRule="auto"/>
      <w:ind w:left="1415"/>
      <w:jc w:val="left"/>
    </w:pPr>
    <w:rPr>
      <w:rFonts w:cs="Times New Roman"/>
      <w:szCs w:val="20"/>
    </w:rPr>
  </w:style>
  <w:style w:type="paragraph" w:styleId="Index5">
    <w:name w:val="index 5"/>
    <w:basedOn w:val="Normal"/>
    <w:next w:val="Normal"/>
    <w:rsid w:val="005C3890"/>
    <w:pPr>
      <w:tabs>
        <w:tab w:val="clear" w:pos="794"/>
        <w:tab w:val="clear" w:pos="1191"/>
        <w:tab w:val="clear" w:pos="1588"/>
        <w:tab w:val="clear" w:pos="1985"/>
        <w:tab w:val="left" w:pos="567"/>
        <w:tab w:val="left" w:pos="1134"/>
        <w:tab w:val="left" w:pos="1701"/>
        <w:tab w:val="left" w:pos="2268"/>
        <w:tab w:val="left" w:pos="2835"/>
      </w:tabs>
      <w:spacing w:before="120" w:line="240" w:lineRule="auto"/>
      <w:ind w:left="1132"/>
      <w:jc w:val="left"/>
    </w:pPr>
    <w:rPr>
      <w:rFonts w:cs="Times New Roman"/>
      <w:szCs w:val="20"/>
    </w:rPr>
  </w:style>
  <w:style w:type="paragraph" w:styleId="Index4">
    <w:name w:val="index 4"/>
    <w:basedOn w:val="Normal"/>
    <w:next w:val="Normal"/>
    <w:rsid w:val="005C3890"/>
    <w:pPr>
      <w:tabs>
        <w:tab w:val="clear" w:pos="794"/>
        <w:tab w:val="clear" w:pos="1191"/>
        <w:tab w:val="clear" w:pos="1588"/>
        <w:tab w:val="clear" w:pos="1985"/>
        <w:tab w:val="left" w:pos="567"/>
        <w:tab w:val="left" w:pos="1134"/>
        <w:tab w:val="left" w:pos="1701"/>
        <w:tab w:val="left" w:pos="2268"/>
        <w:tab w:val="left" w:pos="2835"/>
      </w:tabs>
      <w:spacing w:before="120" w:line="240" w:lineRule="auto"/>
      <w:ind w:left="849"/>
      <w:jc w:val="left"/>
    </w:pPr>
    <w:rPr>
      <w:rFonts w:cs="Times New Roman"/>
      <w:szCs w:val="20"/>
    </w:rPr>
  </w:style>
  <w:style w:type="paragraph" w:styleId="Index3">
    <w:name w:val="index 3"/>
    <w:basedOn w:val="Normal"/>
    <w:next w:val="Normal"/>
    <w:rsid w:val="005C3890"/>
    <w:pPr>
      <w:tabs>
        <w:tab w:val="clear" w:pos="794"/>
        <w:tab w:val="clear" w:pos="1191"/>
        <w:tab w:val="clear" w:pos="1588"/>
        <w:tab w:val="clear" w:pos="1985"/>
        <w:tab w:val="left" w:pos="567"/>
        <w:tab w:val="left" w:pos="1134"/>
        <w:tab w:val="left" w:pos="1701"/>
        <w:tab w:val="left" w:pos="2268"/>
        <w:tab w:val="left" w:pos="2835"/>
      </w:tabs>
      <w:spacing w:before="120" w:line="240" w:lineRule="auto"/>
      <w:ind w:left="566"/>
      <w:jc w:val="left"/>
    </w:pPr>
    <w:rPr>
      <w:rFonts w:cs="Times New Roman"/>
      <w:szCs w:val="20"/>
    </w:rPr>
  </w:style>
  <w:style w:type="paragraph" w:styleId="Index2">
    <w:name w:val="index 2"/>
    <w:basedOn w:val="Normal"/>
    <w:next w:val="Normal"/>
    <w:rsid w:val="005C3890"/>
    <w:pPr>
      <w:tabs>
        <w:tab w:val="clear" w:pos="794"/>
        <w:tab w:val="clear" w:pos="1191"/>
        <w:tab w:val="clear" w:pos="1588"/>
        <w:tab w:val="clear" w:pos="1985"/>
        <w:tab w:val="left" w:pos="567"/>
        <w:tab w:val="left" w:pos="1134"/>
        <w:tab w:val="left" w:pos="1701"/>
        <w:tab w:val="left" w:pos="2268"/>
        <w:tab w:val="left" w:pos="2835"/>
      </w:tabs>
      <w:spacing w:before="120" w:line="240" w:lineRule="auto"/>
      <w:ind w:left="283"/>
      <w:jc w:val="left"/>
    </w:pPr>
    <w:rPr>
      <w:rFonts w:cs="Times New Roman"/>
      <w:szCs w:val="20"/>
    </w:rPr>
  </w:style>
  <w:style w:type="paragraph" w:styleId="Index1">
    <w:name w:val="index 1"/>
    <w:basedOn w:val="Normal"/>
    <w:next w:val="Normal"/>
    <w:rsid w:val="005C3890"/>
    <w:pPr>
      <w:tabs>
        <w:tab w:val="clear" w:pos="794"/>
        <w:tab w:val="clear" w:pos="1191"/>
        <w:tab w:val="clear" w:pos="1588"/>
        <w:tab w:val="clear" w:pos="1985"/>
        <w:tab w:val="left" w:pos="567"/>
        <w:tab w:val="left" w:pos="1134"/>
        <w:tab w:val="left" w:pos="1701"/>
        <w:tab w:val="left" w:pos="2268"/>
        <w:tab w:val="left" w:pos="2835"/>
      </w:tabs>
      <w:spacing w:before="120" w:line="240" w:lineRule="auto"/>
      <w:jc w:val="left"/>
    </w:pPr>
    <w:rPr>
      <w:rFonts w:cs="Times New Roman"/>
      <w:szCs w:val="20"/>
    </w:rPr>
  </w:style>
  <w:style w:type="character" w:styleId="LineNumber">
    <w:name w:val="line number"/>
    <w:basedOn w:val="DefaultParagraphFont"/>
    <w:rsid w:val="005C3890"/>
  </w:style>
  <w:style w:type="paragraph" w:styleId="IndexHeading">
    <w:name w:val="index heading"/>
    <w:basedOn w:val="Normal"/>
    <w:next w:val="Index1"/>
    <w:rsid w:val="005C3890"/>
    <w:pPr>
      <w:tabs>
        <w:tab w:val="clear" w:pos="794"/>
        <w:tab w:val="clear" w:pos="1191"/>
        <w:tab w:val="clear" w:pos="1588"/>
        <w:tab w:val="clear" w:pos="1985"/>
        <w:tab w:val="left" w:pos="567"/>
        <w:tab w:val="left" w:pos="1134"/>
        <w:tab w:val="left" w:pos="1701"/>
        <w:tab w:val="left" w:pos="2268"/>
        <w:tab w:val="left" w:pos="2835"/>
      </w:tabs>
      <w:spacing w:before="120" w:line="240" w:lineRule="auto"/>
      <w:jc w:val="left"/>
    </w:pPr>
    <w:rPr>
      <w:rFonts w:cs="Times New Roman"/>
      <w:szCs w:val="20"/>
    </w:rPr>
  </w:style>
  <w:style w:type="paragraph" w:styleId="Footer">
    <w:name w:val="footer"/>
    <w:basedOn w:val="Normal"/>
    <w:rsid w:val="00732045"/>
    <w:pPr>
      <w:tabs>
        <w:tab w:val="clear" w:pos="794"/>
        <w:tab w:val="clear" w:pos="1191"/>
        <w:tab w:val="clear" w:pos="1588"/>
        <w:tab w:val="clear" w:pos="1985"/>
        <w:tab w:val="left" w:pos="5954"/>
        <w:tab w:val="right" w:pos="9639"/>
      </w:tabs>
      <w:spacing w:before="0" w:line="240" w:lineRule="auto"/>
      <w:jc w:val="left"/>
    </w:pPr>
    <w:rPr>
      <w:rFonts w:cs="Times New Roman"/>
      <w:caps/>
      <w:noProof/>
      <w:sz w:val="16"/>
      <w:szCs w:val="20"/>
    </w:rPr>
  </w:style>
  <w:style w:type="paragraph" w:styleId="Header">
    <w:name w:val="header"/>
    <w:basedOn w:val="Normal"/>
    <w:rsid w:val="00732045"/>
    <w:pPr>
      <w:tabs>
        <w:tab w:val="clear" w:pos="794"/>
        <w:tab w:val="clear" w:pos="1191"/>
        <w:tab w:val="clear" w:pos="1588"/>
        <w:tab w:val="clear" w:pos="1985"/>
      </w:tabs>
      <w:spacing w:before="0" w:line="240" w:lineRule="auto"/>
      <w:jc w:val="center"/>
    </w:pPr>
    <w:rPr>
      <w:rFonts w:cs="Times New Roman"/>
      <w:sz w:val="18"/>
      <w:szCs w:val="20"/>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clear" w:pos="794"/>
        <w:tab w:val="clear" w:pos="1191"/>
        <w:tab w:val="clear" w:pos="1588"/>
        <w:tab w:val="clear" w:pos="1985"/>
        <w:tab w:val="left" w:pos="256"/>
        <w:tab w:val="left" w:pos="567"/>
        <w:tab w:val="left" w:pos="1134"/>
        <w:tab w:val="left" w:pos="1701"/>
        <w:tab w:val="left" w:pos="2268"/>
        <w:tab w:val="left" w:pos="2835"/>
      </w:tabs>
      <w:spacing w:before="120" w:line="240" w:lineRule="auto"/>
      <w:ind w:left="256" w:hanging="256"/>
      <w:jc w:val="left"/>
    </w:pPr>
    <w:rPr>
      <w:rFonts w:cs="Times New Roman"/>
      <w:szCs w:val="20"/>
    </w:rPr>
  </w:style>
  <w:style w:type="paragraph" w:styleId="NormalIndent">
    <w:name w:val="Normal Indent"/>
    <w:basedOn w:val="Normal"/>
    <w:rsid w:val="00732045"/>
    <w:pPr>
      <w:tabs>
        <w:tab w:val="clear" w:pos="794"/>
        <w:tab w:val="clear" w:pos="1191"/>
        <w:tab w:val="clear" w:pos="1588"/>
        <w:tab w:val="clear" w:pos="1985"/>
        <w:tab w:val="left" w:pos="567"/>
        <w:tab w:val="left" w:pos="1134"/>
        <w:tab w:val="left" w:pos="1701"/>
        <w:tab w:val="left" w:pos="2268"/>
        <w:tab w:val="left" w:pos="2835"/>
      </w:tabs>
      <w:spacing w:before="120" w:line="240" w:lineRule="auto"/>
      <w:ind w:left="567"/>
      <w:jc w:val="left"/>
    </w:pPr>
    <w:rPr>
      <w:rFonts w:cs="Times New Roman"/>
      <w:szCs w:val="20"/>
    </w:rPr>
  </w:style>
  <w:style w:type="paragraph" w:customStyle="1" w:styleId="enumlev1">
    <w:name w:val="enumlev1"/>
    <w:basedOn w:val="Normal"/>
    <w:rsid w:val="00732045"/>
    <w:pPr>
      <w:tabs>
        <w:tab w:val="clear" w:pos="794"/>
        <w:tab w:val="clear" w:pos="1191"/>
        <w:tab w:val="clear" w:pos="1588"/>
        <w:tab w:val="clear" w:pos="1985"/>
        <w:tab w:val="left" w:pos="567"/>
        <w:tab w:val="left" w:pos="1134"/>
        <w:tab w:val="left" w:pos="1701"/>
        <w:tab w:val="left" w:pos="2268"/>
        <w:tab w:val="left" w:pos="2835"/>
      </w:tabs>
      <w:spacing w:before="86" w:line="240" w:lineRule="auto"/>
      <w:ind w:left="567" w:hanging="567"/>
      <w:jc w:val="left"/>
    </w:pPr>
    <w:rPr>
      <w:rFonts w:cs="Times New Roman"/>
      <w:szCs w:val="20"/>
    </w:r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lear" w:pos="794"/>
        <w:tab w:val="clear" w:pos="1191"/>
        <w:tab w:val="clear" w:pos="1588"/>
        <w:tab w:val="clear" w:pos="1985"/>
        <w:tab w:val="left" w:pos="567"/>
        <w:tab w:val="left" w:pos="1134"/>
        <w:tab w:val="left" w:pos="1701"/>
        <w:tab w:val="left" w:pos="2268"/>
        <w:tab w:val="left" w:pos="2835"/>
        <w:tab w:val="center" w:pos="4820"/>
        <w:tab w:val="right" w:pos="9639"/>
      </w:tabs>
      <w:spacing w:before="120" w:line="240" w:lineRule="auto"/>
      <w:jc w:val="left"/>
    </w:pPr>
    <w:rPr>
      <w:rFonts w:cs="Times New Roman"/>
      <w:szCs w:val="20"/>
    </w:rPr>
  </w:style>
  <w:style w:type="paragraph" w:customStyle="1" w:styleId="Head">
    <w:name w:val="Head"/>
    <w:basedOn w:val="Normal"/>
    <w:rsid w:val="005C3890"/>
    <w:pPr>
      <w:tabs>
        <w:tab w:val="clear" w:pos="794"/>
        <w:tab w:val="clear" w:pos="1191"/>
        <w:tab w:val="clear" w:pos="1588"/>
        <w:tab w:val="clear" w:pos="1985"/>
        <w:tab w:val="left" w:pos="567"/>
        <w:tab w:val="left" w:pos="1134"/>
        <w:tab w:val="left" w:pos="1701"/>
        <w:tab w:val="left" w:pos="2268"/>
        <w:tab w:val="left" w:pos="2835"/>
        <w:tab w:val="left" w:pos="6663"/>
      </w:tabs>
      <w:overflowPunct/>
      <w:autoSpaceDE/>
      <w:autoSpaceDN/>
      <w:adjustRightInd/>
      <w:spacing w:before="0" w:line="240" w:lineRule="auto"/>
      <w:jc w:val="left"/>
      <w:textAlignment w:val="auto"/>
    </w:pPr>
    <w:rPr>
      <w:rFonts w:cs="Times New Roman"/>
      <w:szCs w:val="20"/>
    </w:rPr>
  </w:style>
  <w:style w:type="paragraph" w:customStyle="1" w:styleId="Normalaftertitle">
    <w:name w:val="Normal after title"/>
    <w:basedOn w:val="Normal"/>
    <w:next w:val="Normal"/>
    <w:rsid w:val="00732045"/>
    <w:pPr>
      <w:tabs>
        <w:tab w:val="clear" w:pos="794"/>
        <w:tab w:val="clear" w:pos="1191"/>
        <w:tab w:val="clear" w:pos="1588"/>
        <w:tab w:val="clear" w:pos="1985"/>
        <w:tab w:val="left" w:pos="567"/>
        <w:tab w:val="left" w:pos="1134"/>
        <w:tab w:val="left" w:pos="1701"/>
        <w:tab w:val="left" w:pos="2268"/>
        <w:tab w:val="left" w:pos="2835"/>
      </w:tabs>
      <w:spacing w:before="240" w:line="240" w:lineRule="auto"/>
      <w:jc w:val="left"/>
    </w:pPr>
    <w:rPr>
      <w:rFonts w:cs="Times New Roman"/>
      <w:szCs w:val="20"/>
    </w:rPr>
  </w:style>
  <w:style w:type="paragraph" w:customStyle="1" w:styleId="Call">
    <w:name w:val="Call"/>
    <w:basedOn w:val="Normal"/>
    <w:next w:val="Normal"/>
    <w:rsid w:val="00732045"/>
    <w:pPr>
      <w:keepNext/>
      <w:keepLines/>
      <w:tabs>
        <w:tab w:val="clear" w:pos="794"/>
        <w:tab w:val="clear" w:pos="1191"/>
        <w:tab w:val="clear" w:pos="1588"/>
        <w:tab w:val="clear" w:pos="1985"/>
        <w:tab w:val="left" w:pos="567"/>
      </w:tabs>
      <w:spacing w:line="240" w:lineRule="auto"/>
      <w:ind w:left="567"/>
      <w:jc w:val="left"/>
    </w:pPr>
    <w:rPr>
      <w:rFonts w:cs="Times New Roman"/>
      <w:i/>
      <w:szCs w:val="20"/>
    </w:rPr>
  </w:style>
  <w:style w:type="paragraph" w:customStyle="1" w:styleId="toc0">
    <w:name w:val="toc 0"/>
    <w:basedOn w:val="Normal"/>
    <w:next w:val="TOC1"/>
    <w:rsid w:val="00732045"/>
    <w:pPr>
      <w:tabs>
        <w:tab w:val="clear" w:pos="794"/>
        <w:tab w:val="clear" w:pos="1191"/>
        <w:tab w:val="clear" w:pos="1588"/>
        <w:tab w:val="clear" w:pos="1985"/>
        <w:tab w:val="right" w:pos="9781"/>
      </w:tabs>
      <w:spacing w:before="120" w:line="240" w:lineRule="auto"/>
      <w:jc w:val="left"/>
    </w:pPr>
    <w:rPr>
      <w:rFonts w:cs="Times New Roman"/>
      <w:b/>
      <w:szCs w:val="20"/>
    </w:rPr>
  </w:style>
  <w:style w:type="paragraph" w:styleId="List">
    <w:name w:val="List"/>
    <w:basedOn w:val="Normal"/>
    <w:rsid w:val="005C3890"/>
    <w:pPr>
      <w:tabs>
        <w:tab w:val="clear" w:pos="794"/>
        <w:tab w:val="clear" w:pos="1191"/>
        <w:tab w:val="clear" w:pos="1588"/>
        <w:tab w:val="clear" w:pos="1985"/>
        <w:tab w:val="left" w:pos="567"/>
        <w:tab w:val="left" w:pos="1134"/>
        <w:tab w:val="left" w:pos="1701"/>
        <w:tab w:val="left" w:pos="2127"/>
        <w:tab w:val="left" w:pos="2268"/>
        <w:tab w:val="left" w:pos="2835"/>
      </w:tabs>
      <w:spacing w:before="120" w:line="240" w:lineRule="auto"/>
      <w:ind w:left="2127" w:hanging="2127"/>
      <w:jc w:val="left"/>
    </w:pPr>
    <w:rPr>
      <w:rFonts w:cs="Times New Roman"/>
      <w:szCs w:val="20"/>
    </w:rPr>
  </w:style>
  <w:style w:type="paragraph" w:customStyle="1" w:styleId="Part">
    <w:name w:val="Part"/>
    <w:basedOn w:val="Normal"/>
    <w:rsid w:val="005C3890"/>
    <w:pPr>
      <w:tabs>
        <w:tab w:val="clear" w:pos="794"/>
        <w:tab w:val="clear" w:pos="1191"/>
        <w:tab w:val="clear" w:pos="1588"/>
        <w:tab w:val="clear" w:pos="1985"/>
        <w:tab w:val="left" w:pos="567"/>
        <w:tab w:val="left" w:pos="1134"/>
        <w:tab w:val="left" w:pos="1276"/>
        <w:tab w:val="left" w:pos="1701"/>
        <w:tab w:val="left" w:pos="2268"/>
        <w:tab w:val="left" w:pos="2835"/>
      </w:tabs>
      <w:spacing w:before="199" w:line="240" w:lineRule="auto"/>
      <w:ind w:left="1701" w:hanging="1701"/>
      <w:jc w:val="left"/>
    </w:pPr>
    <w:rPr>
      <w:rFonts w:cs="Times New Roman"/>
      <w:caps/>
      <w:szCs w:val="20"/>
    </w:rPr>
  </w:style>
  <w:style w:type="paragraph" w:customStyle="1" w:styleId="Reasons">
    <w:name w:val="Reasons"/>
    <w:basedOn w:val="Normal"/>
    <w:rsid w:val="00732045"/>
    <w:pPr>
      <w:tabs>
        <w:tab w:val="clear" w:pos="794"/>
        <w:tab w:val="clear" w:pos="1191"/>
        <w:tab w:val="clear" w:pos="1588"/>
        <w:tab w:val="clear" w:pos="1985"/>
        <w:tab w:val="left" w:pos="567"/>
        <w:tab w:val="left" w:pos="1134"/>
        <w:tab w:val="left" w:pos="1701"/>
        <w:tab w:val="left" w:pos="2268"/>
        <w:tab w:val="left" w:pos="2835"/>
      </w:tabs>
      <w:spacing w:before="120" w:line="240" w:lineRule="auto"/>
      <w:jc w:val="left"/>
    </w:pPr>
    <w:rPr>
      <w:rFonts w:cs="Times New Roman"/>
      <w:szCs w:val="20"/>
    </w:rPr>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clear" w:pos="794"/>
        <w:tab w:val="clear" w:pos="1191"/>
        <w:tab w:val="clear" w:pos="1588"/>
        <w:tab w:val="clear" w:pos="1985"/>
        <w:tab w:val="left" w:pos="567"/>
        <w:tab w:val="left" w:pos="709"/>
        <w:tab w:val="left" w:pos="1134"/>
        <w:tab w:val="left" w:pos="1701"/>
        <w:tab w:val="left" w:pos="2268"/>
        <w:tab w:val="left" w:pos="2835"/>
      </w:tabs>
      <w:spacing w:before="0" w:line="240" w:lineRule="auto"/>
      <w:ind w:left="709" w:hanging="709"/>
      <w:jc w:val="left"/>
    </w:pPr>
    <w:rPr>
      <w:rFonts w:cs="Times New Roman"/>
      <w:szCs w:val="20"/>
    </w:rPr>
  </w:style>
  <w:style w:type="paragraph" w:customStyle="1" w:styleId="Source">
    <w:name w:val="Source"/>
    <w:basedOn w:val="Normal"/>
    <w:next w:val="Title1"/>
    <w:rsid w:val="00732045"/>
    <w:pPr>
      <w:tabs>
        <w:tab w:val="clear" w:pos="794"/>
        <w:tab w:val="clear" w:pos="1191"/>
        <w:tab w:val="clear" w:pos="1588"/>
        <w:tab w:val="clear" w:pos="1985"/>
        <w:tab w:val="left" w:pos="567"/>
        <w:tab w:val="left" w:pos="1134"/>
        <w:tab w:val="left" w:pos="1701"/>
        <w:tab w:val="left" w:pos="2268"/>
        <w:tab w:val="left" w:pos="2835"/>
      </w:tabs>
      <w:spacing w:before="840" w:line="240" w:lineRule="auto"/>
      <w:jc w:val="center"/>
    </w:pPr>
    <w:rPr>
      <w:rFonts w:cs="Times New Roman"/>
      <w:b/>
      <w:sz w:val="28"/>
      <w:szCs w:val="20"/>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clear" w:pos="794"/>
        <w:tab w:val="clear" w:pos="1191"/>
        <w:tab w:val="clear" w:pos="1588"/>
        <w:tab w:val="clear" w:pos="1985"/>
        <w:tab w:val="left" w:pos="567"/>
        <w:tab w:val="left" w:pos="1134"/>
        <w:tab w:val="left" w:pos="1701"/>
        <w:tab w:val="left" w:pos="1871"/>
        <w:tab w:val="left" w:pos="2268"/>
        <w:tab w:val="left" w:pos="2835"/>
      </w:tabs>
      <w:spacing w:before="120" w:line="240" w:lineRule="auto"/>
      <w:jc w:val="left"/>
    </w:pPr>
    <w:rPr>
      <w:rFonts w:cs="Times New Roman"/>
      <w:b/>
      <w:bCs/>
      <w:szCs w:val="20"/>
    </w:rPr>
  </w:style>
  <w:style w:type="paragraph" w:customStyle="1" w:styleId="FirstFooter">
    <w:name w:val="FirstFooter"/>
    <w:basedOn w:val="Footer"/>
    <w:rsid w:val="00732045"/>
    <w:rPr>
      <w:caps w:val="0"/>
    </w:rPr>
  </w:style>
  <w:style w:type="paragraph" w:customStyle="1" w:styleId="Note">
    <w:name w:val="Note"/>
    <w:basedOn w:val="Normal"/>
    <w:rsid w:val="005C3890"/>
    <w:pPr>
      <w:tabs>
        <w:tab w:val="clear" w:pos="794"/>
        <w:tab w:val="clear" w:pos="1191"/>
        <w:tab w:val="clear" w:pos="1588"/>
        <w:tab w:val="clear" w:pos="1985"/>
        <w:tab w:val="left" w:pos="567"/>
        <w:tab w:val="left" w:pos="1134"/>
        <w:tab w:val="left" w:pos="1701"/>
        <w:tab w:val="left" w:pos="2268"/>
        <w:tab w:val="left" w:pos="2835"/>
      </w:tabs>
      <w:spacing w:before="80" w:line="240" w:lineRule="auto"/>
      <w:jc w:val="left"/>
    </w:pPr>
    <w:rPr>
      <w:rFonts w:cs="Times New Roman"/>
      <w:szCs w:val="20"/>
    </w:rPr>
  </w:style>
  <w:style w:type="paragraph" w:styleId="TOC9">
    <w:name w:val="toc 9"/>
    <w:basedOn w:val="Normal"/>
    <w:next w:val="Normal"/>
    <w:rsid w:val="00732045"/>
    <w:pPr>
      <w:tabs>
        <w:tab w:val="clear" w:pos="794"/>
        <w:tab w:val="clear" w:pos="1191"/>
        <w:tab w:val="clear" w:pos="1588"/>
        <w:tab w:val="clear" w:pos="1985"/>
        <w:tab w:val="right" w:leader="dot" w:pos="9645"/>
      </w:tabs>
      <w:spacing w:before="120" w:line="240" w:lineRule="auto"/>
      <w:ind w:left="1920"/>
      <w:jc w:val="left"/>
    </w:pPr>
    <w:rPr>
      <w:rFonts w:cs="Times New Roman"/>
      <w:szCs w:val="20"/>
    </w:rPr>
  </w:style>
  <w:style w:type="paragraph" w:customStyle="1" w:styleId="ddate">
    <w:name w:val="ddate"/>
    <w:basedOn w:val="Normal"/>
    <w:rsid w:val="005C3890"/>
    <w:pPr>
      <w:framePr w:hSpace="181" w:wrap="notBeside" w:vAnchor="page" w:hAnchor="margin" w:x="1" w:y="852"/>
      <w:shd w:val="solid" w:color="FFFFFF" w:fill="FFFFFF"/>
      <w:tabs>
        <w:tab w:val="clear" w:pos="794"/>
        <w:tab w:val="clear" w:pos="1191"/>
        <w:tab w:val="clear" w:pos="1588"/>
        <w:tab w:val="clear" w:pos="1985"/>
        <w:tab w:val="left" w:pos="567"/>
        <w:tab w:val="left" w:pos="1134"/>
        <w:tab w:val="left" w:pos="1701"/>
        <w:tab w:val="left" w:pos="1871"/>
        <w:tab w:val="left" w:pos="2268"/>
        <w:tab w:val="left" w:pos="2835"/>
      </w:tabs>
      <w:spacing w:before="0" w:line="240" w:lineRule="auto"/>
      <w:jc w:val="left"/>
    </w:pPr>
    <w:rPr>
      <w:rFonts w:cs="Times New Roman"/>
      <w:b/>
      <w:bCs/>
      <w:szCs w:val="20"/>
    </w:rPr>
  </w:style>
  <w:style w:type="paragraph" w:customStyle="1" w:styleId="dorlang">
    <w:name w:val="dorlang"/>
    <w:basedOn w:val="Normal"/>
    <w:rsid w:val="005C3890"/>
    <w:pPr>
      <w:framePr w:hSpace="181" w:wrap="notBeside" w:vAnchor="page" w:hAnchor="margin" w:x="1" w:y="852"/>
      <w:shd w:val="solid" w:color="FFFFFF" w:fill="FFFFFF"/>
      <w:tabs>
        <w:tab w:val="clear" w:pos="794"/>
        <w:tab w:val="clear" w:pos="1191"/>
        <w:tab w:val="clear" w:pos="1588"/>
        <w:tab w:val="clear" w:pos="1985"/>
        <w:tab w:val="left" w:pos="567"/>
        <w:tab w:val="left" w:pos="1134"/>
        <w:tab w:val="left" w:pos="1701"/>
        <w:tab w:val="left" w:pos="1871"/>
        <w:tab w:val="left" w:pos="2268"/>
        <w:tab w:val="left" w:pos="2835"/>
      </w:tabs>
      <w:spacing w:before="0" w:line="240" w:lineRule="auto"/>
      <w:jc w:val="left"/>
    </w:pPr>
    <w:rPr>
      <w:rFonts w:cs="Times New Roman"/>
      <w:b/>
      <w:bCs/>
      <w:szCs w:val="20"/>
    </w:rPr>
  </w:style>
  <w:style w:type="character" w:styleId="Hyperlink">
    <w:name w:val="Hyperlink"/>
    <w:basedOn w:val="DefaultParagraphFont"/>
    <w:uiPriority w:val="99"/>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tabs>
        <w:tab w:val="clear" w:pos="794"/>
        <w:tab w:val="clear" w:pos="1191"/>
        <w:tab w:val="clear" w:pos="1588"/>
        <w:tab w:val="clear" w:pos="1985"/>
        <w:tab w:val="left" w:pos="567"/>
        <w:tab w:val="left" w:pos="1134"/>
        <w:tab w:val="left" w:pos="1701"/>
        <w:tab w:val="left" w:pos="2268"/>
        <w:tab w:val="left" w:pos="2835"/>
      </w:tabs>
      <w:spacing w:before="720" w:line="240" w:lineRule="auto"/>
      <w:jc w:val="center"/>
    </w:pPr>
    <w:rPr>
      <w:rFonts w:cs="Times New Roman"/>
      <w:caps/>
      <w:sz w:val="28"/>
      <w:szCs w:val="20"/>
    </w:rPr>
  </w:style>
  <w:style w:type="paragraph" w:customStyle="1" w:styleId="Annexref">
    <w:name w:val="Annex_ref"/>
    <w:basedOn w:val="Normal"/>
    <w:next w:val="Annextitle"/>
    <w:rsid w:val="00732045"/>
    <w:pPr>
      <w:tabs>
        <w:tab w:val="clear" w:pos="794"/>
        <w:tab w:val="clear" w:pos="1191"/>
        <w:tab w:val="clear" w:pos="1588"/>
        <w:tab w:val="clear" w:pos="1985"/>
        <w:tab w:val="left" w:pos="567"/>
        <w:tab w:val="left" w:pos="1134"/>
        <w:tab w:val="left" w:pos="1701"/>
        <w:tab w:val="left" w:pos="2268"/>
        <w:tab w:val="left" w:pos="2835"/>
      </w:tabs>
      <w:spacing w:before="120" w:line="240" w:lineRule="auto"/>
      <w:jc w:val="center"/>
    </w:pPr>
    <w:rPr>
      <w:rFonts w:cs="Times New Roman"/>
      <w:sz w:val="28"/>
      <w:szCs w:val="20"/>
    </w:rPr>
  </w:style>
  <w:style w:type="paragraph" w:customStyle="1" w:styleId="Annextitle">
    <w:name w:val="Annex_title"/>
    <w:basedOn w:val="Normal"/>
    <w:next w:val="Normal"/>
    <w:rsid w:val="00732045"/>
    <w:pPr>
      <w:tabs>
        <w:tab w:val="clear" w:pos="794"/>
        <w:tab w:val="clear" w:pos="1191"/>
        <w:tab w:val="clear" w:pos="1588"/>
        <w:tab w:val="clear" w:pos="1985"/>
        <w:tab w:val="left" w:pos="567"/>
        <w:tab w:val="left" w:pos="1134"/>
        <w:tab w:val="left" w:pos="1701"/>
        <w:tab w:val="left" w:pos="2268"/>
        <w:tab w:val="left" w:pos="2835"/>
      </w:tabs>
      <w:spacing w:before="240" w:after="240" w:line="240" w:lineRule="auto"/>
      <w:jc w:val="center"/>
    </w:pPr>
    <w:rPr>
      <w:rFonts w:cs="Times New Roman"/>
      <w:b/>
      <w:sz w:val="28"/>
      <w:szCs w:val="20"/>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794"/>
        <w:tab w:val="clear" w:pos="1191"/>
        <w:tab w:val="clear" w:pos="1588"/>
        <w:tab w:val="clear" w:pos="1985"/>
      </w:tabs>
      <w:spacing w:before="480" w:line="240" w:lineRule="auto"/>
      <w:jc w:val="center"/>
    </w:pPr>
    <w:rPr>
      <w:rFonts w:cs="Times New Roman"/>
      <w:b/>
      <w:szCs w:val="20"/>
    </w:rPr>
  </w:style>
  <w:style w:type="paragraph" w:customStyle="1" w:styleId="ArtNo">
    <w:name w:val="Art_No"/>
    <w:basedOn w:val="Normal"/>
    <w:next w:val="Arttitle"/>
    <w:rsid w:val="00732045"/>
    <w:pPr>
      <w:tabs>
        <w:tab w:val="clear" w:pos="794"/>
        <w:tab w:val="clear" w:pos="1191"/>
        <w:tab w:val="clear" w:pos="1588"/>
        <w:tab w:val="clear" w:pos="1985"/>
      </w:tabs>
      <w:spacing w:before="600" w:line="240" w:lineRule="auto"/>
      <w:jc w:val="center"/>
    </w:pPr>
    <w:rPr>
      <w:rFonts w:cs="Times New Roman"/>
      <w:caps/>
      <w:sz w:val="28"/>
      <w:szCs w:val="20"/>
    </w:rPr>
  </w:style>
  <w:style w:type="paragraph" w:customStyle="1" w:styleId="Arttitle">
    <w:name w:val="Art_title"/>
    <w:basedOn w:val="Normal"/>
    <w:next w:val="Normal"/>
    <w:rsid w:val="00732045"/>
    <w:pPr>
      <w:tabs>
        <w:tab w:val="clear" w:pos="794"/>
        <w:tab w:val="clear" w:pos="1191"/>
        <w:tab w:val="clear" w:pos="1588"/>
        <w:tab w:val="clear" w:pos="1985"/>
      </w:tabs>
      <w:spacing w:before="240" w:after="240" w:line="240" w:lineRule="auto"/>
      <w:jc w:val="center"/>
    </w:pPr>
    <w:rPr>
      <w:rFonts w:cs="Times New Roman"/>
      <w:b/>
      <w:sz w:val="28"/>
      <w:szCs w:val="20"/>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tabs>
        <w:tab w:val="clear" w:pos="794"/>
        <w:tab w:val="clear" w:pos="1191"/>
        <w:tab w:val="clear" w:pos="1588"/>
        <w:tab w:val="clear" w:pos="1985"/>
        <w:tab w:val="left" w:pos="567"/>
        <w:tab w:val="left" w:pos="1134"/>
        <w:tab w:val="left" w:pos="1701"/>
        <w:tab w:val="left" w:pos="2268"/>
        <w:tab w:val="left" w:pos="2835"/>
      </w:tabs>
      <w:spacing w:before="120" w:after="120" w:line="240" w:lineRule="auto"/>
      <w:jc w:val="center"/>
    </w:pPr>
    <w:rPr>
      <w:rFonts w:cs="Times New Roman"/>
      <w:szCs w:val="20"/>
    </w:rPr>
  </w:style>
  <w:style w:type="paragraph" w:customStyle="1" w:styleId="Figurelegend">
    <w:name w:val="Figure_legend"/>
    <w:basedOn w:val="Normal"/>
    <w:rsid w:val="005C3890"/>
    <w:pPr>
      <w:keepNext/>
      <w:keepLines/>
      <w:tabs>
        <w:tab w:val="clear" w:pos="794"/>
        <w:tab w:val="clear" w:pos="1191"/>
        <w:tab w:val="clear" w:pos="1588"/>
        <w:tab w:val="clear" w:pos="1985"/>
        <w:tab w:val="left" w:pos="567"/>
        <w:tab w:val="left" w:pos="1134"/>
        <w:tab w:val="left" w:pos="1701"/>
        <w:tab w:val="left" w:pos="2268"/>
        <w:tab w:val="left" w:pos="2835"/>
      </w:tabs>
      <w:spacing w:before="20" w:after="20" w:line="240" w:lineRule="auto"/>
      <w:jc w:val="left"/>
    </w:pPr>
    <w:rPr>
      <w:rFonts w:cs="Times New Roman"/>
      <w:sz w:val="18"/>
      <w:szCs w:val="20"/>
    </w:rPr>
  </w:style>
  <w:style w:type="paragraph" w:customStyle="1" w:styleId="TableNo">
    <w:name w:val="Table_No"/>
    <w:basedOn w:val="Normal"/>
    <w:next w:val="Tabletitle"/>
    <w:rsid w:val="00732045"/>
    <w:pPr>
      <w:keepNext/>
      <w:tabs>
        <w:tab w:val="clear" w:pos="794"/>
        <w:tab w:val="clear" w:pos="1191"/>
        <w:tab w:val="clear" w:pos="1588"/>
        <w:tab w:val="clear" w:pos="1985"/>
        <w:tab w:val="left" w:pos="567"/>
        <w:tab w:val="left" w:pos="1134"/>
        <w:tab w:val="left" w:pos="1701"/>
        <w:tab w:val="left" w:pos="2268"/>
        <w:tab w:val="left" w:pos="2835"/>
      </w:tabs>
      <w:spacing w:before="560" w:after="120" w:line="240" w:lineRule="auto"/>
      <w:jc w:val="center"/>
    </w:pPr>
    <w:rPr>
      <w:rFonts w:cs="Times New Roman"/>
      <w:caps/>
      <w:szCs w:val="20"/>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tabs>
        <w:tab w:val="clear" w:pos="794"/>
        <w:tab w:val="clear" w:pos="1191"/>
        <w:tab w:val="clear" w:pos="1588"/>
        <w:tab w:val="clear" w:pos="1985"/>
        <w:tab w:val="left" w:pos="567"/>
        <w:tab w:val="left" w:pos="1134"/>
        <w:tab w:val="left" w:pos="1701"/>
        <w:tab w:val="left" w:pos="2268"/>
        <w:tab w:val="left" w:pos="2835"/>
      </w:tabs>
      <w:spacing w:before="720" w:line="240" w:lineRule="auto"/>
      <w:jc w:val="center"/>
    </w:pPr>
    <w:rPr>
      <w:rFonts w:cs="Times New Roman"/>
      <w:caps/>
      <w:sz w:val="28"/>
      <w:szCs w:val="20"/>
    </w:rPr>
  </w:style>
  <w:style w:type="paragraph" w:customStyle="1" w:styleId="Rectitle">
    <w:name w:val="Rec_title"/>
    <w:basedOn w:val="Normal"/>
    <w:next w:val="Heading1"/>
    <w:rsid w:val="00732045"/>
    <w:pPr>
      <w:tabs>
        <w:tab w:val="clear" w:pos="794"/>
        <w:tab w:val="clear" w:pos="1191"/>
        <w:tab w:val="clear" w:pos="1588"/>
        <w:tab w:val="clear" w:pos="1985"/>
        <w:tab w:val="left" w:pos="567"/>
        <w:tab w:val="left" w:pos="1134"/>
        <w:tab w:val="left" w:pos="1701"/>
        <w:tab w:val="left" w:pos="2268"/>
        <w:tab w:val="left" w:pos="2835"/>
      </w:tabs>
      <w:spacing w:before="240" w:line="240" w:lineRule="auto"/>
      <w:jc w:val="center"/>
    </w:pPr>
    <w:rPr>
      <w:rFonts w:cs="Times New Roman"/>
      <w:b/>
      <w:sz w:val="28"/>
      <w:szCs w:val="20"/>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tabs>
        <w:tab w:val="clear" w:pos="794"/>
        <w:tab w:val="clear" w:pos="1191"/>
        <w:tab w:val="clear" w:pos="1588"/>
        <w:tab w:val="clear" w:pos="1985"/>
        <w:tab w:val="left" w:pos="567"/>
        <w:tab w:val="left" w:pos="1134"/>
        <w:tab w:val="left" w:pos="1701"/>
        <w:tab w:val="left" w:pos="2268"/>
        <w:tab w:val="left" w:pos="2835"/>
      </w:tabs>
      <w:spacing w:before="120" w:line="240" w:lineRule="auto"/>
      <w:ind w:left="567" w:hanging="567"/>
      <w:jc w:val="left"/>
    </w:pPr>
    <w:rPr>
      <w:rFonts w:cs="Times New Roman"/>
      <w:szCs w:val="20"/>
    </w:rPr>
  </w:style>
  <w:style w:type="paragraph" w:customStyle="1" w:styleId="Reftitle">
    <w:name w:val="Ref_title"/>
    <w:basedOn w:val="Normal"/>
    <w:next w:val="Reftext"/>
    <w:rsid w:val="00732045"/>
    <w:pPr>
      <w:tabs>
        <w:tab w:val="clear" w:pos="794"/>
        <w:tab w:val="clear" w:pos="1191"/>
        <w:tab w:val="clear" w:pos="1588"/>
        <w:tab w:val="clear" w:pos="1985"/>
        <w:tab w:val="left" w:pos="567"/>
        <w:tab w:val="left" w:pos="1134"/>
        <w:tab w:val="left" w:pos="1701"/>
        <w:tab w:val="left" w:pos="2268"/>
        <w:tab w:val="left" w:pos="2835"/>
      </w:tabs>
      <w:spacing w:before="480" w:line="240" w:lineRule="auto"/>
      <w:jc w:val="center"/>
    </w:pPr>
    <w:rPr>
      <w:rFonts w:cs="Times New Roman"/>
      <w:caps/>
      <w:sz w:val="28"/>
      <w:szCs w:val="20"/>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pPr>
      <w:tabs>
        <w:tab w:val="clear" w:pos="794"/>
        <w:tab w:val="clear" w:pos="1191"/>
        <w:tab w:val="clear" w:pos="1588"/>
        <w:tab w:val="clear" w:pos="1985"/>
        <w:tab w:val="left" w:pos="567"/>
        <w:tab w:val="left" w:pos="1134"/>
        <w:tab w:val="left" w:pos="1701"/>
        <w:tab w:val="left" w:pos="2268"/>
        <w:tab w:val="left" w:pos="2835"/>
      </w:tabs>
      <w:spacing w:before="120" w:line="240" w:lineRule="auto"/>
      <w:jc w:val="left"/>
    </w:pPr>
    <w:rPr>
      <w:rFonts w:cs="Times New Roman"/>
      <w:sz w:val="28"/>
      <w:szCs w:val="20"/>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794"/>
        <w:tab w:val="clear" w:pos="1191"/>
        <w:tab w:val="clear" w:pos="1588"/>
        <w:tab w:val="clear" w:pos="1985"/>
      </w:tabs>
      <w:spacing w:before="60" w:after="60" w:line="240" w:lineRule="auto"/>
      <w:jc w:val="left"/>
    </w:pPr>
    <w:rPr>
      <w:rFonts w:cs="Times New Roman"/>
      <w:szCs w:val="20"/>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tabs>
        <w:tab w:val="clear" w:pos="794"/>
        <w:tab w:val="clear" w:pos="1191"/>
        <w:tab w:val="clear" w:pos="1588"/>
        <w:tab w:val="clear" w:pos="1985"/>
        <w:tab w:val="left" w:pos="567"/>
        <w:tab w:val="left" w:pos="1134"/>
        <w:tab w:val="left" w:pos="1701"/>
        <w:tab w:val="left" w:pos="2268"/>
        <w:tab w:val="left" w:pos="2835"/>
      </w:tabs>
      <w:spacing w:before="567" w:line="240" w:lineRule="auto"/>
      <w:jc w:val="center"/>
    </w:pPr>
    <w:rPr>
      <w:rFonts w:cs="Times New Roman"/>
      <w:szCs w:val="20"/>
    </w:r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tabs>
        <w:tab w:val="clear" w:pos="794"/>
        <w:tab w:val="clear" w:pos="1191"/>
        <w:tab w:val="clear" w:pos="1588"/>
        <w:tab w:val="clear" w:pos="1985"/>
        <w:tab w:val="left" w:pos="567"/>
        <w:tab w:val="left" w:pos="1134"/>
        <w:tab w:val="left" w:pos="1701"/>
        <w:tab w:val="left" w:pos="2268"/>
        <w:tab w:val="left" w:pos="2835"/>
      </w:tabs>
      <w:spacing w:before="240" w:after="120" w:line="240" w:lineRule="auto"/>
      <w:jc w:val="center"/>
    </w:pPr>
    <w:rPr>
      <w:rFonts w:cs="Times New Roman"/>
      <w:caps/>
      <w:szCs w:val="20"/>
    </w:rPr>
  </w:style>
  <w:style w:type="paragraph" w:customStyle="1" w:styleId="firstfooter0">
    <w:name w:val="firstfooter"/>
    <w:basedOn w:val="Normal"/>
    <w:rsid w:val="00732045"/>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eastAsia="SimSun" w:cs="Times New Roman"/>
      <w:szCs w:val="24"/>
      <w:lang w:val="en-US" w:eastAsia="zh-CN"/>
    </w:rPr>
  </w:style>
  <w:style w:type="paragraph" w:customStyle="1" w:styleId="Table">
    <w:name w:val="Table_#"/>
    <w:basedOn w:val="Normal"/>
    <w:next w:val="Normal"/>
    <w:rsid w:val="00520F36"/>
    <w:pPr>
      <w:keepNext/>
      <w:overflowPunct/>
      <w:autoSpaceDE/>
      <w:autoSpaceDN/>
      <w:adjustRightInd/>
      <w:spacing w:before="560" w:after="120" w:line="240" w:lineRule="auto"/>
      <w:jc w:val="center"/>
      <w:textAlignment w:val="auto"/>
    </w:pPr>
    <w:rPr>
      <w:rFonts w:ascii="Times New Roman" w:hAnsi="Times New Roman" w:cs="Times New Roman"/>
      <w:caps/>
      <w:szCs w:val="20"/>
      <w:lang w:val="en-GB"/>
    </w:rPr>
  </w:style>
  <w:style w:type="paragraph" w:customStyle="1" w:styleId="AnnexNoTitle">
    <w:name w:val="Annex_NoTitle"/>
    <w:basedOn w:val="Normal"/>
    <w:next w:val="Normal"/>
    <w:rsid w:val="00ED4F28"/>
    <w:pPr>
      <w:keepNext/>
      <w:keepLines/>
      <w:spacing w:before="720" w:after="120"/>
      <w:jc w:val="center"/>
    </w:pPr>
    <w:rPr>
      <w:b/>
    </w:rPr>
  </w:style>
  <w:style w:type="table" w:styleId="TableGrid">
    <w:name w:val="Table Grid"/>
    <w:basedOn w:val="TableNormal"/>
    <w:uiPriority w:val="39"/>
    <w:rsid w:val="00ED4F28"/>
    <w:rPr>
      <w:rFonts w:ascii="Calibri" w:hAnsi="Calibri"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03D2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03D28"/>
    <w:rPr>
      <w:rFonts w:ascii="Segoe UI" w:hAnsi="Segoe UI" w:cs="Segoe UI"/>
      <w:sz w:val="18"/>
      <w:szCs w:val="18"/>
      <w:lang w:val="fr-FR" w:eastAsia="en-US"/>
    </w:rPr>
  </w:style>
  <w:style w:type="character" w:customStyle="1" w:styleId="UnresolvedMention1">
    <w:name w:val="Unresolved Mention1"/>
    <w:basedOn w:val="DefaultParagraphFont"/>
    <w:uiPriority w:val="99"/>
    <w:semiHidden/>
    <w:unhideWhenUsed/>
    <w:rsid w:val="00203D28"/>
    <w:rPr>
      <w:color w:val="605E5C"/>
      <w:shd w:val="clear" w:color="auto" w:fill="E1DFDD"/>
    </w:rPr>
  </w:style>
  <w:style w:type="character" w:styleId="CommentReference">
    <w:name w:val="annotation reference"/>
    <w:basedOn w:val="DefaultParagraphFont"/>
    <w:uiPriority w:val="99"/>
    <w:semiHidden/>
    <w:unhideWhenUsed/>
    <w:rsid w:val="00077A69"/>
    <w:rPr>
      <w:sz w:val="16"/>
      <w:szCs w:val="16"/>
    </w:rPr>
  </w:style>
  <w:style w:type="paragraph" w:styleId="CommentText">
    <w:name w:val="annotation text"/>
    <w:basedOn w:val="Normal"/>
    <w:link w:val="CommentTextChar"/>
    <w:uiPriority w:val="99"/>
    <w:semiHidden/>
    <w:unhideWhenUsed/>
    <w:rsid w:val="00077A69"/>
    <w:pPr>
      <w:spacing w:line="240" w:lineRule="auto"/>
    </w:pPr>
    <w:rPr>
      <w:rFonts w:eastAsia="MS Mincho"/>
      <w:sz w:val="20"/>
      <w:szCs w:val="20"/>
      <w:lang w:val="en-US"/>
    </w:rPr>
  </w:style>
  <w:style w:type="character" w:customStyle="1" w:styleId="CommentTextChar">
    <w:name w:val="Comment Text Char"/>
    <w:basedOn w:val="DefaultParagraphFont"/>
    <w:link w:val="CommentText"/>
    <w:uiPriority w:val="99"/>
    <w:semiHidden/>
    <w:rsid w:val="00077A69"/>
    <w:rPr>
      <w:rFonts w:ascii="Calibri" w:eastAsia="MS Mincho"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0-CL-C-005/en" TargetMode="External"/><Relationship Id="rId13" Type="http://schemas.openxmlformats.org/officeDocument/2006/relationships/hyperlink" Target="https://www.itu.int/md/S20-CL-C-0044/en" TargetMode="External"/><Relationship Id="rId18" Type="http://schemas.openxmlformats.org/officeDocument/2006/relationships/hyperlink" Target="https://www.itu.int/md/S20-CL-C-0005/en"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www.itu.int/md/S20-CL-C-0022/en" TargetMode="External"/><Relationship Id="rId7" Type="http://schemas.openxmlformats.org/officeDocument/2006/relationships/hyperlink" Target="https://www.itu.int/md/S20-CLVC2-201116-TD-0001/en" TargetMode="External"/><Relationship Id="rId12" Type="http://schemas.openxmlformats.org/officeDocument/2006/relationships/hyperlink" Target="https://www.itu.int/md/S20-CL-C-0063/en" TargetMode="External"/><Relationship Id="rId17" Type="http://schemas.openxmlformats.org/officeDocument/2006/relationships/hyperlink" Target="https://www.itu.int/en/council/Documents/2020/VCC2-Roumania-ANCOM-President-speech.pdf" TargetMode="External"/><Relationship Id="rId25" Type="http://schemas.openxmlformats.org/officeDocument/2006/relationships/hyperlink" Target="https://www.itu.int/md/S20-CL-C-0074/en" TargetMode="External"/><Relationship Id="rId2" Type="http://schemas.openxmlformats.org/officeDocument/2006/relationships/settings" Target="settings.xml"/><Relationship Id="rId16" Type="http://schemas.openxmlformats.org/officeDocument/2006/relationships/hyperlink" Target="https://www.itu.int/md/S20-CLVC2-C-0010/en" TargetMode="External"/><Relationship Id="rId20" Type="http://schemas.openxmlformats.org/officeDocument/2006/relationships/hyperlink" Target="https://www.itu.int/md/S20-CL-C-0040/en"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itu.int/md/S20-CL-C-0022/en" TargetMode="External"/><Relationship Id="rId24" Type="http://schemas.openxmlformats.org/officeDocument/2006/relationships/hyperlink" Target="https://www.itu.int/md/S20-CL-C-0078/en"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itu.int/md/S20-CL-C-0050/en" TargetMode="External"/><Relationship Id="rId23" Type="http://schemas.openxmlformats.org/officeDocument/2006/relationships/hyperlink" Target="https://www.itu.int/md/S20-CL-C-0044/en" TargetMode="External"/><Relationship Id="rId28" Type="http://schemas.openxmlformats.org/officeDocument/2006/relationships/footer" Target="footer1.xml"/><Relationship Id="rId10" Type="http://schemas.openxmlformats.org/officeDocument/2006/relationships/hyperlink" Target="https://www.itu.int/md/S20-CL-C-0040/en" TargetMode="External"/><Relationship Id="rId19" Type="http://schemas.openxmlformats.org/officeDocument/2006/relationships/hyperlink" Target="https://www.itu.int/md/S20-CL-C-0042/en"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tu.int/md/S20-CL-C-0042/en" TargetMode="External"/><Relationship Id="rId14" Type="http://schemas.openxmlformats.org/officeDocument/2006/relationships/hyperlink" Target="https://www.itu.int/md/S20-CLVC2-C-0010/en" TargetMode="External"/><Relationship Id="rId22" Type="http://schemas.openxmlformats.org/officeDocument/2006/relationships/hyperlink" Target="https://www.itu.int/md/S20-CL-C-0063/en" TargetMode="External"/><Relationship Id="rId27" Type="http://schemas.openxmlformats.org/officeDocument/2006/relationships/header" Target="header2.xml"/><Relationship Id="rId30"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avat\AppData\Roaming\Microsoft\Templates\POOL%20F%20-%20ITU\PF_C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PF_C20.dotx</Template>
  <TotalTime>2</TotalTime>
  <Pages>8</Pages>
  <Words>3722</Words>
  <Characters>21762</Characters>
  <Application>Microsoft Office Word</Application>
  <DocSecurity>4</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25434</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VC 2020</dc:subject>
  <dc:creator>Chanavat, Emilie</dc:creator>
  <cp:keywords>VC</cp:keywords>
  <dc:description/>
  <cp:lastModifiedBy>Janin, Patricia</cp:lastModifiedBy>
  <cp:revision>2</cp:revision>
  <cp:lastPrinted>2000-07-18T08:55:00Z</cp:lastPrinted>
  <dcterms:created xsi:type="dcterms:W3CDTF">2021-01-14T09:49:00Z</dcterms:created>
  <dcterms:modified xsi:type="dcterms:W3CDTF">2021-01-14T09:49:00Z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