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4D6FA52" w14:textId="77777777">
        <w:trPr>
          <w:cantSplit/>
        </w:trPr>
        <w:tc>
          <w:tcPr>
            <w:tcW w:w="6912" w:type="dxa"/>
          </w:tcPr>
          <w:p w14:paraId="3257A36E" w14:textId="6E6A7325" w:rsidR="00093EEB" w:rsidRPr="000B0D00" w:rsidRDefault="002F3292" w:rsidP="00C2727F">
            <w:pPr>
              <w:spacing w:before="360"/>
              <w:rPr>
                <w:szCs w:val="24"/>
              </w:rPr>
            </w:pPr>
            <w:bookmarkStart w:id="0" w:name="dbluepink" w:colFirst="0" w:colLast="0"/>
            <w:bookmarkStart w:id="1" w:name="lt_pId446"/>
            <w:r w:rsidRPr="00B03D81">
              <w:rPr>
                <w:b/>
                <w:bCs/>
                <w:position w:val="6"/>
                <w:sz w:val="26"/>
                <w:szCs w:val="26"/>
              </w:rPr>
              <w:t xml:space="preserve">Segunda consulta virtual de los consejeros </w:t>
            </w:r>
            <w:bookmarkEnd w:id="1"/>
            <w:r w:rsidRPr="00B03D81">
              <w:rPr>
                <w:b/>
                <w:bCs/>
                <w:position w:val="6"/>
                <w:sz w:val="26"/>
                <w:szCs w:val="26"/>
              </w:rPr>
              <w:br/>
            </w:r>
            <w:bookmarkStart w:id="2" w:name="lt_pId447"/>
            <w:r w:rsidRPr="00B03D81">
              <w:rPr>
                <w:b/>
                <w:bCs/>
                <w:position w:val="6"/>
                <w:sz w:val="26"/>
                <w:szCs w:val="26"/>
              </w:rPr>
              <w:t>que comienza el 16 de noviembre de 2020</w:t>
            </w:r>
            <w:bookmarkEnd w:id="2"/>
          </w:p>
        </w:tc>
        <w:tc>
          <w:tcPr>
            <w:tcW w:w="3261" w:type="dxa"/>
          </w:tcPr>
          <w:p w14:paraId="6725811C"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523815BD" wp14:editId="4CA6CF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65F43F9" w14:textId="77777777">
        <w:trPr>
          <w:cantSplit/>
          <w:trHeight w:val="20"/>
        </w:trPr>
        <w:tc>
          <w:tcPr>
            <w:tcW w:w="10173" w:type="dxa"/>
            <w:gridSpan w:val="2"/>
            <w:tcBorders>
              <w:bottom w:val="single" w:sz="12" w:space="0" w:color="auto"/>
            </w:tcBorders>
          </w:tcPr>
          <w:p w14:paraId="664DEBE3" w14:textId="77777777" w:rsidR="00093EEB" w:rsidRPr="00EB1212" w:rsidRDefault="00093EEB">
            <w:pPr>
              <w:spacing w:before="0"/>
              <w:rPr>
                <w:b/>
                <w:bCs/>
                <w:szCs w:val="24"/>
              </w:rPr>
            </w:pPr>
          </w:p>
        </w:tc>
      </w:tr>
      <w:tr w:rsidR="00093EEB" w:rsidRPr="000B0D00" w14:paraId="42C0402C" w14:textId="77777777">
        <w:trPr>
          <w:cantSplit/>
          <w:trHeight w:val="20"/>
        </w:trPr>
        <w:tc>
          <w:tcPr>
            <w:tcW w:w="6912" w:type="dxa"/>
            <w:tcBorders>
              <w:top w:val="single" w:sz="12" w:space="0" w:color="auto"/>
            </w:tcBorders>
          </w:tcPr>
          <w:p w14:paraId="1FBF7F8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08B1563" w14:textId="77777777" w:rsidR="00093EEB" w:rsidRPr="000B0D00" w:rsidRDefault="00093EEB">
            <w:pPr>
              <w:spacing w:before="0"/>
              <w:rPr>
                <w:b/>
                <w:bCs/>
                <w:szCs w:val="24"/>
              </w:rPr>
            </w:pPr>
          </w:p>
        </w:tc>
      </w:tr>
      <w:tr w:rsidR="00093EEB" w:rsidRPr="000B0D00" w14:paraId="48AC329C" w14:textId="77777777">
        <w:trPr>
          <w:cantSplit/>
          <w:trHeight w:val="20"/>
        </w:trPr>
        <w:tc>
          <w:tcPr>
            <w:tcW w:w="6912" w:type="dxa"/>
            <w:shd w:val="clear" w:color="auto" w:fill="auto"/>
          </w:tcPr>
          <w:p w14:paraId="646A9D37"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691E40E3" w14:textId="722F5A6A" w:rsidR="00093EEB" w:rsidRPr="00093EEB" w:rsidRDefault="00093EEB" w:rsidP="00C2727F">
            <w:pPr>
              <w:spacing w:before="0"/>
              <w:rPr>
                <w:b/>
                <w:bCs/>
                <w:szCs w:val="24"/>
              </w:rPr>
            </w:pPr>
            <w:r>
              <w:rPr>
                <w:b/>
                <w:bCs/>
                <w:szCs w:val="24"/>
              </w:rPr>
              <w:t xml:space="preserve">Documento </w:t>
            </w:r>
            <w:r w:rsidR="002C2C75">
              <w:rPr>
                <w:b/>
                <w:bCs/>
                <w:szCs w:val="24"/>
              </w:rPr>
              <w:t>VC-</w:t>
            </w:r>
            <w:r w:rsidR="007955DA">
              <w:rPr>
                <w:b/>
                <w:bCs/>
                <w:szCs w:val="24"/>
              </w:rPr>
              <w:t>2</w:t>
            </w:r>
            <w:r>
              <w:rPr>
                <w:b/>
                <w:bCs/>
                <w:szCs w:val="24"/>
              </w:rPr>
              <w:t>/</w:t>
            </w:r>
            <w:r w:rsidR="002C2C75">
              <w:rPr>
                <w:b/>
                <w:bCs/>
                <w:szCs w:val="24"/>
              </w:rPr>
              <w:t>7</w:t>
            </w:r>
            <w:r>
              <w:rPr>
                <w:b/>
                <w:bCs/>
                <w:szCs w:val="24"/>
              </w:rPr>
              <w:t>-S</w:t>
            </w:r>
          </w:p>
        </w:tc>
      </w:tr>
      <w:tr w:rsidR="00093EEB" w:rsidRPr="000B0D00" w14:paraId="5949AA12" w14:textId="77777777">
        <w:trPr>
          <w:cantSplit/>
          <w:trHeight w:val="20"/>
        </w:trPr>
        <w:tc>
          <w:tcPr>
            <w:tcW w:w="6912" w:type="dxa"/>
            <w:shd w:val="clear" w:color="auto" w:fill="auto"/>
          </w:tcPr>
          <w:p w14:paraId="111E64F7"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5614067C" w14:textId="6FEE39A0" w:rsidR="00093EEB" w:rsidRPr="00093EEB" w:rsidRDefault="002C2C75" w:rsidP="00C2727F">
            <w:pPr>
              <w:spacing w:before="0"/>
              <w:rPr>
                <w:b/>
                <w:bCs/>
                <w:szCs w:val="24"/>
              </w:rPr>
            </w:pPr>
            <w:r>
              <w:rPr>
                <w:b/>
                <w:bCs/>
                <w:szCs w:val="24"/>
              </w:rPr>
              <w:t>2 de noviembre</w:t>
            </w:r>
            <w:r w:rsidR="00093EEB">
              <w:rPr>
                <w:b/>
                <w:bCs/>
                <w:szCs w:val="24"/>
              </w:rPr>
              <w:t xml:space="preserve"> de 20</w:t>
            </w:r>
            <w:r w:rsidR="007955DA">
              <w:rPr>
                <w:b/>
                <w:bCs/>
                <w:szCs w:val="24"/>
              </w:rPr>
              <w:t>20</w:t>
            </w:r>
          </w:p>
        </w:tc>
      </w:tr>
      <w:tr w:rsidR="00093EEB" w:rsidRPr="000B0D00" w14:paraId="4EBEC7CC" w14:textId="77777777">
        <w:trPr>
          <w:cantSplit/>
          <w:trHeight w:val="20"/>
        </w:trPr>
        <w:tc>
          <w:tcPr>
            <w:tcW w:w="6912" w:type="dxa"/>
            <w:shd w:val="clear" w:color="auto" w:fill="auto"/>
          </w:tcPr>
          <w:p w14:paraId="7A0E6B5F"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163A1EDD" w14:textId="77777777" w:rsidR="00093EEB" w:rsidRPr="00093EEB" w:rsidRDefault="00093EEB" w:rsidP="00093EEB">
            <w:pPr>
              <w:spacing w:before="0"/>
              <w:rPr>
                <w:b/>
                <w:bCs/>
                <w:szCs w:val="24"/>
              </w:rPr>
            </w:pPr>
            <w:r>
              <w:rPr>
                <w:b/>
                <w:bCs/>
                <w:szCs w:val="24"/>
              </w:rPr>
              <w:t>Original: inglés</w:t>
            </w:r>
          </w:p>
        </w:tc>
      </w:tr>
      <w:bookmarkEnd w:id="0"/>
      <w:bookmarkEnd w:id="7"/>
    </w:tbl>
    <w:p w14:paraId="1B8405DD" w14:textId="77777777" w:rsidR="002C2C75" w:rsidRPr="00B03D81" w:rsidRDefault="002C2C75" w:rsidP="002C2C75">
      <w:pPr>
        <w:spacing w:before="480"/>
        <w:rPr>
          <w:b/>
          <w:bCs/>
          <w:sz w:val="28"/>
        </w:rPr>
      </w:pPr>
    </w:p>
    <w:tbl>
      <w:tblPr>
        <w:tblW w:w="10093" w:type="dxa"/>
        <w:tblLayout w:type="fixed"/>
        <w:tblLook w:val="0000" w:firstRow="0" w:lastRow="0" w:firstColumn="0" w:lastColumn="0" w:noHBand="0" w:noVBand="0"/>
      </w:tblPr>
      <w:tblGrid>
        <w:gridCol w:w="2835"/>
        <w:gridCol w:w="7258"/>
      </w:tblGrid>
      <w:tr w:rsidR="002C2C75" w:rsidRPr="00B03D81" w14:paraId="56EA2BF7" w14:textId="77777777" w:rsidTr="00587E7B">
        <w:trPr>
          <w:cantSplit/>
        </w:trPr>
        <w:tc>
          <w:tcPr>
            <w:tcW w:w="2835" w:type="dxa"/>
            <w:tcBorders>
              <w:right w:val="single" w:sz="12" w:space="0" w:color="auto"/>
            </w:tcBorders>
            <w:vAlign w:val="center"/>
          </w:tcPr>
          <w:p w14:paraId="32E1C2FB" w14:textId="77777777" w:rsidR="002C2C75" w:rsidRPr="00B03D81" w:rsidRDefault="002C2C75" w:rsidP="00587E7B">
            <w:pPr>
              <w:spacing w:before="0"/>
              <w:rPr>
                <w:b/>
                <w:bCs/>
              </w:rPr>
            </w:pPr>
            <w:bookmarkStart w:id="8" w:name="lt_pId450"/>
            <w:r w:rsidRPr="00B03D81">
              <w:rPr>
                <w:b/>
                <w:bCs/>
              </w:rPr>
              <w:t>Nombre del/de los Estado(s) Miembro(s) que la presenta(n):</w:t>
            </w:r>
            <w:bookmarkEnd w:id="8"/>
          </w:p>
        </w:tc>
        <w:tc>
          <w:tcPr>
            <w:tcW w:w="7258" w:type="dxa"/>
            <w:tcBorders>
              <w:top w:val="single" w:sz="12" w:space="0" w:color="auto"/>
              <w:left w:val="single" w:sz="12" w:space="0" w:color="auto"/>
              <w:bottom w:val="single" w:sz="12" w:space="0" w:color="auto"/>
              <w:right w:val="single" w:sz="12" w:space="0" w:color="auto"/>
            </w:tcBorders>
            <w:vAlign w:val="center"/>
          </w:tcPr>
          <w:p w14:paraId="1A01ECE7" w14:textId="77777777" w:rsidR="002C2C75" w:rsidRPr="00B03D81" w:rsidRDefault="002C2C75" w:rsidP="00587E7B">
            <w:pPr>
              <w:spacing w:before="0"/>
            </w:pPr>
            <w:r w:rsidRPr="00B03D81">
              <w:t>Canadá</w:t>
            </w:r>
          </w:p>
        </w:tc>
      </w:tr>
      <w:tr w:rsidR="002C2C75" w:rsidRPr="00B03D81" w14:paraId="6B153960" w14:textId="77777777" w:rsidTr="00587E7B">
        <w:trPr>
          <w:cantSplit/>
        </w:trPr>
        <w:tc>
          <w:tcPr>
            <w:tcW w:w="2835" w:type="dxa"/>
          </w:tcPr>
          <w:p w14:paraId="70A57898" w14:textId="77777777" w:rsidR="002C2C75" w:rsidRPr="00B03D81" w:rsidRDefault="002C2C75" w:rsidP="00587E7B">
            <w:pPr>
              <w:spacing w:before="0"/>
              <w:rPr>
                <w:sz w:val="16"/>
                <w:szCs w:val="16"/>
              </w:rPr>
            </w:pPr>
          </w:p>
        </w:tc>
        <w:tc>
          <w:tcPr>
            <w:tcW w:w="7258" w:type="dxa"/>
            <w:tcBorders>
              <w:top w:val="single" w:sz="12" w:space="0" w:color="auto"/>
              <w:bottom w:val="single" w:sz="12" w:space="0" w:color="auto"/>
            </w:tcBorders>
          </w:tcPr>
          <w:p w14:paraId="17106591" w14:textId="77777777" w:rsidR="002C2C75" w:rsidRPr="00B03D81" w:rsidRDefault="002C2C75" w:rsidP="00587E7B">
            <w:pPr>
              <w:spacing w:before="0"/>
              <w:rPr>
                <w:sz w:val="16"/>
                <w:szCs w:val="16"/>
              </w:rPr>
            </w:pPr>
          </w:p>
        </w:tc>
      </w:tr>
      <w:tr w:rsidR="002C2C75" w:rsidRPr="00B03D81" w14:paraId="7167F654" w14:textId="77777777" w:rsidTr="00587E7B">
        <w:trPr>
          <w:cantSplit/>
        </w:trPr>
        <w:tc>
          <w:tcPr>
            <w:tcW w:w="2835" w:type="dxa"/>
            <w:tcBorders>
              <w:right w:val="single" w:sz="12" w:space="0" w:color="auto"/>
            </w:tcBorders>
          </w:tcPr>
          <w:p w14:paraId="2846FF94" w14:textId="77777777" w:rsidR="002C2C75" w:rsidRPr="00B03D81" w:rsidRDefault="002C2C75" w:rsidP="00587E7B">
            <w:pPr>
              <w:spacing w:after="120"/>
              <w:rPr>
                <w:b/>
                <w:bCs/>
              </w:rPr>
            </w:pPr>
            <w:bookmarkStart w:id="9" w:name="lt_pId451"/>
            <w:r w:rsidRPr="00B03D81">
              <w:rPr>
                <w:b/>
                <w:bCs/>
              </w:rPr>
              <w:t>Título del documento:</w:t>
            </w:r>
            <w:bookmarkEnd w:id="9"/>
          </w:p>
        </w:tc>
        <w:tc>
          <w:tcPr>
            <w:tcW w:w="7258" w:type="dxa"/>
            <w:tcBorders>
              <w:top w:val="single" w:sz="12" w:space="0" w:color="auto"/>
              <w:left w:val="single" w:sz="12" w:space="0" w:color="auto"/>
              <w:bottom w:val="single" w:sz="12" w:space="0" w:color="auto"/>
              <w:right w:val="single" w:sz="12" w:space="0" w:color="auto"/>
            </w:tcBorders>
          </w:tcPr>
          <w:p w14:paraId="46C7933A" w14:textId="77777777" w:rsidR="002C2C75" w:rsidRPr="00B03D81" w:rsidRDefault="002C2C75" w:rsidP="00587E7B">
            <w:pPr>
              <w:spacing w:after="120"/>
            </w:pPr>
            <w:r w:rsidRPr="00B03D81">
              <w:t>AMNT virtual y presencial</w:t>
            </w:r>
          </w:p>
        </w:tc>
      </w:tr>
      <w:tr w:rsidR="002C2C75" w:rsidRPr="00B03D81" w14:paraId="53D758FC" w14:textId="77777777" w:rsidTr="002C2C75">
        <w:trPr>
          <w:cantSplit/>
          <w:trHeight w:val="269"/>
        </w:trPr>
        <w:tc>
          <w:tcPr>
            <w:tcW w:w="2835" w:type="dxa"/>
          </w:tcPr>
          <w:p w14:paraId="3C61E1B0" w14:textId="77777777" w:rsidR="002C2C75" w:rsidRPr="00B03D81" w:rsidRDefault="002C2C75" w:rsidP="00587E7B">
            <w:pPr>
              <w:spacing w:before="0"/>
              <w:rPr>
                <w:sz w:val="16"/>
                <w:szCs w:val="16"/>
              </w:rPr>
            </w:pPr>
          </w:p>
        </w:tc>
        <w:tc>
          <w:tcPr>
            <w:tcW w:w="7258" w:type="dxa"/>
            <w:tcBorders>
              <w:top w:val="single" w:sz="12" w:space="0" w:color="auto"/>
              <w:bottom w:val="single" w:sz="12" w:space="0" w:color="auto"/>
            </w:tcBorders>
          </w:tcPr>
          <w:p w14:paraId="121BE971" w14:textId="77777777" w:rsidR="002C2C75" w:rsidRPr="00B03D81" w:rsidRDefault="002C2C75" w:rsidP="00587E7B">
            <w:pPr>
              <w:spacing w:before="0"/>
              <w:rPr>
                <w:sz w:val="16"/>
                <w:szCs w:val="16"/>
              </w:rPr>
            </w:pPr>
          </w:p>
        </w:tc>
      </w:tr>
      <w:tr w:rsidR="002C2C75" w:rsidRPr="00B03D81" w14:paraId="71FD187B" w14:textId="77777777" w:rsidTr="002C2C75">
        <w:trPr>
          <w:cantSplit/>
          <w:trHeight w:val="668"/>
        </w:trPr>
        <w:tc>
          <w:tcPr>
            <w:tcW w:w="2835" w:type="dxa"/>
            <w:tcBorders>
              <w:right w:val="single" w:sz="12" w:space="0" w:color="auto"/>
            </w:tcBorders>
            <w:vAlign w:val="center"/>
          </w:tcPr>
          <w:p w14:paraId="077D9996" w14:textId="77777777" w:rsidR="002C2C75" w:rsidRPr="00B03D81" w:rsidRDefault="002C2C75" w:rsidP="00587E7B">
            <w:pPr>
              <w:spacing w:before="0"/>
              <w:rPr>
                <w:b/>
                <w:bCs/>
              </w:rPr>
            </w:pPr>
            <w:bookmarkStart w:id="10" w:name="lt_pId452"/>
            <w:r w:rsidRPr="00B03D81">
              <w:rPr>
                <w:b/>
                <w:bCs/>
              </w:rPr>
              <w:t>Referencia al proyecto de orden del día de la consulta virtual:</w:t>
            </w:r>
            <w:bookmarkEnd w:id="10"/>
          </w:p>
        </w:tc>
        <w:tc>
          <w:tcPr>
            <w:tcW w:w="7258" w:type="dxa"/>
            <w:tcBorders>
              <w:top w:val="single" w:sz="12" w:space="0" w:color="auto"/>
              <w:left w:val="single" w:sz="12" w:space="0" w:color="auto"/>
              <w:bottom w:val="single" w:sz="12" w:space="0" w:color="auto"/>
              <w:right w:val="single" w:sz="12" w:space="0" w:color="auto"/>
            </w:tcBorders>
            <w:vAlign w:val="center"/>
          </w:tcPr>
          <w:p w14:paraId="7879C164" w14:textId="77777777" w:rsidR="002C2C75" w:rsidRPr="00B03D81" w:rsidRDefault="002C2C75" w:rsidP="00587E7B">
            <w:pPr>
              <w:spacing w:before="240" w:after="120"/>
              <w:rPr>
                <w:b/>
                <w:bCs/>
              </w:rPr>
            </w:pPr>
            <w:r w:rsidRPr="00B03D81">
              <w:rPr>
                <w:b/>
                <w:bCs/>
              </w:rPr>
              <w:t xml:space="preserve">Documentos </w:t>
            </w:r>
            <w:hyperlink r:id="rId8" w:history="1">
              <w:r w:rsidRPr="00B03D81">
                <w:rPr>
                  <w:rStyle w:val="Hyperlink"/>
                  <w:b/>
                  <w:bCs/>
                </w:rPr>
                <w:t>C20/24R1</w:t>
              </w:r>
            </w:hyperlink>
            <w:r w:rsidRPr="00B03D81">
              <w:rPr>
                <w:b/>
                <w:bCs/>
              </w:rPr>
              <w:t xml:space="preserve">, </w:t>
            </w:r>
            <w:hyperlink r:id="rId9" w:history="1">
              <w:r w:rsidRPr="00B03D81">
                <w:rPr>
                  <w:rStyle w:val="Hyperlink"/>
                  <w:b/>
                  <w:bCs/>
                </w:rPr>
                <w:t>C20/72</w:t>
              </w:r>
            </w:hyperlink>
            <w:r w:rsidRPr="00B03D81">
              <w:rPr>
                <w:b/>
                <w:bCs/>
              </w:rPr>
              <w:t xml:space="preserve">, </w:t>
            </w:r>
            <w:hyperlink r:id="rId10" w:history="1">
              <w:r w:rsidRPr="00B03D81">
                <w:rPr>
                  <w:rStyle w:val="Hyperlink"/>
                  <w:b/>
                  <w:bCs/>
                </w:rPr>
                <w:t>C20/37R1</w:t>
              </w:r>
            </w:hyperlink>
          </w:p>
        </w:tc>
      </w:tr>
    </w:tbl>
    <w:p w14:paraId="41E53683" w14:textId="2125AD62" w:rsidR="00093EEB" w:rsidRDefault="00093EEB"/>
    <w:tbl>
      <w:tblPr>
        <w:tblW w:w="10093" w:type="dxa"/>
        <w:jc w:val="center"/>
        <w:tblLayout w:type="fixed"/>
        <w:tblLook w:val="0000" w:firstRow="0" w:lastRow="0" w:firstColumn="0" w:lastColumn="0" w:noHBand="0" w:noVBand="0"/>
      </w:tblPr>
      <w:tblGrid>
        <w:gridCol w:w="10093"/>
      </w:tblGrid>
      <w:tr w:rsidR="002C2C75" w:rsidRPr="00E92C16" w14:paraId="2D678986" w14:textId="77777777" w:rsidTr="00587E7B">
        <w:trPr>
          <w:cantSplit/>
          <w:jc w:val="center"/>
        </w:trPr>
        <w:tc>
          <w:tcPr>
            <w:tcW w:w="10093" w:type="dxa"/>
            <w:tcBorders>
              <w:top w:val="single" w:sz="12" w:space="0" w:color="auto"/>
              <w:left w:val="single" w:sz="12" w:space="0" w:color="auto"/>
              <w:bottom w:val="single" w:sz="12" w:space="0" w:color="auto"/>
              <w:right w:val="single" w:sz="12" w:space="0" w:color="auto"/>
            </w:tcBorders>
          </w:tcPr>
          <w:p w14:paraId="12BEA0F5" w14:textId="763E3F60" w:rsidR="002C2C75" w:rsidRPr="00B03D81" w:rsidRDefault="002C2C75" w:rsidP="002C2C75">
            <w:pPr>
              <w:pStyle w:val="Heading1"/>
            </w:pPr>
            <w:r w:rsidRPr="00B03D81">
              <w:lastRenderedPageBreak/>
              <w:t>1</w:t>
            </w:r>
            <w:r>
              <w:tab/>
            </w:r>
            <w:r w:rsidRPr="00B03D81">
              <w:t>Antecedentes</w:t>
            </w:r>
          </w:p>
          <w:p w14:paraId="3631A561" w14:textId="77777777" w:rsidR="002C2C75" w:rsidRPr="00B03D81" w:rsidRDefault="002C2C75" w:rsidP="002C2C75">
            <w:pPr>
              <w:rPr>
                <w:lang w:eastAsia="zh-CN"/>
              </w:rPr>
            </w:pPr>
            <w:r w:rsidRPr="00B03D81">
              <w:rPr>
                <w:lang w:eastAsia="zh-CN"/>
              </w:rPr>
              <w:t>En vista de que la reunión presencial de la Asamblea Mundial de Normalización de las Telecomunicaciones (AMNT) de 2020 no podría celebrarse a causa de la pandemia, los participantes en la primera consulta virtual de los Consejeros, celebrada en junio de 2020, acordaron enmendar el Acuerdo 608 con objeto de modificar las fechas de la AMNT-20 del 16</w:t>
            </w:r>
            <w:r w:rsidRPr="00B03D81">
              <w:rPr>
                <w:spacing w:val="-4"/>
                <w:lang w:eastAsia="zh-CN"/>
              </w:rPr>
              <w:t>–</w:t>
            </w:r>
            <w:r w:rsidRPr="00B03D81">
              <w:rPr>
                <w:lang w:eastAsia="zh-CN"/>
              </w:rPr>
              <w:t>27 de noviembre de 2020 al 23 de febrero</w:t>
            </w:r>
            <w:r w:rsidRPr="00B03D81">
              <w:rPr>
                <w:spacing w:val="-4"/>
                <w:lang w:eastAsia="zh-CN"/>
              </w:rPr>
              <w:t>–</w:t>
            </w:r>
            <w:r w:rsidRPr="00B03D81">
              <w:rPr>
                <w:lang w:eastAsia="zh-CN"/>
              </w:rPr>
              <w:t xml:space="preserve">5 de marzo de 2021. </w:t>
            </w:r>
          </w:p>
          <w:p w14:paraId="29A253EE" w14:textId="77777777" w:rsidR="002C2C75" w:rsidRPr="00B03D81" w:rsidRDefault="002C2C75" w:rsidP="002C2C75">
            <w:pPr>
              <w:rPr>
                <w:lang w:eastAsia="zh-CN"/>
              </w:rPr>
            </w:pPr>
            <w:r w:rsidRPr="00B03D81">
              <w:rPr>
                <w:lang w:eastAsia="zh-CN"/>
              </w:rPr>
              <w:t xml:space="preserve">Habida cuenta de que la pandemia de COVID continúa propagándose y obstaculizando los viajes, el Consejo debería concluir que no es viable celebrar una AMNT presencial </w:t>
            </w:r>
            <w:r>
              <w:rPr>
                <w:lang w:eastAsia="zh-CN"/>
              </w:rPr>
              <w:t>durante</w:t>
            </w:r>
            <w:r w:rsidRPr="00B03D81">
              <w:rPr>
                <w:lang w:eastAsia="zh-CN"/>
              </w:rPr>
              <w:t xml:space="preserve"> el primer trimestre de 2021. En este momento, cabría considerar opciones alternativas que permitieran al UIT-T proseguir su labor sin sobrecargar a los Estados Miembros con un número excesivo de reuniones en un corto período de tiempo.</w:t>
            </w:r>
          </w:p>
          <w:p w14:paraId="537A9532" w14:textId="4420A1AE" w:rsidR="002C2C75" w:rsidRPr="00B03D81" w:rsidRDefault="002C2C75" w:rsidP="002C2C75">
            <w:pPr>
              <w:pStyle w:val="Heading1"/>
              <w:rPr>
                <w:lang w:eastAsia="zh-CN"/>
              </w:rPr>
            </w:pPr>
            <w:r>
              <w:rPr>
                <w:lang w:eastAsia="zh-CN"/>
              </w:rPr>
              <w:t>2</w:t>
            </w:r>
            <w:r>
              <w:rPr>
                <w:lang w:eastAsia="zh-CN"/>
              </w:rPr>
              <w:tab/>
            </w:r>
            <w:r w:rsidRPr="00B03D81">
              <w:rPr>
                <w:lang w:eastAsia="zh-CN"/>
              </w:rPr>
              <w:t>Debate</w:t>
            </w:r>
          </w:p>
          <w:p w14:paraId="20BA80CC" w14:textId="77777777" w:rsidR="002C2C75" w:rsidRPr="00B03D81" w:rsidRDefault="002C2C75" w:rsidP="002C2C75">
            <w:pPr>
              <w:rPr>
                <w:lang w:eastAsia="zh-CN"/>
              </w:rPr>
            </w:pPr>
            <w:r w:rsidRPr="00B03D81">
              <w:rPr>
                <w:lang w:eastAsia="zh-CN"/>
              </w:rPr>
              <w:t>Canadá agradece al Gobierno de la India tanto su generoso ofrecimiento de acoger la AMNT, como su flexibilidad en cuanto a las fechas de la Asamblea.</w:t>
            </w:r>
          </w:p>
          <w:p w14:paraId="2DEBDF96" w14:textId="77777777" w:rsidR="002C2C75" w:rsidRPr="00B03D81" w:rsidRDefault="002C2C75" w:rsidP="002C2C75">
            <w:pPr>
              <w:rPr>
                <w:lang w:eastAsia="zh-CN"/>
              </w:rPr>
            </w:pPr>
            <w:r w:rsidRPr="00B03D81">
              <w:rPr>
                <w:lang w:eastAsia="zh-CN"/>
              </w:rPr>
              <w:t xml:space="preserve">Canadá también toma nota de la propuesta anunciada de celebrar una AMNT presencial durante el primer trimestre de 2022, siempre y cuando los problemas de salud pública se hayan aplacado y los viajes puedan </w:t>
            </w:r>
            <w:r>
              <w:rPr>
                <w:lang w:eastAsia="zh-CN"/>
              </w:rPr>
              <w:t xml:space="preserve">volver a </w:t>
            </w:r>
            <w:r w:rsidRPr="00B03D81">
              <w:rPr>
                <w:lang w:eastAsia="zh-CN"/>
              </w:rPr>
              <w:t>realizarse en condiciones normales.</w:t>
            </w:r>
          </w:p>
          <w:p w14:paraId="4CED504A" w14:textId="77777777" w:rsidR="002C2C75" w:rsidRPr="00B03D81" w:rsidRDefault="002C2C75" w:rsidP="002C2C75">
            <w:pPr>
              <w:rPr>
                <w:lang w:eastAsia="zh-CN"/>
              </w:rPr>
            </w:pPr>
            <w:r w:rsidRPr="00B03D81">
              <w:rPr>
                <w:lang w:eastAsia="zh-CN"/>
              </w:rPr>
              <w:t xml:space="preserve">Si bien Canadá apoya la </w:t>
            </w:r>
            <w:r>
              <w:rPr>
                <w:lang w:eastAsia="zh-CN"/>
              </w:rPr>
              <w:t>propuesta</w:t>
            </w:r>
            <w:r w:rsidRPr="00B03D81">
              <w:rPr>
                <w:lang w:eastAsia="zh-CN"/>
              </w:rPr>
              <w:t xml:space="preserve"> de celebrar una AMNT presencial durante el primer trimestre de 2022, también propone celebrar una AMNT virtual, con un orden del día limitado, durante el primer trimestre de 2021. El objetivo de esta reunión sería proceder al nombramiento de los Presidentes y Vicepresidentes del GANT y de las Comisiones de Estudio y, al mismo tiempo, examinar y acordar cualesquiera otros asuntos que puedan facilitar los procesos de trabajo y toma de decisiones de la Unión en una AMNT presencial en 2022.</w:t>
            </w:r>
          </w:p>
          <w:p w14:paraId="472DF5B5" w14:textId="77777777" w:rsidR="002C2C75" w:rsidRPr="00B03D81" w:rsidRDefault="002C2C75" w:rsidP="002C2C75">
            <w:pPr>
              <w:rPr>
                <w:lang w:eastAsia="zh-CN"/>
              </w:rPr>
            </w:pPr>
            <w:r w:rsidRPr="00B03D81">
              <w:rPr>
                <w:lang w:eastAsia="zh-CN"/>
              </w:rPr>
              <w:t xml:space="preserve">En el caso del nombramiento de los Presidentes y Vicepresidentes, el retraso de </w:t>
            </w:r>
            <w:r>
              <w:rPr>
                <w:lang w:eastAsia="zh-CN"/>
              </w:rPr>
              <w:t>est</w:t>
            </w:r>
            <w:r w:rsidRPr="00B03D81">
              <w:rPr>
                <w:lang w:eastAsia="zh-CN"/>
              </w:rPr>
              <w:t>a decisión a una AMNT presencial en 2022 podría tener consecuencias importantes para los Presidentes y Vicepresidentes actuales y para sus sucesores. Los primeros tendrían que asumir mandatos improcedentes y prolongados, mientras que los segundos</w:t>
            </w:r>
            <w:r>
              <w:rPr>
                <w:lang w:eastAsia="zh-CN"/>
              </w:rPr>
              <w:t xml:space="preserve"> no podrían ejercer los cuatro años de mandato</w:t>
            </w:r>
            <w:r w:rsidRPr="00B03D81">
              <w:rPr>
                <w:lang w:eastAsia="zh-CN"/>
              </w:rPr>
              <w:t xml:space="preserve"> que les corresponde</w:t>
            </w:r>
            <w:r>
              <w:rPr>
                <w:lang w:eastAsia="zh-CN"/>
              </w:rPr>
              <w:t>n</w:t>
            </w:r>
            <w:r w:rsidRPr="00B03D81">
              <w:rPr>
                <w:lang w:eastAsia="zh-CN"/>
              </w:rPr>
              <w:t xml:space="preserve">. </w:t>
            </w:r>
          </w:p>
          <w:p w14:paraId="4937FDE4" w14:textId="1C83EA78" w:rsidR="002C2C75" w:rsidRPr="00B03D81" w:rsidRDefault="002C2C75" w:rsidP="002C2C75">
            <w:pPr>
              <w:rPr>
                <w:lang w:eastAsia="zh-CN"/>
              </w:rPr>
            </w:pPr>
            <w:r w:rsidRPr="00B03D81">
              <w:rPr>
                <w:lang w:eastAsia="zh-CN"/>
              </w:rPr>
              <w:t xml:space="preserve">Aunque la mayor parte de los trabajos preparatorios para una AMNT presencial en el primer trimestre de 2022 se concluiría en 2021, </w:t>
            </w:r>
            <w:r>
              <w:rPr>
                <w:lang w:eastAsia="zh-CN"/>
              </w:rPr>
              <w:t xml:space="preserve">conviene tener en cuenta </w:t>
            </w:r>
            <w:r w:rsidRPr="00B03D81">
              <w:rPr>
                <w:lang w:eastAsia="zh-CN"/>
              </w:rPr>
              <w:t xml:space="preserve">que dicha Asamblea añadiría aún más presión a la Unión y sus Estados Miembros, </w:t>
            </w:r>
            <w:r>
              <w:rPr>
                <w:lang w:eastAsia="zh-CN"/>
              </w:rPr>
              <w:t>ya que</w:t>
            </w:r>
            <w:r w:rsidRPr="00B03D81">
              <w:rPr>
                <w:lang w:eastAsia="zh-CN"/>
              </w:rPr>
              <w:t xml:space="preserve">, en los 12 meses posteriores a noviembre de 2021, </w:t>
            </w:r>
            <w:r>
              <w:rPr>
                <w:lang w:eastAsia="zh-CN"/>
              </w:rPr>
              <w:t>habría que celebrar</w:t>
            </w:r>
            <w:r w:rsidRPr="00B03D81">
              <w:rPr>
                <w:lang w:eastAsia="zh-CN"/>
              </w:rPr>
              <w:t xml:space="preserve">: </w:t>
            </w:r>
          </w:p>
          <w:p w14:paraId="0413E534" w14:textId="0A35FB30"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Pr>
                <w:szCs w:val="24"/>
                <w:lang w:val="es-ES" w:eastAsia="zh-CN"/>
              </w:rPr>
              <w:t>l</w:t>
            </w:r>
            <w:r w:rsidRPr="00B03D81">
              <w:rPr>
                <w:lang w:eastAsia="zh-CN"/>
              </w:rPr>
              <w:t>a CMDT (Adís Abeba);</w:t>
            </w:r>
          </w:p>
          <w:p w14:paraId="0A4CB969" w14:textId="4A7BF409"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sidRPr="00B03D81">
              <w:rPr>
                <w:lang w:eastAsia="zh-CN"/>
              </w:rPr>
              <w:t>la AMNT (Hyderabad);</w:t>
            </w:r>
          </w:p>
          <w:p w14:paraId="3C71A97E" w14:textId="69693BC1"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Pr>
                <w:szCs w:val="24"/>
                <w:lang w:val="es-ES" w:eastAsia="zh-CN"/>
              </w:rPr>
              <w:t>l</w:t>
            </w:r>
            <w:r w:rsidRPr="00B03D81">
              <w:rPr>
                <w:lang w:eastAsia="zh-CN"/>
              </w:rPr>
              <w:t>a reunión del Consejo (Ginebra);</w:t>
            </w:r>
          </w:p>
          <w:p w14:paraId="6F801106" w14:textId="5994EBF6"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sidRPr="00B03D81">
              <w:rPr>
                <w:lang w:eastAsia="zh-CN"/>
              </w:rPr>
              <w:t>el FMPT (Ginebra);</w:t>
            </w:r>
          </w:p>
          <w:p w14:paraId="1F1A139C" w14:textId="5AE8B8B3"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sidRPr="00B03D81">
              <w:rPr>
                <w:lang w:eastAsia="zh-CN"/>
              </w:rPr>
              <w:t>la PP (Bucarest);</w:t>
            </w:r>
          </w:p>
          <w:p w14:paraId="466F0809" w14:textId="241B0E82"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sidRPr="00B03D81">
              <w:rPr>
                <w:lang w:eastAsia="zh-CN"/>
              </w:rPr>
              <w:t>las reuniones de los Grupos de Trabajo y los Grupos de Expertos del Consejo; y</w:t>
            </w:r>
          </w:p>
          <w:p w14:paraId="2C941C3C" w14:textId="2A0B5F46" w:rsidR="002C2C75" w:rsidRPr="00B03D81" w:rsidRDefault="002C2C75" w:rsidP="002C2C75">
            <w:pPr>
              <w:pStyle w:val="enumlev1"/>
              <w:rPr>
                <w:lang w:eastAsia="zh-CN"/>
              </w:rPr>
            </w:pPr>
            <w:r w:rsidRPr="002C2C75">
              <w:rPr>
                <w:szCs w:val="24"/>
                <w:lang w:val="es-ES" w:eastAsia="zh-CN"/>
              </w:rPr>
              <w:t>•</w:t>
            </w:r>
            <w:r w:rsidRPr="002C2C75">
              <w:rPr>
                <w:szCs w:val="24"/>
                <w:lang w:val="es-ES" w:eastAsia="zh-CN"/>
              </w:rPr>
              <w:tab/>
            </w:r>
            <w:r w:rsidRPr="00B03D81">
              <w:rPr>
                <w:lang w:eastAsia="zh-CN"/>
              </w:rPr>
              <w:t>las reuniones de los Grupos Asesores y las Comisiones de Estudio de los tres Sectores.</w:t>
            </w:r>
          </w:p>
          <w:p w14:paraId="490BF0E7" w14:textId="77777777" w:rsidR="002C2C75" w:rsidRPr="00B03D81" w:rsidRDefault="002C2C75" w:rsidP="002C2C75">
            <w:pPr>
              <w:rPr>
                <w:lang w:eastAsia="zh-CN"/>
              </w:rPr>
            </w:pPr>
            <w:r w:rsidRPr="00B03D81">
              <w:rPr>
                <w:lang w:eastAsia="zh-CN"/>
              </w:rPr>
              <w:lastRenderedPageBreak/>
              <w:t>Al considerar si celebrar una AMNT, tanto virtual como presencial, y cuándo, el Consejo debería examinar, debatir y modificar el actual calendario de conferencias, asambleas y reuniones de la Unión para 2020-2023, a fin de reducir</w:t>
            </w:r>
            <w:r>
              <w:rPr>
                <w:lang w:eastAsia="zh-CN"/>
              </w:rPr>
              <w:t xml:space="preserve"> al mínimo indispensable</w:t>
            </w:r>
            <w:r w:rsidRPr="00B03D81">
              <w:rPr>
                <w:lang w:eastAsia="zh-CN"/>
              </w:rPr>
              <w:t xml:space="preserve"> el número de reuniones</w:t>
            </w:r>
            <w:r>
              <w:rPr>
                <w:lang w:eastAsia="zh-CN"/>
              </w:rPr>
              <w:t xml:space="preserve"> previstas para</w:t>
            </w:r>
            <w:r w:rsidRPr="00B03D81">
              <w:rPr>
                <w:lang w:eastAsia="zh-CN"/>
              </w:rPr>
              <w:t xml:space="preserve"> 2021-2022.</w:t>
            </w:r>
          </w:p>
          <w:p w14:paraId="6A25B637" w14:textId="4EED7F7A" w:rsidR="002C2C75" w:rsidRPr="00B03D81" w:rsidRDefault="002C2C75" w:rsidP="002C2C75">
            <w:pPr>
              <w:pStyle w:val="Heading1"/>
            </w:pPr>
            <w:r>
              <w:t>3</w:t>
            </w:r>
            <w:r>
              <w:tab/>
            </w:r>
            <w:bookmarkStart w:id="11" w:name="lt_pId456"/>
            <w:r w:rsidRPr="00B03D81">
              <w:t>Camino a seguir propuesto</w:t>
            </w:r>
            <w:bookmarkEnd w:id="11"/>
          </w:p>
          <w:p w14:paraId="43CC5630" w14:textId="77777777" w:rsidR="002C2C75" w:rsidRPr="00B03D81" w:rsidRDefault="002C2C75" w:rsidP="002C2C75">
            <w:pPr>
              <w:rPr>
                <w:lang w:eastAsia="zh-CN"/>
              </w:rPr>
            </w:pPr>
            <w:r w:rsidRPr="00B03D81">
              <w:rPr>
                <w:lang w:eastAsia="zh-CN"/>
              </w:rPr>
              <w:t>Se propone que el Consejo acuerde celebrar una AMNT virtual, con un orden del día limitado, durante el primer trimestre de 2021, cuyo objetivo se</w:t>
            </w:r>
            <w:r>
              <w:rPr>
                <w:lang w:eastAsia="zh-CN"/>
              </w:rPr>
              <w:t>a</w:t>
            </w:r>
            <w:r w:rsidRPr="00B03D81">
              <w:rPr>
                <w:lang w:eastAsia="zh-CN"/>
              </w:rPr>
              <w:t xml:space="preserve"> nombrar a los Presidentes y Vicepresidentes del GANT y de las Comisiones de Estudio, y debatir y acordar cualesquiera otros asuntos que puedan facilitar los procesos de trabajo y toma de decisiones de la Unión en una AMNT presencial en 2022.</w:t>
            </w:r>
          </w:p>
          <w:p w14:paraId="11135318" w14:textId="77777777" w:rsidR="002C2C75" w:rsidRPr="00B03D81" w:rsidRDefault="002C2C75" w:rsidP="002C2C75">
            <w:pPr>
              <w:rPr>
                <w:b/>
                <w:bCs/>
              </w:rPr>
            </w:pPr>
            <w:r w:rsidRPr="00B03D81">
              <w:rPr>
                <w:lang w:eastAsia="zh-CN"/>
              </w:rPr>
              <w:t xml:space="preserve">Se propone que el Consejo revise el calendario de reuniones para el período 2021-2022 y aplace las que no sean esenciales para </w:t>
            </w:r>
            <w:r>
              <w:rPr>
                <w:lang w:eastAsia="zh-CN"/>
              </w:rPr>
              <w:t>la labor</w:t>
            </w:r>
            <w:r w:rsidRPr="00B03D81">
              <w:rPr>
                <w:lang w:eastAsia="zh-CN"/>
              </w:rPr>
              <w:t xml:space="preserve"> cotidian</w:t>
            </w:r>
            <w:r>
              <w:rPr>
                <w:lang w:eastAsia="zh-CN"/>
              </w:rPr>
              <w:t>a</w:t>
            </w:r>
            <w:r w:rsidRPr="00B03D81">
              <w:rPr>
                <w:lang w:eastAsia="zh-CN"/>
              </w:rPr>
              <w:t xml:space="preserve"> de la Unión.</w:t>
            </w:r>
          </w:p>
        </w:tc>
      </w:tr>
    </w:tbl>
    <w:p w14:paraId="5A7BDCE4" w14:textId="77777777" w:rsidR="002C2C75" w:rsidRPr="002C2C75" w:rsidRDefault="002C2C75" w:rsidP="002C2C75">
      <w:pPr>
        <w:tabs>
          <w:tab w:val="clear" w:pos="567"/>
          <w:tab w:val="clear" w:pos="1134"/>
          <w:tab w:val="clear" w:pos="1701"/>
          <w:tab w:val="clear" w:pos="2268"/>
          <w:tab w:val="clear" w:pos="2835"/>
          <w:tab w:val="left" w:pos="794"/>
          <w:tab w:val="left" w:pos="1191"/>
          <w:tab w:val="left" w:pos="1588"/>
          <w:tab w:val="left" w:pos="1985"/>
        </w:tabs>
        <w:spacing w:before="160" w:line="280" w:lineRule="exact"/>
        <w:jc w:val="both"/>
        <w:rPr>
          <w:rFonts w:cs="Calibri"/>
          <w:szCs w:val="22"/>
          <w:lang w:val="fr-FR"/>
        </w:rPr>
      </w:pPr>
    </w:p>
    <w:p w14:paraId="7813B04B" w14:textId="6D90EDDC" w:rsidR="002C2C75" w:rsidRPr="002C2C75" w:rsidRDefault="002C2C75" w:rsidP="002C2C75">
      <w:pPr>
        <w:tabs>
          <w:tab w:val="clear" w:pos="567"/>
          <w:tab w:val="clear" w:pos="1134"/>
          <w:tab w:val="clear" w:pos="1701"/>
          <w:tab w:val="clear" w:pos="2268"/>
          <w:tab w:val="clear" w:pos="2835"/>
          <w:tab w:val="left" w:pos="794"/>
          <w:tab w:val="left" w:pos="1191"/>
          <w:tab w:val="left" w:pos="1588"/>
          <w:tab w:val="left" w:pos="1985"/>
        </w:tabs>
        <w:spacing w:before="360" w:line="280" w:lineRule="exact"/>
        <w:jc w:val="center"/>
        <w:rPr>
          <w:rFonts w:cs="Calibri"/>
          <w:szCs w:val="22"/>
          <w:lang w:val="fr-FR"/>
        </w:rPr>
      </w:pPr>
      <w:r w:rsidRPr="002C2C75">
        <w:rPr>
          <w:rFonts w:cs="Calibri"/>
          <w:szCs w:val="22"/>
          <w:lang w:val="fr-FR"/>
        </w:rPr>
        <w:t>______________</w:t>
      </w:r>
    </w:p>
    <w:sectPr w:rsidR="002C2C75" w:rsidRPr="002C2C75" w:rsidSect="006710F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5DFD" w14:textId="77777777" w:rsidR="002C2C75" w:rsidRDefault="002C2C75">
      <w:r>
        <w:separator/>
      </w:r>
    </w:p>
  </w:endnote>
  <w:endnote w:type="continuationSeparator" w:id="0">
    <w:p w14:paraId="51E8A85B" w14:textId="77777777" w:rsidR="002C2C75" w:rsidRDefault="002C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69DE" w14:textId="77777777" w:rsidR="002F3292" w:rsidRDefault="002F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BA81" w14:textId="2DD3417B" w:rsidR="00760F1C" w:rsidRPr="00445669" w:rsidRDefault="00664572">
    <w:pPr>
      <w:pStyle w:val="Footer"/>
      <w:rPr>
        <w:lang w:val="fr-FR"/>
      </w:rPr>
    </w:pPr>
    <w:r>
      <w:fldChar w:fldCharType="begin"/>
    </w:r>
    <w:r w:rsidRPr="00445669">
      <w:rPr>
        <w:lang w:val="fr-FR"/>
      </w:rPr>
      <w:instrText xml:space="preserve"> FILENAME \p \* MERGEFORMAT </w:instrText>
    </w:r>
    <w:r>
      <w:fldChar w:fldCharType="separate"/>
    </w:r>
    <w:r w:rsidR="00445669" w:rsidRPr="00445669">
      <w:rPr>
        <w:lang w:val="fr-FR"/>
      </w:rPr>
      <w:t>P:\ESP\SG\CONSEIL\VC-2\000\007S.docx</w:t>
    </w:r>
    <w:r>
      <w:rPr>
        <w:lang w:val="en-US"/>
      </w:rPr>
      <w:fldChar w:fldCharType="end"/>
    </w:r>
    <w:r w:rsidR="00445669">
      <w:rPr>
        <w:lang w:val="fr-FR"/>
      </w:rPr>
      <w:t xml:space="preserve"> (479730)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9DBE" w14:textId="77777777" w:rsidR="00760F1C" w:rsidRDefault="00760F1C">
    <w:pPr>
      <w:spacing w:after="120"/>
      <w:jc w:val="center"/>
    </w:pPr>
    <w:r>
      <w:t xml:space="preserve">• </w:t>
    </w:r>
    <w:hyperlink r:id="rId1" w:history="1">
      <w:r>
        <w:rPr>
          <w:rStyle w:val="Hyperlink"/>
        </w:rPr>
        <w:t>http://www.itu.int/council</w:t>
      </w:r>
    </w:hyperlink>
    <w:r>
      <w:t xml:space="preserve"> •</w:t>
    </w:r>
  </w:p>
  <w:p w14:paraId="50D158F1" w14:textId="34FBE566" w:rsidR="00760F1C" w:rsidRPr="00445669" w:rsidRDefault="00664572">
    <w:pPr>
      <w:pStyle w:val="Footer"/>
      <w:rPr>
        <w:lang w:val="fr-FR"/>
      </w:rPr>
    </w:pPr>
    <w:r>
      <w:fldChar w:fldCharType="begin"/>
    </w:r>
    <w:r w:rsidRPr="00445669">
      <w:rPr>
        <w:lang w:val="fr-FR"/>
      </w:rPr>
      <w:instrText xml:space="preserve"> FILENAME \p \* MERGEFORMAT </w:instrText>
    </w:r>
    <w:r>
      <w:fldChar w:fldCharType="separate"/>
    </w:r>
    <w:r w:rsidR="00445669" w:rsidRPr="00445669">
      <w:rPr>
        <w:lang w:val="fr-FR"/>
      </w:rPr>
      <w:t>P:\ESP\SG\CONSEIL\VC-2\000\007S.docx</w:t>
    </w:r>
    <w:r>
      <w:rPr>
        <w:lang w:val="en-US"/>
      </w:rPr>
      <w:fldChar w:fldCharType="end"/>
    </w:r>
    <w:r w:rsidR="00445669">
      <w:rPr>
        <w:lang w:val="fr-FR"/>
      </w:rPr>
      <w:t xml:space="preserve"> (479730)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916D" w14:textId="77777777" w:rsidR="002C2C75" w:rsidRDefault="002C2C75">
      <w:r>
        <w:t>____________________</w:t>
      </w:r>
    </w:p>
  </w:footnote>
  <w:footnote w:type="continuationSeparator" w:id="0">
    <w:p w14:paraId="74274B28" w14:textId="77777777" w:rsidR="002C2C75" w:rsidRDefault="002C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58360" w14:textId="77777777" w:rsidR="002F3292" w:rsidRDefault="002F3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4EDF"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EC39D52" w14:textId="223CE16E" w:rsidR="00760F1C" w:rsidRDefault="002F3292" w:rsidP="00C2727F">
    <w:pPr>
      <w:pStyle w:val="Header"/>
    </w:pPr>
    <w:r>
      <w:t>V</w:t>
    </w:r>
    <w:r w:rsidR="00760F1C">
      <w:t>C</w:t>
    </w:r>
    <w:r>
      <w:t>-</w:t>
    </w:r>
    <w:r w:rsidR="007955DA">
      <w:t>2</w:t>
    </w:r>
    <w:r w:rsidR="00760F1C">
      <w:t>/</w:t>
    </w:r>
    <w:r>
      <w:t>7</w:t>
    </w:r>
    <w:r w:rsidR="00760F1C">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70F5" w14:textId="77777777" w:rsidR="002F3292" w:rsidRDefault="002F3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B6774"/>
    <w:multiLevelType w:val="hybridMultilevel"/>
    <w:tmpl w:val="45122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75"/>
    <w:rsid w:val="00093EEB"/>
    <w:rsid w:val="000B0D00"/>
    <w:rsid w:val="000B7C15"/>
    <w:rsid w:val="000D1D0F"/>
    <w:rsid w:val="000F5290"/>
    <w:rsid w:val="0010165C"/>
    <w:rsid w:val="00146BFB"/>
    <w:rsid w:val="001F14A2"/>
    <w:rsid w:val="002801AA"/>
    <w:rsid w:val="002C2C75"/>
    <w:rsid w:val="002C4676"/>
    <w:rsid w:val="002C70B0"/>
    <w:rsid w:val="002F3292"/>
    <w:rsid w:val="002F3CC4"/>
    <w:rsid w:val="00445669"/>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569BB"/>
  <w15:docId w15:val="{2F4D8FEC-8128-4269-9E47-FF350EB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2C2C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2C75"/>
    <w:rPr>
      <w:rFonts w:ascii="Segoe UI" w:hAnsi="Segoe UI" w:cs="Segoe UI"/>
      <w:sz w:val="18"/>
      <w:szCs w:val="18"/>
      <w:lang w:val="es-ES_tradnl" w:eastAsia="en-US"/>
    </w:rPr>
  </w:style>
  <w:style w:type="paragraph" w:styleId="ListParagraph">
    <w:name w:val="List Paragraph"/>
    <w:basedOn w:val="Normal"/>
    <w:uiPriority w:val="34"/>
    <w:qFormat/>
    <w:rsid w:val="002C2C75"/>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eastAsia="MS Mincho"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4/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S20-CL-C-0037/en" TargetMode="External"/><Relationship Id="rId4" Type="http://schemas.openxmlformats.org/officeDocument/2006/relationships/webSettings" Target="webSettings.xml"/><Relationship Id="rId9" Type="http://schemas.openxmlformats.org/officeDocument/2006/relationships/hyperlink" Target="https://www.itu.int/md/S20-CL-C-0072/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10</TotalTime>
  <Pages>3</Pages>
  <Words>654</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Ayala Martinez, Beatriz</cp:lastModifiedBy>
  <cp:revision>3</cp:revision>
  <cp:lastPrinted>2006-03-24T09:51:00Z</cp:lastPrinted>
  <dcterms:created xsi:type="dcterms:W3CDTF">2020-11-12T12:56:00Z</dcterms:created>
  <dcterms:modified xsi:type="dcterms:W3CDTF">2020-11-12T13:08:00Z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