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45E52E1A" w14:textId="77777777">
        <w:trPr>
          <w:cantSplit/>
        </w:trPr>
        <w:tc>
          <w:tcPr>
            <w:tcW w:w="6912" w:type="dxa"/>
          </w:tcPr>
          <w:p w14:paraId="48EFB933" w14:textId="2180A4E3" w:rsidR="00093EEB" w:rsidRPr="000B0D00" w:rsidRDefault="009F4414" w:rsidP="00C2727F">
            <w:pPr>
              <w:spacing w:before="360"/>
              <w:rPr>
                <w:szCs w:val="24"/>
              </w:rPr>
            </w:pPr>
            <w:bookmarkStart w:id="0" w:name="lt_pId446"/>
            <w:bookmarkStart w:id="1" w:name="dbluepink" w:colFirst="0" w:colLast="0"/>
            <w:r w:rsidRPr="00F32479">
              <w:rPr>
                <w:b/>
                <w:bCs/>
                <w:position w:val="6"/>
                <w:sz w:val="26"/>
                <w:szCs w:val="26"/>
              </w:rPr>
              <w:t xml:space="preserve">Segunda consulta virtual de los consejeros </w:t>
            </w:r>
            <w:bookmarkEnd w:id="0"/>
            <w:r w:rsidRPr="00F32479">
              <w:rPr>
                <w:b/>
                <w:bCs/>
                <w:position w:val="6"/>
                <w:sz w:val="26"/>
                <w:szCs w:val="26"/>
              </w:rPr>
              <w:br/>
            </w:r>
            <w:bookmarkStart w:id="2" w:name="lt_pId447"/>
            <w:r w:rsidRPr="00F32479">
              <w:rPr>
                <w:b/>
                <w:bCs/>
                <w:position w:val="6"/>
                <w:sz w:val="26"/>
                <w:szCs w:val="26"/>
              </w:rPr>
              <w:t>que comienza el 16 de noviembre de 2020</w:t>
            </w:r>
            <w:bookmarkEnd w:id="2"/>
          </w:p>
        </w:tc>
        <w:tc>
          <w:tcPr>
            <w:tcW w:w="3261" w:type="dxa"/>
          </w:tcPr>
          <w:p w14:paraId="2FA0C653"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461AE9C2" wp14:editId="1186922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51576FBC" w14:textId="77777777">
        <w:trPr>
          <w:cantSplit/>
          <w:trHeight w:val="20"/>
        </w:trPr>
        <w:tc>
          <w:tcPr>
            <w:tcW w:w="10173" w:type="dxa"/>
            <w:gridSpan w:val="2"/>
            <w:tcBorders>
              <w:bottom w:val="single" w:sz="12" w:space="0" w:color="auto"/>
            </w:tcBorders>
          </w:tcPr>
          <w:p w14:paraId="04266E05" w14:textId="77777777" w:rsidR="00093EEB" w:rsidRPr="00EB1212" w:rsidRDefault="00093EEB">
            <w:pPr>
              <w:spacing w:before="0"/>
              <w:rPr>
                <w:b/>
                <w:bCs/>
                <w:szCs w:val="24"/>
              </w:rPr>
            </w:pPr>
          </w:p>
        </w:tc>
      </w:tr>
      <w:tr w:rsidR="00093EEB" w:rsidRPr="000B0D00" w14:paraId="1F98D381" w14:textId="77777777">
        <w:trPr>
          <w:cantSplit/>
          <w:trHeight w:val="20"/>
        </w:trPr>
        <w:tc>
          <w:tcPr>
            <w:tcW w:w="6912" w:type="dxa"/>
            <w:tcBorders>
              <w:top w:val="single" w:sz="12" w:space="0" w:color="auto"/>
            </w:tcBorders>
          </w:tcPr>
          <w:p w14:paraId="226668CC"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DCF2A5B" w14:textId="77777777" w:rsidR="00093EEB" w:rsidRPr="000B0D00" w:rsidRDefault="00093EEB">
            <w:pPr>
              <w:spacing w:before="0"/>
              <w:rPr>
                <w:b/>
                <w:bCs/>
                <w:szCs w:val="24"/>
              </w:rPr>
            </w:pPr>
          </w:p>
        </w:tc>
      </w:tr>
      <w:tr w:rsidR="00093EEB" w:rsidRPr="000B0D00" w14:paraId="73D8CDDA" w14:textId="77777777">
        <w:trPr>
          <w:cantSplit/>
          <w:trHeight w:val="20"/>
        </w:trPr>
        <w:tc>
          <w:tcPr>
            <w:tcW w:w="6912" w:type="dxa"/>
            <w:shd w:val="clear" w:color="auto" w:fill="auto"/>
          </w:tcPr>
          <w:p w14:paraId="44F6CBA9"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37FA30A2" w14:textId="77777777" w:rsidR="00EB6750" w:rsidRDefault="00EB6750" w:rsidP="00C2727F">
            <w:pPr>
              <w:spacing w:before="0"/>
              <w:rPr>
                <w:b/>
                <w:bCs/>
                <w:szCs w:val="24"/>
              </w:rPr>
            </w:pPr>
            <w:r>
              <w:rPr>
                <w:b/>
                <w:bCs/>
                <w:szCs w:val="24"/>
              </w:rPr>
              <w:t>Corrigéndum 1 al</w:t>
            </w:r>
          </w:p>
          <w:p w14:paraId="4AEFFD64" w14:textId="1A51320F" w:rsidR="00093EEB" w:rsidRPr="00093EEB" w:rsidRDefault="00093EEB" w:rsidP="00C2727F">
            <w:pPr>
              <w:spacing w:before="0"/>
              <w:rPr>
                <w:b/>
                <w:bCs/>
                <w:szCs w:val="24"/>
              </w:rPr>
            </w:pPr>
            <w:r>
              <w:rPr>
                <w:b/>
                <w:bCs/>
                <w:szCs w:val="24"/>
              </w:rPr>
              <w:t xml:space="preserve">Documento </w:t>
            </w:r>
            <w:r w:rsidR="009F4414">
              <w:rPr>
                <w:b/>
                <w:bCs/>
                <w:szCs w:val="24"/>
              </w:rPr>
              <w:t>VC-</w:t>
            </w:r>
            <w:r w:rsidR="007955DA">
              <w:rPr>
                <w:b/>
                <w:bCs/>
                <w:szCs w:val="24"/>
              </w:rPr>
              <w:t>2</w:t>
            </w:r>
            <w:r>
              <w:rPr>
                <w:b/>
                <w:bCs/>
                <w:szCs w:val="24"/>
              </w:rPr>
              <w:t>/</w:t>
            </w:r>
            <w:r w:rsidR="009F4414">
              <w:rPr>
                <w:b/>
                <w:bCs/>
                <w:szCs w:val="24"/>
              </w:rPr>
              <w:t>6</w:t>
            </w:r>
            <w:r>
              <w:rPr>
                <w:b/>
                <w:bCs/>
                <w:szCs w:val="24"/>
              </w:rPr>
              <w:t>-S</w:t>
            </w:r>
          </w:p>
        </w:tc>
      </w:tr>
      <w:tr w:rsidR="00093EEB" w:rsidRPr="000B0D00" w14:paraId="09A6B6ED" w14:textId="77777777">
        <w:trPr>
          <w:cantSplit/>
          <w:trHeight w:val="20"/>
        </w:trPr>
        <w:tc>
          <w:tcPr>
            <w:tcW w:w="6912" w:type="dxa"/>
            <w:shd w:val="clear" w:color="auto" w:fill="auto"/>
          </w:tcPr>
          <w:p w14:paraId="5F5E0CF2"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3623775B" w14:textId="6C6438A6" w:rsidR="00093EEB" w:rsidRPr="00093EEB" w:rsidRDefault="00EB6750" w:rsidP="00C2727F">
            <w:pPr>
              <w:spacing w:before="0"/>
              <w:rPr>
                <w:b/>
                <w:bCs/>
                <w:szCs w:val="24"/>
              </w:rPr>
            </w:pPr>
            <w:r>
              <w:rPr>
                <w:b/>
                <w:bCs/>
                <w:szCs w:val="24"/>
              </w:rPr>
              <w:t>12 de noviembre</w:t>
            </w:r>
            <w:r w:rsidR="009F4414">
              <w:rPr>
                <w:b/>
                <w:bCs/>
                <w:szCs w:val="24"/>
              </w:rPr>
              <w:t xml:space="preserve"> de</w:t>
            </w:r>
            <w:r w:rsidR="00093EEB">
              <w:rPr>
                <w:b/>
                <w:bCs/>
                <w:szCs w:val="24"/>
              </w:rPr>
              <w:t xml:space="preserve"> 20</w:t>
            </w:r>
            <w:r w:rsidR="007955DA">
              <w:rPr>
                <w:b/>
                <w:bCs/>
                <w:szCs w:val="24"/>
              </w:rPr>
              <w:t>20</w:t>
            </w:r>
          </w:p>
        </w:tc>
      </w:tr>
      <w:tr w:rsidR="00093EEB" w:rsidRPr="000B0D00" w14:paraId="75CC7074" w14:textId="77777777">
        <w:trPr>
          <w:cantSplit/>
          <w:trHeight w:val="20"/>
        </w:trPr>
        <w:tc>
          <w:tcPr>
            <w:tcW w:w="6912" w:type="dxa"/>
            <w:shd w:val="clear" w:color="auto" w:fill="auto"/>
          </w:tcPr>
          <w:p w14:paraId="5BC465E8"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18865DE2" w14:textId="3505BFAA" w:rsidR="00093EEB" w:rsidRPr="00093EEB" w:rsidRDefault="00093EEB" w:rsidP="00093EEB">
            <w:pPr>
              <w:spacing w:before="0"/>
              <w:rPr>
                <w:b/>
                <w:bCs/>
                <w:szCs w:val="24"/>
              </w:rPr>
            </w:pPr>
            <w:r>
              <w:rPr>
                <w:b/>
                <w:bCs/>
                <w:szCs w:val="24"/>
              </w:rPr>
              <w:t xml:space="preserve">Original: </w:t>
            </w:r>
            <w:r w:rsidR="009F4414">
              <w:rPr>
                <w:b/>
                <w:bCs/>
                <w:szCs w:val="24"/>
              </w:rPr>
              <w:t>ruso</w:t>
            </w:r>
          </w:p>
        </w:tc>
      </w:tr>
      <w:bookmarkEnd w:id="1"/>
      <w:bookmarkEnd w:id="7"/>
    </w:tbl>
    <w:p w14:paraId="235888B4" w14:textId="77777777" w:rsidR="009F4414" w:rsidRPr="00F32479" w:rsidRDefault="009F4414" w:rsidP="009F4414">
      <w:pPr>
        <w:rPr>
          <w:b/>
          <w:bCs/>
          <w:sz w:val="28"/>
        </w:rPr>
      </w:pPr>
    </w:p>
    <w:tbl>
      <w:tblPr>
        <w:tblW w:w="10093" w:type="dxa"/>
        <w:tblLayout w:type="fixed"/>
        <w:tblLook w:val="0000" w:firstRow="0" w:lastRow="0" w:firstColumn="0" w:lastColumn="0" w:noHBand="0" w:noVBand="0"/>
      </w:tblPr>
      <w:tblGrid>
        <w:gridCol w:w="2835"/>
        <w:gridCol w:w="7258"/>
      </w:tblGrid>
      <w:tr w:rsidR="009F4414" w:rsidRPr="00F32479" w14:paraId="5666C603" w14:textId="77777777" w:rsidTr="00F00BED">
        <w:trPr>
          <w:cantSplit/>
        </w:trPr>
        <w:tc>
          <w:tcPr>
            <w:tcW w:w="2835" w:type="dxa"/>
            <w:tcBorders>
              <w:right w:val="single" w:sz="12" w:space="0" w:color="auto"/>
            </w:tcBorders>
            <w:vAlign w:val="center"/>
          </w:tcPr>
          <w:p w14:paraId="168120A2" w14:textId="77777777" w:rsidR="009F4414" w:rsidRPr="00F32479" w:rsidRDefault="009F4414" w:rsidP="00F00BED">
            <w:pPr>
              <w:rPr>
                <w:b/>
                <w:bCs/>
              </w:rPr>
            </w:pPr>
            <w:bookmarkStart w:id="8" w:name="lt_pId450"/>
            <w:r w:rsidRPr="00F32479">
              <w:rPr>
                <w:b/>
                <w:bCs/>
              </w:rPr>
              <w:t>Nombre del/de los Estado(s) Miembro(s) que la presenta(n):</w:t>
            </w:r>
            <w:bookmarkEnd w:id="8"/>
          </w:p>
        </w:tc>
        <w:tc>
          <w:tcPr>
            <w:tcW w:w="7258" w:type="dxa"/>
            <w:tcBorders>
              <w:top w:val="single" w:sz="12" w:space="0" w:color="auto"/>
              <w:left w:val="single" w:sz="12" w:space="0" w:color="auto"/>
              <w:bottom w:val="single" w:sz="12" w:space="0" w:color="auto"/>
              <w:right w:val="single" w:sz="12" w:space="0" w:color="auto"/>
            </w:tcBorders>
            <w:vAlign w:val="center"/>
          </w:tcPr>
          <w:p w14:paraId="72CDA603" w14:textId="705A0DCA" w:rsidR="009F4414" w:rsidRPr="00F32479" w:rsidRDefault="009F4414" w:rsidP="00F00BED">
            <w:pPr>
              <w:rPr>
                <w:b/>
                <w:bCs/>
              </w:rPr>
            </w:pPr>
            <w:r w:rsidRPr="00F32479">
              <w:rPr>
                <w:b/>
                <w:bCs/>
              </w:rPr>
              <w:t>República de Azerbaiyán, República de Belarús, Federación de Rusia</w:t>
            </w:r>
            <w:r w:rsidR="00EB6750">
              <w:rPr>
                <w:b/>
                <w:bCs/>
              </w:rPr>
              <w:t>, República de Uzbekistán</w:t>
            </w:r>
          </w:p>
        </w:tc>
      </w:tr>
      <w:tr w:rsidR="009F4414" w:rsidRPr="00F32479" w14:paraId="4E572A9F" w14:textId="77777777" w:rsidTr="00F00BED">
        <w:trPr>
          <w:cantSplit/>
        </w:trPr>
        <w:tc>
          <w:tcPr>
            <w:tcW w:w="2835" w:type="dxa"/>
          </w:tcPr>
          <w:p w14:paraId="3FC743EC" w14:textId="77777777" w:rsidR="009F4414" w:rsidRPr="00F32479" w:rsidRDefault="009F4414" w:rsidP="00F00BED">
            <w:pPr>
              <w:rPr>
                <w:sz w:val="16"/>
                <w:szCs w:val="16"/>
              </w:rPr>
            </w:pPr>
          </w:p>
        </w:tc>
        <w:tc>
          <w:tcPr>
            <w:tcW w:w="7258" w:type="dxa"/>
            <w:tcBorders>
              <w:top w:val="single" w:sz="12" w:space="0" w:color="auto"/>
              <w:bottom w:val="single" w:sz="12" w:space="0" w:color="auto"/>
            </w:tcBorders>
          </w:tcPr>
          <w:p w14:paraId="5A857E9D" w14:textId="77777777" w:rsidR="009F4414" w:rsidRPr="00F32479" w:rsidRDefault="009F4414" w:rsidP="00F00BED">
            <w:pPr>
              <w:rPr>
                <w:sz w:val="16"/>
                <w:szCs w:val="16"/>
              </w:rPr>
            </w:pPr>
          </w:p>
        </w:tc>
      </w:tr>
      <w:tr w:rsidR="009F4414" w:rsidRPr="00F32479" w14:paraId="23C7A81E" w14:textId="77777777" w:rsidTr="00F00BED">
        <w:trPr>
          <w:cantSplit/>
        </w:trPr>
        <w:tc>
          <w:tcPr>
            <w:tcW w:w="2835" w:type="dxa"/>
            <w:tcBorders>
              <w:right w:val="single" w:sz="12" w:space="0" w:color="auto"/>
            </w:tcBorders>
          </w:tcPr>
          <w:p w14:paraId="010AEA96" w14:textId="77777777" w:rsidR="009F4414" w:rsidRPr="00F32479" w:rsidRDefault="009F4414" w:rsidP="00F00BED">
            <w:pPr>
              <w:spacing w:after="120"/>
              <w:rPr>
                <w:b/>
                <w:bCs/>
              </w:rPr>
            </w:pPr>
            <w:bookmarkStart w:id="9" w:name="lt_pId451"/>
            <w:r w:rsidRPr="00F32479">
              <w:rPr>
                <w:b/>
                <w:bCs/>
              </w:rPr>
              <w:t>Título del documento:</w:t>
            </w:r>
            <w:bookmarkEnd w:id="9"/>
          </w:p>
        </w:tc>
        <w:tc>
          <w:tcPr>
            <w:tcW w:w="7258" w:type="dxa"/>
            <w:tcBorders>
              <w:top w:val="single" w:sz="12" w:space="0" w:color="auto"/>
              <w:left w:val="single" w:sz="12" w:space="0" w:color="auto"/>
              <w:bottom w:val="single" w:sz="12" w:space="0" w:color="auto"/>
              <w:right w:val="single" w:sz="12" w:space="0" w:color="auto"/>
            </w:tcBorders>
          </w:tcPr>
          <w:p w14:paraId="1AD62149" w14:textId="77777777" w:rsidR="009F4414" w:rsidRPr="00F32479" w:rsidRDefault="009F4414" w:rsidP="00F00BED">
            <w:pPr>
              <w:spacing w:after="120"/>
              <w:rPr>
                <w:b/>
                <w:bCs/>
              </w:rPr>
            </w:pPr>
            <w:r w:rsidRPr="00F32479">
              <w:rPr>
                <w:b/>
                <w:bCs/>
              </w:rPr>
              <w:t>Mejora de la organización de reuniones virtuales</w:t>
            </w:r>
          </w:p>
        </w:tc>
      </w:tr>
      <w:tr w:rsidR="009F4414" w:rsidRPr="00F32479" w14:paraId="7D91DA05" w14:textId="77777777" w:rsidTr="009F4414">
        <w:trPr>
          <w:cantSplit/>
          <w:trHeight w:val="269"/>
        </w:trPr>
        <w:tc>
          <w:tcPr>
            <w:tcW w:w="2835" w:type="dxa"/>
          </w:tcPr>
          <w:p w14:paraId="3D894786" w14:textId="77777777" w:rsidR="009F4414" w:rsidRPr="00F32479" w:rsidRDefault="009F4414" w:rsidP="00F00BED">
            <w:pPr>
              <w:rPr>
                <w:sz w:val="16"/>
                <w:szCs w:val="16"/>
              </w:rPr>
            </w:pPr>
          </w:p>
        </w:tc>
        <w:tc>
          <w:tcPr>
            <w:tcW w:w="7258" w:type="dxa"/>
            <w:tcBorders>
              <w:top w:val="single" w:sz="12" w:space="0" w:color="auto"/>
              <w:bottom w:val="single" w:sz="12" w:space="0" w:color="auto"/>
            </w:tcBorders>
          </w:tcPr>
          <w:p w14:paraId="5689BFD9" w14:textId="77777777" w:rsidR="009F4414" w:rsidRPr="00F32479" w:rsidRDefault="009F4414" w:rsidP="00F00BED">
            <w:pPr>
              <w:rPr>
                <w:sz w:val="16"/>
                <w:szCs w:val="16"/>
              </w:rPr>
            </w:pPr>
          </w:p>
        </w:tc>
      </w:tr>
      <w:tr w:rsidR="009F4414" w:rsidRPr="00F32479" w14:paraId="09FD15BC" w14:textId="77777777" w:rsidTr="009F4414">
        <w:trPr>
          <w:cantSplit/>
          <w:trHeight w:val="668"/>
        </w:trPr>
        <w:tc>
          <w:tcPr>
            <w:tcW w:w="2835" w:type="dxa"/>
            <w:tcBorders>
              <w:right w:val="single" w:sz="12" w:space="0" w:color="auto"/>
            </w:tcBorders>
            <w:vAlign w:val="center"/>
          </w:tcPr>
          <w:p w14:paraId="5F65EB20" w14:textId="77777777" w:rsidR="009F4414" w:rsidRPr="00F32479" w:rsidRDefault="009F4414" w:rsidP="00F00BED">
            <w:pPr>
              <w:rPr>
                <w:b/>
                <w:bCs/>
              </w:rPr>
            </w:pPr>
            <w:bookmarkStart w:id="10" w:name="lt_pId452"/>
            <w:r w:rsidRPr="00F32479">
              <w:rPr>
                <w:b/>
                <w:bCs/>
              </w:rPr>
              <w:t>Referencia al proyecto de orden del día de la consulta virtual:</w:t>
            </w:r>
            <w:bookmarkEnd w:id="10"/>
          </w:p>
        </w:tc>
        <w:tc>
          <w:tcPr>
            <w:tcW w:w="7258" w:type="dxa"/>
            <w:tcBorders>
              <w:top w:val="single" w:sz="12" w:space="0" w:color="auto"/>
              <w:left w:val="single" w:sz="12" w:space="0" w:color="auto"/>
              <w:bottom w:val="single" w:sz="12" w:space="0" w:color="auto"/>
              <w:right w:val="single" w:sz="12" w:space="0" w:color="auto"/>
            </w:tcBorders>
            <w:vAlign w:val="center"/>
          </w:tcPr>
          <w:p w14:paraId="63FA0776" w14:textId="1DE964BF" w:rsidR="009F4414" w:rsidRPr="00F32479" w:rsidRDefault="009F4414" w:rsidP="00F00BED">
            <w:pPr>
              <w:spacing w:before="240" w:after="120"/>
              <w:rPr>
                <w:b/>
                <w:bCs/>
              </w:rPr>
            </w:pPr>
            <w:r w:rsidRPr="00F32479">
              <w:rPr>
                <w:b/>
                <w:bCs/>
              </w:rPr>
              <w:t>Punto 2 del segundo grupo de puntos del proyecto de orden del día para la segunda consulta virtual de los consejeros (PL2.8)</w:t>
            </w:r>
            <w:r w:rsidRPr="00F32479">
              <w:rPr>
                <w:b/>
                <w:bCs/>
              </w:rPr>
              <w:br/>
              <w:t xml:space="preserve">Documentos </w:t>
            </w:r>
            <w:hyperlink r:id="rId7" w:history="1">
              <w:r w:rsidRPr="00F32479">
                <w:rPr>
                  <w:b/>
                  <w:color w:val="0000FF"/>
                  <w:u w:val="single"/>
                </w:rPr>
                <w:t>VC/13</w:t>
              </w:r>
            </w:hyperlink>
            <w:r w:rsidRPr="00F32479">
              <w:rPr>
                <w:b/>
                <w:bCs/>
              </w:rPr>
              <w:t>,</w:t>
            </w:r>
            <w:r w:rsidRPr="00F32479">
              <w:rPr>
                <w:b/>
              </w:rPr>
              <w:t xml:space="preserve"> </w:t>
            </w:r>
            <w:hyperlink r:id="rId8" w:history="1">
              <w:r w:rsidRPr="00F32479">
                <w:rPr>
                  <w:b/>
                  <w:color w:val="0000FF"/>
                  <w:u w:val="single"/>
                </w:rPr>
                <w:t>VC/10</w:t>
              </w:r>
            </w:hyperlink>
            <w:r w:rsidRPr="00F32479">
              <w:rPr>
                <w:b/>
                <w:bCs/>
              </w:rPr>
              <w:t xml:space="preserve">, </w:t>
            </w:r>
            <w:hyperlink r:id="rId9" w:history="1">
              <w:r w:rsidRPr="00F32479">
                <w:rPr>
                  <w:b/>
                  <w:bCs/>
                  <w:color w:val="0000FF"/>
                  <w:u w:val="single"/>
                </w:rPr>
                <w:t>C20/</w:t>
              </w:r>
              <w:r w:rsidRPr="00F32479">
                <w:rPr>
                  <w:rFonts w:cs="Calibri"/>
                  <w:b/>
                  <w:color w:val="0000FF"/>
                  <w:u w:val="single"/>
                  <w:lang w:eastAsia="en-GB"/>
                </w:rPr>
                <w:t>14</w:t>
              </w:r>
            </w:hyperlink>
            <w:r w:rsidRPr="00F32479">
              <w:rPr>
                <w:b/>
                <w:bCs/>
              </w:rPr>
              <w:t xml:space="preserve">, </w:t>
            </w:r>
            <w:hyperlink r:id="rId10" w:history="1">
              <w:r w:rsidRPr="00F32479">
                <w:rPr>
                  <w:b/>
                  <w:bCs/>
                  <w:color w:val="0000FF"/>
                  <w:u w:val="single"/>
                </w:rPr>
                <w:t>С20/</w:t>
              </w:r>
              <w:r w:rsidRPr="00F32479">
                <w:rPr>
                  <w:b/>
                  <w:color w:val="0000FF"/>
                  <w:u w:val="single"/>
                </w:rPr>
                <w:t>53</w:t>
              </w:r>
            </w:hyperlink>
          </w:p>
        </w:tc>
      </w:tr>
    </w:tbl>
    <w:p w14:paraId="16F5EF6F" w14:textId="77777777" w:rsidR="009F4414" w:rsidRPr="009F4414" w:rsidRDefault="009F4414" w:rsidP="009F4414">
      <w:pPr>
        <w:rPr>
          <w:szCs w:val="24"/>
        </w:rPr>
      </w:pPr>
    </w:p>
    <w:tbl>
      <w:tblPr>
        <w:tblW w:w="10093" w:type="dxa"/>
        <w:tblLayout w:type="fixed"/>
        <w:tblLook w:val="0000" w:firstRow="0" w:lastRow="0" w:firstColumn="0" w:lastColumn="0" w:noHBand="0" w:noVBand="0"/>
      </w:tblPr>
      <w:tblGrid>
        <w:gridCol w:w="10093"/>
      </w:tblGrid>
      <w:tr w:rsidR="009F4414" w:rsidRPr="00F32479" w14:paraId="6807923D" w14:textId="77777777" w:rsidTr="00F00BED">
        <w:tc>
          <w:tcPr>
            <w:tcW w:w="10093" w:type="dxa"/>
            <w:tcBorders>
              <w:top w:val="single" w:sz="12" w:space="0" w:color="auto"/>
              <w:left w:val="single" w:sz="12" w:space="0" w:color="auto"/>
              <w:bottom w:val="single" w:sz="12" w:space="0" w:color="auto"/>
              <w:right w:val="single" w:sz="12" w:space="0" w:color="auto"/>
            </w:tcBorders>
          </w:tcPr>
          <w:p w14:paraId="73EF2E0B" w14:textId="77777777" w:rsidR="009F4414" w:rsidRPr="00F32479" w:rsidRDefault="009F4414" w:rsidP="009F4414">
            <w:pPr>
              <w:pStyle w:val="Headingb"/>
            </w:pPr>
            <w:r w:rsidRPr="00F32479">
              <w:t>Resumen</w:t>
            </w:r>
          </w:p>
          <w:p w14:paraId="39C64918" w14:textId="77777777" w:rsidR="009F4414" w:rsidRPr="00F32479" w:rsidRDefault="009F4414" w:rsidP="009F4414">
            <w:pPr>
              <w:rPr>
                <w:lang w:eastAsia="zh-CN"/>
              </w:rPr>
            </w:pPr>
            <w:r w:rsidRPr="00F32479">
              <w:rPr>
                <w:lang w:eastAsia="zh-CN"/>
              </w:rPr>
              <w:t>Se ofrece un breve análisis de la situación actual en lo que respecta a la organización y conducción de reuniones virtuales. Se proponen medidas para optimizar el gasto de recursos financieros y humanos en la organización y realización de esos eventos.</w:t>
            </w:r>
          </w:p>
          <w:p w14:paraId="06EEE32E" w14:textId="77777777" w:rsidR="009F4414" w:rsidRPr="00F32479" w:rsidRDefault="009F4414" w:rsidP="009F4414">
            <w:pPr>
              <w:pStyle w:val="Heading1"/>
            </w:pPr>
            <w:r w:rsidRPr="00F32479">
              <w:t>1</w:t>
            </w:r>
            <w:r w:rsidRPr="00F32479">
              <w:tab/>
              <w:t>Introducción</w:t>
            </w:r>
          </w:p>
          <w:p w14:paraId="158E1DCD" w14:textId="77777777" w:rsidR="009F4414" w:rsidRPr="00F32479" w:rsidRDefault="009F4414" w:rsidP="00F00BED">
            <w:r w:rsidRPr="00F32479">
              <w:t xml:space="preserve">En el § 3 del Documento </w:t>
            </w:r>
            <w:hyperlink r:id="rId11" w:history="1">
              <w:r w:rsidRPr="00F32479">
                <w:rPr>
                  <w:color w:val="0000FF"/>
                  <w:u w:val="single"/>
                </w:rPr>
                <w:t>VC/13</w:t>
              </w:r>
            </w:hyperlink>
            <w:r w:rsidRPr="00F32479">
              <w:t xml:space="preserve"> se indica que, tras el anuncio de la COVID-19 como pandemia, todas las reuniones de la UIT han pasado a ser virtuales, con la excepción del Consejo. La secretaría de la UIT, junto a todos los participantes en las actividades de la UIT, adoptó medidas urgentes para organizar reuniones virtuales, incluida la introducción de programas informáticos y recursos técnicos adecuados y la capacitación del personal de la UIT. Esas medidas permitieron proseguir las actividades de la Unión en las difíciles condiciones de la pandemia.</w:t>
            </w:r>
          </w:p>
          <w:p w14:paraId="0819FCE5" w14:textId="77777777" w:rsidR="009F4414" w:rsidRPr="00F32479" w:rsidRDefault="009F4414" w:rsidP="00F00BED">
            <w:pPr>
              <w:spacing w:after="120"/>
            </w:pPr>
            <w:r w:rsidRPr="00F32479">
              <w:t xml:space="preserve">En el documento </w:t>
            </w:r>
            <w:hyperlink r:id="rId12" w:history="1">
              <w:r w:rsidRPr="00F32479">
                <w:rPr>
                  <w:color w:val="0000FF"/>
                  <w:u w:val="single"/>
                </w:rPr>
                <w:t>VC/10</w:t>
              </w:r>
            </w:hyperlink>
            <w:r w:rsidRPr="00F32479">
              <w:t xml:space="preserve"> se destaca la necesidad de fortalecer las actividades en esta esfera. Ciertos aspectos de estas actividades se examinan también en los documentos </w:t>
            </w:r>
            <w:hyperlink r:id="rId13" w:history="1">
              <w:r w:rsidRPr="00F32479">
                <w:rPr>
                  <w:color w:val="0000FF"/>
                  <w:u w:val="single"/>
                </w:rPr>
                <w:t>C20/14</w:t>
              </w:r>
            </w:hyperlink>
            <w:r w:rsidRPr="00F32479">
              <w:t xml:space="preserve"> y </w:t>
            </w:r>
            <w:hyperlink r:id="rId14" w:history="1">
              <w:r w:rsidRPr="00F32479">
                <w:rPr>
                  <w:color w:val="0000FF"/>
                  <w:u w:val="single"/>
                </w:rPr>
                <w:t>С20/53</w:t>
              </w:r>
            </w:hyperlink>
            <w:r w:rsidRPr="00F32479">
              <w:t>.</w:t>
            </w:r>
          </w:p>
        </w:tc>
      </w:tr>
    </w:tbl>
    <w:p w14:paraId="05821F15" w14:textId="77777777" w:rsidR="009F4414" w:rsidRPr="00F32479" w:rsidRDefault="009F4414" w:rsidP="009F4414">
      <w:r w:rsidRPr="00F32479">
        <w:br w:type="page"/>
      </w:r>
    </w:p>
    <w:tbl>
      <w:tblPr>
        <w:tblW w:w="10093" w:type="dxa"/>
        <w:tblInd w:w="-15" w:type="dxa"/>
        <w:tblLayout w:type="fixed"/>
        <w:tblLook w:val="0000" w:firstRow="0" w:lastRow="0" w:firstColumn="0" w:lastColumn="0" w:noHBand="0" w:noVBand="0"/>
      </w:tblPr>
      <w:tblGrid>
        <w:gridCol w:w="10093"/>
      </w:tblGrid>
      <w:tr w:rsidR="009F4414" w:rsidRPr="00F32479" w14:paraId="52FC0600" w14:textId="77777777" w:rsidTr="00F00BED">
        <w:tc>
          <w:tcPr>
            <w:tcW w:w="10093" w:type="dxa"/>
            <w:tcBorders>
              <w:top w:val="single" w:sz="12" w:space="0" w:color="auto"/>
              <w:left w:val="single" w:sz="12" w:space="0" w:color="auto"/>
              <w:bottom w:val="single" w:sz="12" w:space="0" w:color="auto"/>
              <w:right w:val="single" w:sz="12" w:space="0" w:color="auto"/>
            </w:tcBorders>
          </w:tcPr>
          <w:p w14:paraId="6BEF11D6" w14:textId="77777777" w:rsidR="009F4414" w:rsidRPr="00F32479" w:rsidRDefault="009F4414" w:rsidP="009F4414">
            <w:pPr>
              <w:pStyle w:val="Heading1"/>
            </w:pPr>
            <w:r w:rsidRPr="00F32479">
              <w:lastRenderedPageBreak/>
              <w:t>2</w:t>
            </w:r>
            <w:r w:rsidRPr="00F32479">
              <w:tab/>
              <w:t>Situación actual</w:t>
            </w:r>
          </w:p>
          <w:p w14:paraId="4D8C3B33" w14:textId="77777777" w:rsidR="009F4414" w:rsidRPr="00F32479" w:rsidRDefault="009F4414" w:rsidP="00F00BED">
            <w:pPr>
              <w:spacing w:after="120"/>
              <w:rPr>
                <w:rFonts w:cs="Calibri"/>
              </w:rPr>
            </w:pPr>
            <w:r w:rsidRPr="00F32479">
              <w:rPr>
                <w:rFonts w:cs="Calibri"/>
              </w:rPr>
              <w:t>La secretaría ha hecho esfuerzos considerables para asegurar que se puedan celebrar las reuniones virtuales y otros eventos de la UIT. Sin embargo, si bien en principio se ha logrado el objetivo, no puede negarse que, dadas las circunstancias extraordinarias y la urgencia, las actividades en esta esfera están actualmente algo descoordinadas.</w:t>
            </w:r>
          </w:p>
          <w:p w14:paraId="17C7E221" w14:textId="77777777" w:rsidR="009F4414" w:rsidRPr="00F32479" w:rsidRDefault="009F4414" w:rsidP="00F00BED">
            <w:pPr>
              <w:rPr>
                <w:rFonts w:cs="Calibri"/>
              </w:rPr>
            </w:pPr>
            <w:r w:rsidRPr="00F32479">
              <w:rPr>
                <w:rFonts w:cs="Calibri"/>
              </w:rPr>
              <w:t>Esto queda ilustrado, entre otras cosas, por la lista que figura a continuación (que puede distar de ser completa) de páginas web de la UIT relativas a los recursos de software que se propone utilizar en las reuniones virtuales. En esas páginas se indican los diversos recursos informáticos que se propone utilizar en las reuniones virtuales y otros eventos virtuales.</w:t>
            </w:r>
          </w:p>
          <w:p w14:paraId="6A3AD438" w14:textId="77777777" w:rsidR="009F4414" w:rsidRPr="00F32479" w:rsidRDefault="00CA1829" w:rsidP="00F00BED">
            <w:pPr>
              <w:tabs>
                <w:tab w:val="left" w:pos="794"/>
                <w:tab w:val="left" w:pos="1191"/>
                <w:tab w:val="left" w:pos="1588"/>
                <w:tab w:val="left" w:pos="1985"/>
              </w:tabs>
              <w:rPr>
                <w:szCs w:val="24"/>
              </w:rPr>
            </w:pPr>
            <w:hyperlink r:id="rId15" w:history="1">
              <w:r w:rsidR="009F4414" w:rsidRPr="00F32479">
                <w:rPr>
                  <w:rFonts w:cs="Calibri"/>
                  <w:color w:val="0000FF"/>
                  <w:szCs w:val="24"/>
                  <w:u w:val="single"/>
                </w:rPr>
                <w:t>https://www.itu.int/en/general-secretariat/ICT-Services/remoteparticipation/Pages/default.aspx</w:t>
              </w:r>
            </w:hyperlink>
          </w:p>
          <w:p w14:paraId="6DEC4614" w14:textId="77777777" w:rsidR="009F4414" w:rsidRPr="00E36AEB" w:rsidRDefault="009F4414" w:rsidP="00F00BED">
            <w:pPr>
              <w:tabs>
                <w:tab w:val="left" w:pos="794"/>
                <w:tab w:val="left" w:pos="1191"/>
                <w:tab w:val="left" w:pos="1588"/>
                <w:tab w:val="left" w:pos="1985"/>
                <w:tab w:val="left" w:pos="2608"/>
                <w:tab w:val="left" w:pos="3345"/>
              </w:tabs>
              <w:spacing w:before="80"/>
              <w:ind w:left="794" w:hanging="794"/>
              <w:rPr>
                <w:szCs w:val="24"/>
                <w:lang w:val="en-US" w:eastAsia="zh-CN"/>
              </w:rPr>
            </w:pPr>
            <w:r w:rsidRPr="00F32479">
              <w:rPr>
                <w:szCs w:val="24"/>
                <w:lang w:eastAsia="zh-CN"/>
              </w:rPr>
              <w:tab/>
            </w:r>
            <w:hyperlink r:id="rId16" w:history="1">
              <w:r w:rsidRPr="00E36AEB">
                <w:rPr>
                  <w:color w:val="0000FF"/>
                  <w:szCs w:val="24"/>
                  <w:u w:val="single"/>
                  <w:lang w:val="en-US" w:eastAsia="zh-CN"/>
                </w:rPr>
                <w:t>Multilingual Interactive Remote Participation (INTERPREFY)</w:t>
              </w:r>
            </w:hyperlink>
            <w:r w:rsidRPr="00E36AEB">
              <w:rPr>
                <w:szCs w:val="24"/>
                <w:lang w:val="en-US" w:eastAsia="zh-CN"/>
              </w:rPr>
              <w:t>;</w:t>
            </w:r>
          </w:p>
          <w:p w14:paraId="1C495006" w14:textId="77777777" w:rsidR="009F4414" w:rsidRPr="00E36AEB" w:rsidRDefault="009F4414" w:rsidP="00F00BED">
            <w:pPr>
              <w:tabs>
                <w:tab w:val="left" w:pos="794"/>
                <w:tab w:val="left" w:pos="1191"/>
                <w:tab w:val="left" w:pos="1588"/>
                <w:tab w:val="left" w:pos="1985"/>
                <w:tab w:val="left" w:pos="2608"/>
                <w:tab w:val="left" w:pos="3345"/>
              </w:tabs>
              <w:spacing w:before="80"/>
              <w:ind w:left="794" w:hanging="794"/>
              <w:rPr>
                <w:szCs w:val="24"/>
                <w:lang w:val="en-US" w:eastAsia="zh-CN"/>
              </w:rPr>
            </w:pPr>
            <w:r w:rsidRPr="00E36AEB">
              <w:rPr>
                <w:szCs w:val="24"/>
                <w:lang w:val="en-US" w:eastAsia="zh-CN"/>
              </w:rPr>
              <w:tab/>
            </w:r>
            <w:hyperlink r:id="rId17" w:history="1">
              <w:r w:rsidRPr="00E36AEB">
                <w:rPr>
                  <w:color w:val="0000FF"/>
                  <w:szCs w:val="24"/>
                  <w:u w:val="single"/>
                  <w:lang w:val="en-US" w:eastAsia="zh-CN"/>
                </w:rPr>
                <w:t>Monolingual Interactive Remote Participation (ZOOM</w:t>
              </w:r>
            </w:hyperlink>
            <w:r w:rsidRPr="00E36AEB">
              <w:rPr>
                <w:color w:val="0000FF"/>
                <w:szCs w:val="24"/>
                <w:u w:val="single"/>
                <w:lang w:val="en-US" w:eastAsia="zh-CN"/>
              </w:rPr>
              <w:t>)</w:t>
            </w:r>
            <w:r w:rsidRPr="00E36AEB">
              <w:rPr>
                <w:szCs w:val="24"/>
                <w:lang w:val="en-US" w:eastAsia="zh-CN"/>
              </w:rPr>
              <w:t>.</w:t>
            </w:r>
          </w:p>
          <w:p w14:paraId="438FB93E" w14:textId="77777777" w:rsidR="009F4414" w:rsidRPr="00E36AEB" w:rsidRDefault="00CA1829" w:rsidP="00F00BED">
            <w:pPr>
              <w:tabs>
                <w:tab w:val="left" w:pos="794"/>
                <w:tab w:val="left" w:pos="1191"/>
                <w:tab w:val="left" w:pos="1588"/>
                <w:tab w:val="left" w:pos="1985"/>
              </w:tabs>
              <w:rPr>
                <w:szCs w:val="24"/>
                <w:lang w:val="en-US"/>
              </w:rPr>
            </w:pPr>
            <w:hyperlink r:id="rId18" w:history="1">
              <w:r w:rsidR="009F4414" w:rsidRPr="00E36AEB">
                <w:rPr>
                  <w:rFonts w:cs="Calibri"/>
                  <w:color w:val="0000FF"/>
                  <w:szCs w:val="24"/>
                  <w:u w:val="single"/>
                  <w:lang w:val="en-US"/>
                </w:rPr>
                <w:t>https://www.itu.int/en/Pages/remote-participation.aspx</w:t>
              </w:r>
            </w:hyperlink>
          </w:p>
          <w:p w14:paraId="7BC248CD" w14:textId="77777777" w:rsidR="009F4414" w:rsidRPr="00E36AEB" w:rsidRDefault="009F4414" w:rsidP="00F00BED">
            <w:pPr>
              <w:tabs>
                <w:tab w:val="left" w:pos="794"/>
                <w:tab w:val="left" w:pos="1191"/>
                <w:tab w:val="left" w:pos="1588"/>
                <w:tab w:val="left" w:pos="1985"/>
                <w:tab w:val="left" w:pos="2608"/>
                <w:tab w:val="left" w:pos="3345"/>
              </w:tabs>
              <w:spacing w:before="80"/>
              <w:ind w:left="794" w:hanging="794"/>
              <w:rPr>
                <w:szCs w:val="24"/>
                <w:shd w:val="clear" w:color="auto" w:fill="FFFFFF"/>
                <w:lang w:val="en-US" w:eastAsia="zh-CN"/>
              </w:rPr>
            </w:pPr>
            <w:r w:rsidRPr="00E36AEB">
              <w:rPr>
                <w:szCs w:val="24"/>
                <w:shd w:val="clear" w:color="auto" w:fill="FFFFFF"/>
                <w:lang w:val="en-US" w:eastAsia="zh-CN"/>
              </w:rPr>
              <w:tab/>
              <w:t>Interprefy, Zoom, Skype for Business, Microsoft Teams.</w:t>
            </w:r>
          </w:p>
          <w:p w14:paraId="676FD309" w14:textId="77777777" w:rsidR="009F4414" w:rsidRPr="00E36AEB" w:rsidRDefault="00CA1829" w:rsidP="00F00BED">
            <w:pPr>
              <w:tabs>
                <w:tab w:val="left" w:pos="794"/>
                <w:tab w:val="left" w:pos="1191"/>
                <w:tab w:val="left" w:pos="1588"/>
                <w:tab w:val="left" w:pos="1985"/>
              </w:tabs>
              <w:rPr>
                <w:szCs w:val="24"/>
                <w:lang w:val="en-US"/>
              </w:rPr>
            </w:pPr>
            <w:hyperlink r:id="rId19" w:history="1">
              <w:r w:rsidR="009F4414" w:rsidRPr="00E36AEB">
                <w:rPr>
                  <w:rFonts w:cs="Calibri"/>
                  <w:color w:val="0000FF"/>
                  <w:szCs w:val="24"/>
                  <w:u w:val="single"/>
                  <w:lang w:val="en-US"/>
                </w:rPr>
                <w:t>https://www.itu.int/en/ITU-T/Workshops-and-Seminars/ai4h/20190122/Pages/remote.aspx</w:t>
              </w:r>
            </w:hyperlink>
          </w:p>
          <w:p w14:paraId="47FFF622" w14:textId="77777777" w:rsidR="009F4414" w:rsidRPr="00E36AEB" w:rsidRDefault="009F4414" w:rsidP="00F00BED">
            <w:pPr>
              <w:tabs>
                <w:tab w:val="left" w:pos="794"/>
                <w:tab w:val="left" w:pos="1191"/>
                <w:tab w:val="left" w:pos="1588"/>
                <w:tab w:val="left" w:pos="1985"/>
                <w:tab w:val="left" w:pos="2608"/>
                <w:tab w:val="left" w:pos="3345"/>
              </w:tabs>
              <w:spacing w:before="80"/>
              <w:ind w:left="794" w:hanging="794"/>
              <w:rPr>
                <w:bCs/>
                <w:szCs w:val="24"/>
                <w:lang w:val="en-US" w:eastAsia="zh-CN"/>
              </w:rPr>
            </w:pPr>
            <w:r w:rsidRPr="00E36AEB">
              <w:rPr>
                <w:szCs w:val="24"/>
                <w:shd w:val="clear" w:color="auto" w:fill="FFFFFF"/>
                <w:lang w:val="en-US" w:eastAsia="zh-CN"/>
              </w:rPr>
              <w:tab/>
            </w:r>
            <w:r w:rsidRPr="00E36AEB">
              <w:rPr>
                <w:szCs w:val="24"/>
                <w:lang w:val="en-US" w:eastAsia="zh-CN"/>
              </w:rPr>
              <w:t>GoToMeeting.</w:t>
            </w:r>
          </w:p>
          <w:p w14:paraId="4192457A" w14:textId="77777777" w:rsidR="009F4414" w:rsidRPr="00E36AEB" w:rsidRDefault="00CA1829" w:rsidP="00F00BED">
            <w:pPr>
              <w:tabs>
                <w:tab w:val="left" w:pos="794"/>
                <w:tab w:val="left" w:pos="1191"/>
                <w:tab w:val="left" w:pos="1588"/>
                <w:tab w:val="left" w:pos="1985"/>
              </w:tabs>
              <w:rPr>
                <w:szCs w:val="24"/>
                <w:lang w:val="en-US"/>
              </w:rPr>
            </w:pPr>
            <w:hyperlink r:id="rId20" w:history="1">
              <w:r w:rsidR="009F4414" w:rsidRPr="00E36AEB">
                <w:rPr>
                  <w:rFonts w:cs="Calibri"/>
                  <w:color w:val="0000FF"/>
                  <w:szCs w:val="24"/>
                  <w:u w:val="single"/>
                  <w:lang w:val="en-US"/>
                </w:rPr>
                <w:t>https://www.itu.int/en/ITU-T/ewm/Pages/e-meetings.aspx</w:t>
              </w:r>
            </w:hyperlink>
          </w:p>
          <w:p w14:paraId="23802BF8" w14:textId="77777777" w:rsidR="009F4414" w:rsidRPr="00E36AEB" w:rsidRDefault="009F4414" w:rsidP="00F00BED">
            <w:pPr>
              <w:tabs>
                <w:tab w:val="left" w:pos="794"/>
                <w:tab w:val="left" w:pos="1191"/>
                <w:tab w:val="left" w:pos="1588"/>
                <w:tab w:val="left" w:pos="1985"/>
                <w:tab w:val="left" w:pos="2608"/>
                <w:tab w:val="left" w:pos="3345"/>
              </w:tabs>
              <w:spacing w:before="80"/>
              <w:ind w:left="794" w:hanging="794"/>
              <w:rPr>
                <w:szCs w:val="24"/>
                <w:lang w:val="en-US" w:eastAsia="zh-CN"/>
              </w:rPr>
            </w:pPr>
            <w:r w:rsidRPr="00E36AEB">
              <w:rPr>
                <w:szCs w:val="24"/>
                <w:shd w:val="clear" w:color="auto" w:fill="FFFFFF"/>
                <w:lang w:val="en-US" w:eastAsia="zh-CN"/>
              </w:rPr>
              <w:tab/>
            </w:r>
            <w:r w:rsidRPr="00E36AEB">
              <w:rPr>
                <w:rFonts w:cs="Calibri"/>
                <w:szCs w:val="24"/>
                <w:bdr w:val="none" w:sz="0" w:space="0" w:color="auto" w:frame="1"/>
                <w:lang w:val="en-US" w:eastAsia="zh-CN"/>
              </w:rPr>
              <w:t>GoToMeeting</w:t>
            </w:r>
            <w:r w:rsidRPr="00E36AEB">
              <w:rPr>
                <w:szCs w:val="24"/>
                <w:lang w:val="en-US" w:eastAsia="zh-CN"/>
              </w:rPr>
              <w:t xml:space="preserve">, </w:t>
            </w:r>
            <w:r w:rsidRPr="00E36AEB">
              <w:rPr>
                <w:rFonts w:cs="Calibri"/>
                <w:szCs w:val="24"/>
                <w:bdr w:val="none" w:sz="0" w:space="0" w:color="auto" w:frame="1"/>
                <w:lang w:val="en-US" w:eastAsia="zh-CN"/>
              </w:rPr>
              <w:t>GoToWebinar</w:t>
            </w:r>
            <w:r w:rsidRPr="00E36AEB">
              <w:rPr>
                <w:szCs w:val="24"/>
                <w:lang w:val="en-US" w:eastAsia="zh-CN"/>
              </w:rPr>
              <w:t xml:space="preserve">, </w:t>
            </w:r>
            <w:r w:rsidRPr="00E36AEB">
              <w:rPr>
                <w:rFonts w:cs="Calibri"/>
                <w:szCs w:val="24"/>
                <w:bdr w:val="none" w:sz="0" w:space="0" w:color="auto" w:frame="1"/>
                <w:lang w:val="en-US" w:eastAsia="zh-CN"/>
              </w:rPr>
              <w:t>Adobe Connect</w:t>
            </w:r>
            <w:r w:rsidRPr="00E36AEB">
              <w:rPr>
                <w:szCs w:val="24"/>
                <w:lang w:val="en-US" w:eastAsia="zh-CN"/>
              </w:rPr>
              <w:t>.</w:t>
            </w:r>
          </w:p>
          <w:p w14:paraId="072389FC" w14:textId="77777777" w:rsidR="009F4414" w:rsidRPr="00E36AEB" w:rsidRDefault="00CA1829" w:rsidP="00F00BED">
            <w:pPr>
              <w:tabs>
                <w:tab w:val="left" w:pos="794"/>
                <w:tab w:val="left" w:pos="1191"/>
                <w:tab w:val="left" w:pos="1588"/>
                <w:tab w:val="left" w:pos="1985"/>
              </w:tabs>
              <w:rPr>
                <w:szCs w:val="24"/>
                <w:lang w:val="en-US"/>
              </w:rPr>
            </w:pPr>
            <w:hyperlink r:id="rId21" w:anchor="/my-workspace/dashboard" w:history="1">
              <w:r w:rsidR="009F4414" w:rsidRPr="00E36AEB">
                <w:rPr>
                  <w:rFonts w:cs="Calibri"/>
                  <w:color w:val="0000FF"/>
                  <w:szCs w:val="24"/>
                  <w:u w:val="single"/>
                  <w:lang w:val="en-US"/>
                </w:rPr>
                <w:t>https://www.itu.int/myworkspace/#/my-workspace/dashboard</w:t>
              </w:r>
            </w:hyperlink>
          </w:p>
          <w:p w14:paraId="7971478F" w14:textId="77777777" w:rsidR="009F4414" w:rsidRPr="00F32479" w:rsidRDefault="009F4414" w:rsidP="00F00BED">
            <w:pPr>
              <w:rPr>
                <w:rFonts w:cs="Calibri"/>
              </w:rPr>
            </w:pPr>
            <w:r w:rsidRPr="00E36AEB">
              <w:rPr>
                <w:rFonts w:cs="Calibri"/>
                <w:szCs w:val="24"/>
                <w:bdr w:val="none" w:sz="0" w:space="0" w:color="auto" w:frame="1"/>
                <w:lang w:val="en-US" w:eastAsia="zh-CN"/>
              </w:rPr>
              <w:tab/>
            </w:r>
            <w:r w:rsidRPr="00F32479">
              <w:rPr>
                <w:rFonts w:cs="Calibri"/>
                <w:szCs w:val="24"/>
                <w:bdr w:val="none" w:sz="0" w:space="0" w:color="auto" w:frame="1"/>
                <w:lang w:eastAsia="zh-CN"/>
              </w:rPr>
              <w:t>Página web de la TSB. Configurada para utilizar MyMeetings</w:t>
            </w:r>
            <w:r w:rsidRPr="00F32479">
              <w:rPr>
                <w:rFonts w:cs="Calibri"/>
              </w:rPr>
              <w:t>.</w:t>
            </w:r>
          </w:p>
          <w:p w14:paraId="09D32FF0" w14:textId="77777777" w:rsidR="009F4414" w:rsidRPr="00F32479" w:rsidRDefault="00CA1829" w:rsidP="00F00BED">
            <w:hyperlink r:id="rId22" w:history="1">
              <w:r w:rsidR="009F4414" w:rsidRPr="00F32479">
                <w:rPr>
                  <w:rFonts w:cs="Calibri"/>
                  <w:color w:val="0000FF"/>
                  <w:u w:val="single"/>
                </w:rPr>
                <w:t>https://www.itu.int/en/events/Pages/Virtual-Sessions.aspx</w:t>
              </w:r>
            </w:hyperlink>
          </w:p>
          <w:p w14:paraId="05E2CEC0" w14:textId="77777777" w:rsidR="009F4414" w:rsidRPr="00F32479" w:rsidRDefault="009F4414" w:rsidP="00F00BED">
            <w:pPr>
              <w:rPr>
                <w:rFonts w:cs="Calibri"/>
              </w:rPr>
            </w:pPr>
            <w:r w:rsidRPr="00F32479">
              <w:rPr>
                <w:shd w:val="clear" w:color="auto" w:fill="FFFFFF"/>
              </w:rPr>
              <w:tab/>
              <w:t>Página web de la Secretaría General con una lista de eventos virtuales</w:t>
            </w:r>
            <w:r w:rsidRPr="00F32479">
              <w:rPr>
                <w:rFonts w:cs="Calibri"/>
              </w:rPr>
              <w:t>.</w:t>
            </w:r>
          </w:p>
          <w:p w14:paraId="692256F1" w14:textId="77777777" w:rsidR="009F4414" w:rsidRPr="00F32479" w:rsidRDefault="009F4414" w:rsidP="00F00BED">
            <w:r w:rsidRPr="00F32479">
              <w:t>Así pues, en la UIT se proponen al menos ocho recursos/plataformas de software diferentes para la realización de las reuniones , entre ellos:</w:t>
            </w:r>
          </w:p>
          <w:p w14:paraId="656E486B" w14:textId="77777777" w:rsidR="009F4414" w:rsidRPr="00F32479" w:rsidRDefault="009F4414" w:rsidP="009F4414">
            <w:pPr>
              <w:pStyle w:val="enumlev1"/>
            </w:pPr>
            <w:r w:rsidRPr="00F32479">
              <w:t>1)</w:t>
            </w:r>
            <w:r w:rsidRPr="00F32479">
              <w:tab/>
              <w:t>INTERPREFY (con el apoyo financiero de los Emiratos Árabes Unidos);</w:t>
            </w:r>
          </w:p>
          <w:p w14:paraId="52DD2E26" w14:textId="77777777" w:rsidR="009F4414" w:rsidRPr="00E36AEB" w:rsidRDefault="009F4414" w:rsidP="009F4414">
            <w:pPr>
              <w:pStyle w:val="enumlev1"/>
              <w:rPr>
                <w:lang w:val="en-US"/>
              </w:rPr>
            </w:pPr>
            <w:r w:rsidRPr="00E36AEB">
              <w:rPr>
                <w:lang w:val="en-US"/>
              </w:rPr>
              <w:t>2)</w:t>
            </w:r>
            <w:r w:rsidRPr="00E36AEB">
              <w:rPr>
                <w:lang w:val="en-US"/>
              </w:rPr>
              <w:tab/>
              <w:t>Adobe Connect;</w:t>
            </w:r>
          </w:p>
          <w:p w14:paraId="0A405C9F" w14:textId="77777777" w:rsidR="009F4414" w:rsidRPr="00E36AEB" w:rsidRDefault="009F4414" w:rsidP="009F4414">
            <w:pPr>
              <w:pStyle w:val="enumlev1"/>
              <w:rPr>
                <w:lang w:val="en-US"/>
              </w:rPr>
            </w:pPr>
            <w:r w:rsidRPr="00E36AEB">
              <w:rPr>
                <w:lang w:val="en-US"/>
              </w:rPr>
              <w:t>3)</w:t>
            </w:r>
            <w:r w:rsidRPr="00E36AEB">
              <w:rPr>
                <w:lang w:val="en-US"/>
              </w:rPr>
              <w:tab/>
              <w:t>ZOOM;</w:t>
            </w:r>
          </w:p>
          <w:p w14:paraId="622DFA0E" w14:textId="77777777" w:rsidR="009F4414" w:rsidRPr="00E36AEB" w:rsidRDefault="009F4414" w:rsidP="009F4414">
            <w:pPr>
              <w:pStyle w:val="enumlev1"/>
              <w:rPr>
                <w:lang w:val="en-US"/>
              </w:rPr>
            </w:pPr>
            <w:r w:rsidRPr="00E36AEB">
              <w:rPr>
                <w:lang w:val="en-US"/>
              </w:rPr>
              <w:t>4)</w:t>
            </w:r>
            <w:r w:rsidRPr="00E36AEB">
              <w:rPr>
                <w:lang w:val="en-US"/>
              </w:rPr>
              <w:tab/>
              <w:t>Microsoft Teams;</w:t>
            </w:r>
          </w:p>
          <w:p w14:paraId="18DED111" w14:textId="77777777" w:rsidR="009F4414" w:rsidRPr="00E36AEB" w:rsidRDefault="009F4414" w:rsidP="009F4414">
            <w:pPr>
              <w:pStyle w:val="enumlev1"/>
              <w:rPr>
                <w:lang w:val="en-US"/>
              </w:rPr>
            </w:pPr>
            <w:r w:rsidRPr="00E36AEB">
              <w:rPr>
                <w:lang w:val="en-US"/>
              </w:rPr>
              <w:t>5)</w:t>
            </w:r>
            <w:r w:rsidRPr="00E36AEB">
              <w:rPr>
                <w:lang w:val="en-US"/>
              </w:rPr>
              <w:tab/>
              <w:t>GoToMeeting;</w:t>
            </w:r>
          </w:p>
          <w:p w14:paraId="370734D2" w14:textId="77777777" w:rsidR="009F4414" w:rsidRPr="00E36AEB" w:rsidRDefault="009F4414" w:rsidP="009F4414">
            <w:pPr>
              <w:pStyle w:val="enumlev1"/>
              <w:rPr>
                <w:lang w:val="en-US"/>
              </w:rPr>
            </w:pPr>
            <w:r w:rsidRPr="00E36AEB">
              <w:rPr>
                <w:lang w:val="en-US"/>
              </w:rPr>
              <w:t>6)</w:t>
            </w:r>
            <w:r w:rsidRPr="00E36AEB">
              <w:rPr>
                <w:lang w:val="en-US"/>
              </w:rPr>
              <w:tab/>
              <w:t>GoToWebinar;</w:t>
            </w:r>
          </w:p>
          <w:p w14:paraId="2A82263F" w14:textId="77777777" w:rsidR="009F4414" w:rsidRPr="00E36AEB" w:rsidRDefault="009F4414" w:rsidP="009F4414">
            <w:pPr>
              <w:pStyle w:val="enumlev1"/>
              <w:rPr>
                <w:lang w:val="en-US"/>
              </w:rPr>
            </w:pPr>
            <w:r w:rsidRPr="00E36AEB">
              <w:rPr>
                <w:lang w:val="en-US"/>
              </w:rPr>
              <w:t>7)</w:t>
            </w:r>
            <w:r w:rsidRPr="00E36AEB">
              <w:rPr>
                <w:lang w:val="en-US"/>
              </w:rPr>
              <w:tab/>
              <w:t>Skype for Business;</w:t>
            </w:r>
          </w:p>
          <w:p w14:paraId="5E01FD13" w14:textId="77777777" w:rsidR="009F4414" w:rsidRPr="00F32479" w:rsidRDefault="009F4414" w:rsidP="009F4414">
            <w:pPr>
              <w:pStyle w:val="enumlev1"/>
            </w:pPr>
            <w:r w:rsidRPr="00F32479">
              <w:t>8)</w:t>
            </w:r>
            <w:r w:rsidRPr="00F32479">
              <w:tab/>
              <w:t>MyMeetings.</w:t>
            </w:r>
          </w:p>
          <w:p w14:paraId="57DECF1D" w14:textId="329A7408" w:rsidR="00EB6750" w:rsidRPr="00F32479" w:rsidRDefault="009F4414" w:rsidP="00FF3C34">
            <w:r w:rsidRPr="00F32479">
              <w:t xml:space="preserve">En varias reuniones virtuales se observó que la utilización de una gama tan amplia de recursos de software causa algunos inconvenientes a los participantes en las reuniones. Además, algunos recursos de software no eran compatibles con todos los tipos de aplicaciones de interfaz de Internet (por ejemplo, algunos no funcionaban con Microsoft EDGE o no permitían utilizar teléfonos celulares </w:t>
            </w:r>
            <w:r w:rsidR="00EB6750">
              <w:t>ni</w:t>
            </w:r>
            <w:r w:rsidR="00EB6750" w:rsidRPr="00F32479">
              <w:t xml:space="preserve"> </w:t>
            </w:r>
            <w:r w:rsidRPr="00F32479">
              <w:t xml:space="preserve">tabletas). Durante las reuniones virtuales, se formularon repetidas observaciones acerca de los </w:t>
            </w:r>
            <w:r w:rsidRPr="00F32479">
              <w:lastRenderedPageBreak/>
              <w:t xml:space="preserve">inconvenientes de utilizar las diversas aplicaciones. </w:t>
            </w:r>
            <w:r w:rsidR="00EB6750">
              <w:t>Además, se mantiene la incertidumbre respecto de la protección de los datos al utilizar las diversas aplicaciones.</w:t>
            </w:r>
          </w:p>
          <w:p w14:paraId="5302A742" w14:textId="77777777" w:rsidR="009F4414" w:rsidRPr="00F32479" w:rsidRDefault="009F4414" w:rsidP="00F00BED">
            <w:r w:rsidRPr="00F32479">
              <w:t>En particular, cabe señalar que actualmente se utilizan dos plataformas muy similares para la celebración de reuniones en varios idiomas: INTERPREFY y MyMeetings. La Secretaría General, la Oficina de Radiocomunicaciones y la Oficina de Desarrollo de las Telecomunicaciones utilizan INTERPREFY, mientras que la Oficina de Normalización de las Telecomunicaciones (TSB) utiliza MyMeetings.</w:t>
            </w:r>
          </w:p>
          <w:p w14:paraId="27D76C6A" w14:textId="77777777" w:rsidR="009F4414" w:rsidRPr="00F32479" w:rsidRDefault="009F4414" w:rsidP="009F4414">
            <w:pPr>
              <w:pStyle w:val="Heading1"/>
              <w:rPr>
                <w:lang w:eastAsia="zh-CN"/>
              </w:rPr>
            </w:pPr>
            <w:r w:rsidRPr="00F32479">
              <w:rPr>
                <w:lang w:eastAsia="zh-CN"/>
              </w:rPr>
              <w:t>3</w:t>
            </w:r>
            <w:r w:rsidRPr="00F32479">
              <w:rPr>
                <w:lang w:eastAsia="zh-CN"/>
              </w:rPr>
              <w:tab/>
              <w:t>Conclusiones</w:t>
            </w:r>
          </w:p>
          <w:p w14:paraId="0E66E565" w14:textId="784077CA" w:rsidR="009F4414" w:rsidRPr="00F32479" w:rsidRDefault="009F4414" w:rsidP="00F00BED">
            <w:r w:rsidRPr="00F32479">
              <w:t>La falta de soluciones comunes y de un servicio de apoyo común para las aplicaciones/plataformas está dando lugar a la creación de "equipos de apoyo" en las diversas unidades orgánicas de la Unión (en particular en la Secretaría General y en la TSB). Evidentemente, este enfoque está dando lugar a un gasto adicional en términos de recursos humanos y financieros (incluyendo la adquisición y utilización de programas informáticos), y a una duplicación del trabajo en las diferentes unidades orgánicas de la Unión. Esto también da lugar a ciertas complicaciones para otros participantes en las actividades de la Unión</w:t>
            </w:r>
            <w:r>
              <w:t>.</w:t>
            </w:r>
          </w:p>
          <w:p w14:paraId="1C7B00BA" w14:textId="4F00970E" w:rsidR="009F4414" w:rsidRPr="00F32479" w:rsidRDefault="009F4414" w:rsidP="00F00BED">
            <w:pPr>
              <w:rPr>
                <w:lang w:eastAsia="zh-CN"/>
              </w:rPr>
            </w:pPr>
            <w:r w:rsidRPr="00F32479">
              <w:rPr>
                <w:lang w:eastAsia="zh-CN"/>
              </w:rPr>
              <w:t>Tal vez sea también, en cierta medida, un</w:t>
            </w:r>
            <w:r w:rsidR="00FF3C34">
              <w:rPr>
                <w:lang w:eastAsia="zh-CN"/>
              </w:rPr>
              <w:t>o</w:t>
            </w:r>
            <w:r w:rsidRPr="00F32479">
              <w:rPr>
                <w:lang w:eastAsia="zh-CN"/>
              </w:rPr>
              <w:t xml:space="preserve"> de los motivos de la solicitud de recursos adicionales que figura en el Documento </w:t>
            </w:r>
            <w:hyperlink r:id="rId23" w:history="1">
              <w:r w:rsidRPr="00F32479">
                <w:rPr>
                  <w:color w:val="0000FF"/>
                  <w:u w:val="single"/>
                  <w:lang w:eastAsia="zh-CN"/>
                </w:rPr>
                <w:t>C20/14</w:t>
              </w:r>
            </w:hyperlink>
            <w:r w:rsidRPr="00F32479">
              <w:rPr>
                <w:lang w:eastAsia="zh-CN"/>
              </w:rPr>
              <w:t>.</w:t>
            </w:r>
          </w:p>
          <w:p w14:paraId="35D7996A" w14:textId="77777777" w:rsidR="009F4414" w:rsidRPr="00F32479" w:rsidRDefault="009F4414" w:rsidP="009F4414">
            <w:pPr>
              <w:pStyle w:val="Heading1"/>
              <w:rPr>
                <w:lang w:eastAsia="zh-CN"/>
              </w:rPr>
            </w:pPr>
            <w:r w:rsidRPr="00F32479">
              <w:rPr>
                <w:lang w:eastAsia="zh-CN"/>
              </w:rPr>
              <w:t>4</w:t>
            </w:r>
            <w:r w:rsidRPr="00F32479">
              <w:rPr>
                <w:lang w:eastAsia="zh-CN"/>
              </w:rPr>
              <w:tab/>
              <w:t>Medidas propuestas</w:t>
            </w:r>
          </w:p>
          <w:p w14:paraId="2B255A0A" w14:textId="77777777" w:rsidR="009F4414" w:rsidRPr="00F32479" w:rsidRDefault="009F4414" w:rsidP="00F00BED">
            <w:pPr>
              <w:spacing w:after="120"/>
              <w:rPr>
                <w:rFonts w:cs="Calibri"/>
              </w:rPr>
            </w:pPr>
            <w:r w:rsidRPr="00F32479">
              <w:rPr>
                <w:rFonts w:cs="Calibri"/>
              </w:rPr>
              <w:t>Parece conveniente recomendar a la secretaría de la UIT que, teniendo en cuenta la experiencia adquirida por sus diversas unidades, reduzca considerablemente y sin más demora el número de aplicaciones/plataformas utilizadas para celebrar reuniones virtuales y otros actos, reduzca, armonice y racionalice las páginas web sobre la organización de esas reuniones; y, teniendo en cuenta los requisitos de la Resolución 191 (Rev. Dubái, 2018) de la Conferencia de Plenipotenciarios, deberían, en el espíritu de "Una UIT", eliminar la duplicación de los trabajos en esta esfera en las diversas dependencias orgánicas de la secretaría centralizándola en una de las unidades.</w:t>
            </w:r>
            <w:r w:rsidRPr="00F32479">
              <w:rPr>
                <w:rFonts w:cs="Calibri"/>
                <w:position w:val="6"/>
                <w:sz w:val="20"/>
                <w:szCs w:val="28"/>
              </w:rPr>
              <w:footnoteReference w:id="1"/>
            </w:r>
          </w:p>
        </w:tc>
      </w:tr>
    </w:tbl>
    <w:p w14:paraId="297F1C12" w14:textId="77777777" w:rsidR="009F4414" w:rsidRPr="00F32479" w:rsidRDefault="009F4414" w:rsidP="009F4414"/>
    <w:p w14:paraId="0C64B1DD" w14:textId="77777777" w:rsidR="009F4414" w:rsidRPr="00F32479" w:rsidRDefault="009F4414" w:rsidP="009F4414">
      <w:pPr>
        <w:jc w:val="center"/>
      </w:pPr>
      <w:r w:rsidRPr="00F32479">
        <w:t>______________</w:t>
      </w:r>
    </w:p>
    <w:p w14:paraId="0E081E2A" w14:textId="77777777" w:rsidR="009F4414" w:rsidRDefault="009F4414" w:rsidP="009F4414"/>
    <w:p w14:paraId="02670AED" w14:textId="77777777" w:rsidR="00C2727F" w:rsidRDefault="00C2727F" w:rsidP="009F4414"/>
    <w:sectPr w:rsidR="00C2727F" w:rsidSect="006710F6">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0D755" w14:textId="77777777" w:rsidR="009F4414" w:rsidRDefault="009F4414">
      <w:r>
        <w:separator/>
      </w:r>
    </w:p>
  </w:endnote>
  <w:endnote w:type="continuationSeparator" w:id="0">
    <w:p w14:paraId="2AA20271" w14:textId="77777777" w:rsidR="009F4414" w:rsidRDefault="009F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1" w:name="_Hlk56152632"/>
  <w:p w14:paraId="7AFEFB4E" w14:textId="41DC81B9" w:rsidR="00760F1C" w:rsidRPr="00A97C1B" w:rsidRDefault="00664572">
    <w:pPr>
      <w:pStyle w:val="Footer"/>
      <w:rPr>
        <w:lang w:val="fr-FR"/>
      </w:rPr>
    </w:pPr>
    <w:r>
      <w:fldChar w:fldCharType="begin"/>
    </w:r>
    <w:r w:rsidRPr="00A97C1B">
      <w:rPr>
        <w:lang w:val="fr-FR"/>
      </w:rPr>
      <w:instrText xml:space="preserve"> FILENAME \p \* MERGEFORMAT </w:instrText>
    </w:r>
    <w:r>
      <w:fldChar w:fldCharType="separate"/>
    </w:r>
    <w:r w:rsidR="00806ED7">
      <w:rPr>
        <w:lang w:val="fr-FR"/>
      </w:rPr>
      <w:t>P:\ESP\SG\CONSEIL\VC-2\000\006COR1S.docx</w:t>
    </w:r>
    <w:r>
      <w:rPr>
        <w:lang w:val="en-US"/>
      </w:rPr>
      <w:fldChar w:fldCharType="end"/>
    </w:r>
    <w:bookmarkEnd w:id="11"/>
    <w:r w:rsidR="00A97C1B">
      <w:rPr>
        <w:lang w:val="fr-FR"/>
      </w:rPr>
      <w:t xml:space="preserve"> (</w:t>
    </w:r>
    <w:r w:rsidR="00EB6750">
      <w:rPr>
        <w:lang w:val="fr-FR"/>
      </w:rPr>
      <w:t>480263</w:t>
    </w:r>
    <w:r w:rsidR="00A97C1B">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9D7D5"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D7791" w14:textId="77777777" w:rsidR="009F4414" w:rsidRDefault="009F4414">
      <w:r>
        <w:t>____________________</w:t>
      </w:r>
    </w:p>
  </w:footnote>
  <w:footnote w:type="continuationSeparator" w:id="0">
    <w:p w14:paraId="3BB8D802" w14:textId="77777777" w:rsidR="009F4414" w:rsidRDefault="009F4414">
      <w:r>
        <w:continuationSeparator/>
      </w:r>
    </w:p>
  </w:footnote>
  <w:footnote w:id="1">
    <w:p w14:paraId="6879F18B" w14:textId="77777777" w:rsidR="009F4414" w:rsidRPr="00F32479" w:rsidRDefault="009F4414" w:rsidP="009F4414">
      <w:pPr>
        <w:pStyle w:val="FootnoteText"/>
        <w:widowControl w:val="0"/>
        <w:rPr>
          <w:rFonts w:cs="Calibri"/>
          <w:sz w:val="22"/>
        </w:rPr>
      </w:pPr>
      <w:r w:rsidRPr="001D5554">
        <w:rPr>
          <w:rStyle w:val="FootnoteReference"/>
          <w:rFonts w:ascii="Times New Roman" w:hAnsi="Times New Roman"/>
        </w:rPr>
        <w:footnoteRef/>
      </w:r>
      <w:r w:rsidRPr="001D5554">
        <w:rPr>
          <w:rFonts w:ascii="Times New Roman" w:hAnsi="Times New Roman"/>
          <w:lang w:val="ru-RU"/>
        </w:rPr>
        <w:t xml:space="preserve"> </w:t>
      </w:r>
      <w:r>
        <w:rPr>
          <w:rFonts w:ascii="Times New Roman" w:hAnsi="Times New Roman"/>
          <w:lang w:val="ru-RU"/>
        </w:rPr>
        <w:tab/>
      </w:r>
      <w:r w:rsidRPr="00F32479">
        <w:rPr>
          <w:rFonts w:cs="Calibri"/>
        </w:rPr>
        <w:t>En la actual estructura de la secretaría de la UIT, esta esfera de trabajo se encomienda al Departamento de Servicios Informáticos</w:t>
      </w:r>
      <w:r>
        <w:rPr>
          <w:rFonts w:ascii="Times New Roman" w:hAnsi="Times New Roman"/>
        </w:rPr>
        <w:t xml:space="preserve"> </w:t>
      </w:r>
      <w:r w:rsidRPr="00F32479">
        <w:rPr>
          <w:rFonts w:cs="Calibri"/>
          <w:sz w:val="22"/>
          <w:lang w:val="ru-RU"/>
        </w:rPr>
        <w:t>(</w:t>
      </w:r>
      <w:r w:rsidRPr="00F32479">
        <w:rPr>
          <w:rFonts w:cs="Calibri"/>
        </w:rPr>
        <w:t>véase</w:t>
      </w:r>
      <w:r w:rsidRPr="00F32479">
        <w:rPr>
          <w:rFonts w:cs="Calibri"/>
          <w:sz w:val="22"/>
          <w:lang w:val="ru-RU"/>
        </w:rPr>
        <w:t xml:space="preserve"> </w:t>
      </w:r>
      <w:hyperlink r:id="rId1" w:history="1">
        <w:r w:rsidRPr="00F32479">
          <w:rPr>
            <w:rStyle w:val="Hyperlink"/>
            <w:rFonts w:cs="Calibri"/>
            <w:sz w:val="22"/>
          </w:rPr>
          <w:t>https://www.itu.int/en/general-secretariat/ICT-Services/remoteparticipation/Pages/default.aspx</w:t>
        </w:r>
      </w:hyperlink>
      <w:r w:rsidRPr="00F32479">
        <w:rPr>
          <w:rFonts w:cs="Calibri"/>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77E0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469A83C" w14:textId="436976DD" w:rsidR="00760F1C" w:rsidRDefault="009F4414" w:rsidP="00C2727F">
    <w:pPr>
      <w:pStyle w:val="Header"/>
    </w:pPr>
    <w:r>
      <w:t>V</w:t>
    </w:r>
    <w:r w:rsidR="00760F1C">
      <w:t>C</w:t>
    </w:r>
    <w:r>
      <w:t>-</w:t>
    </w:r>
    <w:r w:rsidR="007955DA">
      <w:t>2</w:t>
    </w:r>
    <w:r w:rsidR="00760F1C">
      <w:t>/</w:t>
    </w:r>
    <w:r>
      <w:t>6</w:t>
    </w:r>
    <w:r w:rsidR="00EB6750">
      <w:t>(Corr.1)</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14"/>
    <w:rsid w:val="00093EEB"/>
    <w:rsid w:val="000B0D00"/>
    <w:rsid w:val="000B7C15"/>
    <w:rsid w:val="000D1D0F"/>
    <w:rsid w:val="000F5290"/>
    <w:rsid w:val="0010165C"/>
    <w:rsid w:val="00146BFB"/>
    <w:rsid w:val="001D18B0"/>
    <w:rsid w:val="001F14A2"/>
    <w:rsid w:val="002801AA"/>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06ED7"/>
    <w:rsid w:val="00820BE4"/>
    <w:rsid w:val="008451E8"/>
    <w:rsid w:val="00913B9C"/>
    <w:rsid w:val="00956E77"/>
    <w:rsid w:val="009F4414"/>
    <w:rsid w:val="009F4811"/>
    <w:rsid w:val="00A97C1B"/>
    <w:rsid w:val="00AA390C"/>
    <w:rsid w:val="00B0200A"/>
    <w:rsid w:val="00B574DB"/>
    <w:rsid w:val="00B826C2"/>
    <w:rsid w:val="00B8298E"/>
    <w:rsid w:val="00BD0723"/>
    <w:rsid w:val="00BD2518"/>
    <w:rsid w:val="00BF1D1C"/>
    <w:rsid w:val="00C20C59"/>
    <w:rsid w:val="00C2727F"/>
    <w:rsid w:val="00C55B1F"/>
    <w:rsid w:val="00CA1829"/>
    <w:rsid w:val="00CF1A67"/>
    <w:rsid w:val="00D2750E"/>
    <w:rsid w:val="00D62446"/>
    <w:rsid w:val="00DA4EA2"/>
    <w:rsid w:val="00DC3D3E"/>
    <w:rsid w:val="00DE2C90"/>
    <w:rsid w:val="00DE3B24"/>
    <w:rsid w:val="00E06947"/>
    <w:rsid w:val="00E3592D"/>
    <w:rsid w:val="00E92DE8"/>
    <w:rsid w:val="00EB1212"/>
    <w:rsid w:val="00EB3120"/>
    <w:rsid w:val="00EB6750"/>
    <w:rsid w:val="00ED65AB"/>
    <w:rsid w:val="00F12850"/>
    <w:rsid w:val="00F33BF4"/>
    <w:rsid w:val="00F7105E"/>
    <w:rsid w:val="00F75F57"/>
    <w:rsid w:val="00F82FEE"/>
    <w:rsid w:val="00FD57D3"/>
    <w:rsid w:val="00FF11BD"/>
    <w:rsid w:val="00FF3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4910A6"/>
  <w15:docId w15:val="{E304AE7B-EDFF-4532-A1C7-6259FF14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uiPriority w:val="99"/>
    <w:rsid w:val="009F4414"/>
    <w:rPr>
      <w:rFonts w:ascii="Calibri" w:hAnsi="Calibri"/>
      <w:sz w:val="24"/>
      <w:lang w:val="es-ES_tradnl" w:eastAsia="en-US"/>
    </w:rPr>
  </w:style>
  <w:style w:type="paragraph" w:styleId="BalloonText">
    <w:name w:val="Balloon Text"/>
    <w:basedOn w:val="Normal"/>
    <w:link w:val="BalloonTextChar"/>
    <w:semiHidden/>
    <w:unhideWhenUsed/>
    <w:rsid w:val="00EB312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B312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VC-C-0010/en" TargetMode="External"/><Relationship Id="rId13" Type="http://schemas.openxmlformats.org/officeDocument/2006/relationships/hyperlink" Target="https://www.itu.int/md/S20-CL-C-0014/en" TargetMode="External"/><Relationship Id="rId18" Type="http://schemas.openxmlformats.org/officeDocument/2006/relationships/hyperlink" Target="https://www.itu.int/en/Pages/remote-participation.asp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www.itu.int/myworkspace/" TargetMode="External"/><Relationship Id="rId7" Type="http://schemas.openxmlformats.org/officeDocument/2006/relationships/hyperlink" Target="https://www.itu.int/md/S20-CLVC-C-0013/en" TargetMode="External"/><Relationship Id="rId12" Type="http://schemas.openxmlformats.org/officeDocument/2006/relationships/hyperlink" Target="https://www.itu.int/md/S20-CLVC-C-0010/en" TargetMode="External"/><Relationship Id="rId17" Type="http://schemas.openxmlformats.org/officeDocument/2006/relationships/hyperlink" Target="https://www.itu.int/en/general-secretariat/ICT-Services/remoteparticipation/Pages/onlinemeetingroom.asp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itu.int/en/general-secretariat/ICT-Services/remoteparticipation/Pages/interactiverp.aspx" TargetMode="External"/><Relationship Id="rId20" Type="http://schemas.openxmlformats.org/officeDocument/2006/relationships/hyperlink" Target="https://www.itu.int/en/ITU-T/ewm/Pages/e-meetings.asp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0-CLVC-C-0013/en"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itu.int/en/general-secretariat/ICT-Services/remoteparticipation/Pages/default.aspx" TargetMode="External"/><Relationship Id="rId23" Type="http://schemas.openxmlformats.org/officeDocument/2006/relationships/hyperlink" Target="https://www.itu.int/md/S20-CL-C-0014/en" TargetMode="External"/><Relationship Id="rId28" Type="http://schemas.openxmlformats.org/officeDocument/2006/relationships/theme" Target="theme/theme1.xml"/><Relationship Id="rId10" Type="http://schemas.openxmlformats.org/officeDocument/2006/relationships/hyperlink" Target="https://www.itu.int/md/S20-CL-C-0053/en" TargetMode="External"/><Relationship Id="rId19" Type="http://schemas.openxmlformats.org/officeDocument/2006/relationships/hyperlink" Target="https://www.itu.int/en/ITU-T/Workshops-and-Seminars/ai4h/20190122/Pages/remote.aspx" TargetMode="External"/><Relationship Id="rId4" Type="http://schemas.openxmlformats.org/officeDocument/2006/relationships/footnotes" Target="footnotes.xml"/><Relationship Id="rId9" Type="http://schemas.openxmlformats.org/officeDocument/2006/relationships/hyperlink" Target="https://www.itu.int/md/S20-CL-C-0014/en" TargetMode="External"/><Relationship Id="rId14" Type="http://schemas.openxmlformats.org/officeDocument/2006/relationships/hyperlink" Target="https://www.itu.int/md/S20-CL-C-0053/en" TargetMode="External"/><Relationship Id="rId22" Type="http://schemas.openxmlformats.org/officeDocument/2006/relationships/hyperlink" Target="https://www.itu.int/en/events/Pages/Virtual-Sessions.aspx"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general-secretariat/ICT-Services/remoteparticipation/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1</TotalTime>
  <Pages>3</Pages>
  <Words>847</Words>
  <Characters>6413</Characters>
  <Application>Microsoft Office Word</Application>
  <DocSecurity>0</DocSecurity>
  <Lines>53</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7246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Ayala Martinez, Beatriz</dc:creator>
  <cp:keywords>C2018, C18</cp:keywords>
  <dc:description/>
  <cp:lastModifiedBy>Ayala Martinez, Beatriz</cp:lastModifiedBy>
  <cp:revision>5</cp:revision>
  <cp:lastPrinted>2006-03-24T09:51:00Z</cp:lastPrinted>
  <dcterms:created xsi:type="dcterms:W3CDTF">2020-11-13T13:24:00Z</dcterms:created>
  <dcterms:modified xsi:type="dcterms:W3CDTF">2020-11-13T13:24:00Z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