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4F28" w:rsidRPr="00353328" w14:paraId="6EAAA045" w14:textId="77777777" w:rsidTr="00FA7FCF">
        <w:trPr>
          <w:cantSplit/>
          <w:trHeight w:val="1276"/>
        </w:trPr>
        <w:tc>
          <w:tcPr>
            <w:tcW w:w="6911" w:type="dxa"/>
          </w:tcPr>
          <w:p w14:paraId="742676C6" w14:textId="65C6F43C" w:rsidR="00ED4F28" w:rsidRPr="00353328" w:rsidRDefault="008C3F03" w:rsidP="00FA7FCF">
            <w:pPr>
              <w:spacing w:before="360" w:after="48" w:line="240" w:lineRule="auto"/>
              <w:jc w:val="left"/>
              <w:rPr>
                <w:b/>
                <w:bCs/>
                <w:position w:val="6"/>
                <w:sz w:val="26"/>
                <w:szCs w:val="26"/>
              </w:rPr>
            </w:pPr>
            <w:r w:rsidRPr="00353328">
              <w:rPr>
                <w:b/>
                <w:bCs/>
                <w:position w:val="6"/>
                <w:sz w:val="26"/>
                <w:szCs w:val="26"/>
              </w:rPr>
              <w:t xml:space="preserve">Seconde consultation virtuelle des Conseillers </w:t>
            </w:r>
            <w:r w:rsidRPr="00353328">
              <w:rPr>
                <w:b/>
                <w:bCs/>
                <w:position w:val="6"/>
                <w:sz w:val="26"/>
                <w:szCs w:val="26"/>
              </w:rPr>
              <w:br/>
              <w:t>débutant le 16 novembre 2020</w:t>
            </w:r>
          </w:p>
        </w:tc>
        <w:tc>
          <w:tcPr>
            <w:tcW w:w="3120" w:type="dxa"/>
            <w:vAlign w:val="center"/>
          </w:tcPr>
          <w:p w14:paraId="02A77E72" w14:textId="77777777" w:rsidR="00ED4F28" w:rsidRPr="00353328" w:rsidRDefault="00ED4F28" w:rsidP="00FA7FCF">
            <w:pPr>
              <w:spacing w:before="0" w:line="240" w:lineRule="auto"/>
            </w:pPr>
            <w:bookmarkStart w:id="0" w:name="ditulogo"/>
            <w:bookmarkEnd w:id="0"/>
            <w:r w:rsidRPr="00353328">
              <w:rPr>
                <w:noProof/>
              </w:rPr>
              <w:drawing>
                <wp:inline distT="0" distB="0" distL="0" distR="0" wp14:anchorId="012163EC" wp14:editId="790306C9">
                  <wp:extent cx="682402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28" w:rsidRPr="00353328" w14:paraId="35AE2D43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D37480" w14:textId="77777777" w:rsidR="00ED4F28" w:rsidRPr="00353328" w:rsidRDefault="00ED4F28" w:rsidP="00FA7FCF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291F9A" w14:textId="77777777" w:rsidR="00ED4F28" w:rsidRPr="00353328" w:rsidRDefault="00ED4F28" w:rsidP="00FA7FCF">
            <w:pPr>
              <w:spacing w:before="0" w:line="240" w:lineRule="auto"/>
              <w:rPr>
                <w:szCs w:val="24"/>
              </w:rPr>
            </w:pPr>
          </w:p>
        </w:tc>
      </w:tr>
      <w:tr w:rsidR="00ED4F28" w:rsidRPr="00353328" w14:paraId="3ED7466A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60B46C4" w14:textId="77777777" w:rsidR="00ED4F28" w:rsidRPr="00353328" w:rsidRDefault="00ED4F28" w:rsidP="00FA7FCF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9A6CED5" w14:textId="063F00B5" w:rsidR="00ED4F28" w:rsidRPr="00353328" w:rsidRDefault="00ED4F28" w:rsidP="00ED4F28">
            <w:pPr>
              <w:spacing w:before="240" w:line="240" w:lineRule="atLeast"/>
              <w:rPr>
                <w:b/>
                <w:bCs/>
                <w:szCs w:val="24"/>
              </w:rPr>
            </w:pPr>
            <w:r w:rsidRPr="00353328">
              <w:rPr>
                <w:b/>
                <w:bCs/>
              </w:rPr>
              <w:t>Document VC</w:t>
            </w:r>
            <w:r w:rsidR="00E80DFE" w:rsidRPr="00353328">
              <w:rPr>
                <w:b/>
                <w:bCs/>
              </w:rPr>
              <w:t>-2</w:t>
            </w:r>
            <w:r w:rsidRPr="00353328">
              <w:rPr>
                <w:b/>
                <w:bCs/>
              </w:rPr>
              <w:t>/</w:t>
            </w:r>
            <w:r w:rsidR="00E80DFE" w:rsidRPr="00353328">
              <w:rPr>
                <w:b/>
                <w:bCs/>
              </w:rPr>
              <w:t>6</w:t>
            </w:r>
            <w:r w:rsidRPr="00353328">
              <w:rPr>
                <w:b/>
                <w:bCs/>
              </w:rPr>
              <w:t>-F</w:t>
            </w:r>
          </w:p>
          <w:p w14:paraId="7F597E24" w14:textId="371B318E" w:rsidR="00ED4F28" w:rsidRPr="00353328" w:rsidRDefault="00E80DFE" w:rsidP="00ED4F28">
            <w:pPr>
              <w:spacing w:before="0" w:line="240" w:lineRule="atLeast"/>
              <w:rPr>
                <w:b/>
                <w:bCs/>
                <w:szCs w:val="24"/>
              </w:rPr>
            </w:pPr>
            <w:r w:rsidRPr="00353328">
              <w:rPr>
                <w:b/>
                <w:bCs/>
              </w:rPr>
              <w:t>30 octobre</w:t>
            </w:r>
            <w:r w:rsidR="00ED4F28" w:rsidRPr="00353328">
              <w:rPr>
                <w:b/>
                <w:bCs/>
              </w:rPr>
              <w:t xml:space="preserve"> 2020</w:t>
            </w:r>
          </w:p>
          <w:p w14:paraId="27493732" w14:textId="2B445502" w:rsidR="00ED4F28" w:rsidRPr="00353328" w:rsidRDefault="00ED4F28" w:rsidP="00ED4F28">
            <w:pPr>
              <w:spacing w:before="0" w:line="240" w:lineRule="auto"/>
              <w:rPr>
                <w:szCs w:val="24"/>
              </w:rPr>
            </w:pPr>
            <w:r w:rsidRPr="00353328">
              <w:rPr>
                <w:b/>
                <w:bCs/>
              </w:rPr>
              <w:t xml:space="preserve">Original: </w:t>
            </w:r>
            <w:r w:rsidR="00E80DFE" w:rsidRPr="00353328">
              <w:rPr>
                <w:b/>
                <w:bCs/>
              </w:rPr>
              <w:t>russe</w:t>
            </w:r>
          </w:p>
        </w:tc>
      </w:tr>
    </w:tbl>
    <w:p w14:paraId="63B534C3" w14:textId="77777777" w:rsidR="00ED4F28" w:rsidRPr="00353328" w:rsidRDefault="00ED4F28" w:rsidP="00ED4F28">
      <w:pPr>
        <w:spacing w:before="0" w:line="240" w:lineRule="auto"/>
        <w:rPr>
          <w:b/>
          <w:bCs/>
          <w:sz w:val="28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3119"/>
        <w:gridCol w:w="6974"/>
      </w:tblGrid>
      <w:tr w:rsidR="00ED4F28" w:rsidRPr="00353328" w14:paraId="2F972386" w14:textId="77777777" w:rsidTr="00FE4746">
        <w:trPr>
          <w:cantSplit/>
        </w:trPr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39B5F807" w14:textId="35B49311" w:rsidR="00ED4F28" w:rsidRPr="00353328" w:rsidRDefault="00ED4F28" w:rsidP="00FA7FCF">
            <w:pPr>
              <w:spacing w:before="0" w:line="240" w:lineRule="auto"/>
              <w:jc w:val="left"/>
              <w:rPr>
                <w:b/>
                <w:bCs/>
              </w:rPr>
            </w:pPr>
            <w:bookmarkStart w:id="2" w:name="dsource" w:colFirst="0" w:colLast="0"/>
            <w:bookmarkEnd w:id="1"/>
            <w:r w:rsidRPr="00353328">
              <w:rPr>
                <w:b/>
                <w:bCs/>
              </w:rPr>
              <w:t>Nom(s) de l'État Membre/</w:t>
            </w:r>
            <w:r w:rsidR="00FE4746">
              <w:rPr>
                <w:b/>
                <w:bCs/>
              </w:rPr>
              <w:br/>
            </w:r>
            <w:r w:rsidRPr="00353328">
              <w:rPr>
                <w:b/>
                <w:bCs/>
              </w:rPr>
              <w:t>des États Membres présentant la contribution: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008F" w14:textId="4B4E39EB" w:rsidR="00ED4F28" w:rsidRPr="00353328" w:rsidRDefault="00E80DFE" w:rsidP="00F84D81">
            <w:pPr>
              <w:spacing w:before="0" w:line="240" w:lineRule="auto"/>
              <w:jc w:val="left"/>
              <w:rPr>
                <w:b/>
                <w:bCs/>
              </w:rPr>
            </w:pPr>
            <w:r w:rsidRPr="00353328">
              <w:rPr>
                <w:b/>
                <w:bCs/>
              </w:rPr>
              <w:t>République d</w:t>
            </w:r>
            <w:r w:rsidR="007B47D4" w:rsidRPr="00353328">
              <w:rPr>
                <w:b/>
                <w:bCs/>
              </w:rPr>
              <w:t>'</w:t>
            </w:r>
            <w:r w:rsidRPr="00353328">
              <w:rPr>
                <w:b/>
                <w:bCs/>
              </w:rPr>
              <w:t>Azerbaïdjan, République du Bélarus, Fédération de Russie</w:t>
            </w:r>
          </w:p>
        </w:tc>
      </w:tr>
      <w:tr w:rsidR="00ED4F28" w:rsidRPr="00353328" w14:paraId="5B6DD068" w14:textId="77777777" w:rsidTr="00FE4746">
        <w:trPr>
          <w:cantSplit/>
        </w:trPr>
        <w:tc>
          <w:tcPr>
            <w:tcW w:w="3119" w:type="dxa"/>
          </w:tcPr>
          <w:p w14:paraId="543AA0A6" w14:textId="77777777" w:rsidR="00ED4F28" w:rsidRPr="00353328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  <w:bottom w:val="single" w:sz="12" w:space="0" w:color="auto"/>
            </w:tcBorders>
          </w:tcPr>
          <w:p w14:paraId="6831D964" w14:textId="77777777" w:rsidR="00ED4F28" w:rsidRPr="00353328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D4F28" w:rsidRPr="00353328" w14:paraId="4CA3E037" w14:textId="77777777" w:rsidTr="00FE4746">
        <w:trPr>
          <w:cantSplit/>
        </w:trPr>
        <w:tc>
          <w:tcPr>
            <w:tcW w:w="3119" w:type="dxa"/>
            <w:tcBorders>
              <w:right w:val="single" w:sz="12" w:space="0" w:color="auto"/>
            </w:tcBorders>
          </w:tcPr>
          <w:p w14:paraId="1EE10205" w14:textId="77777777" w:rsidR="00ED4F28" w:rsidRPr="00353328" w:rsidRDefault="00ED4F28" w:rsidP="00FA7FCF">
            <w:pPr>
              <w:spacing w:after="120" w:line="240" w:lineRule="auto"/>
              <w:rPr>
                <w:b/>
                <w:bCs/>
              </w:rPr>
            </w:pPr>
            <w:r w:rsidRPr="00353328">
              <w:rPr>
                <w:b/>
                <w:bCs/>
              </w:rPr>
              <w:t>Titre du document: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7444C" w14:textId="04042924" w:rsidR="00ED4F28" w:rsidRPr="00353328" w:rsidRDefault="00E80DFE" w:rsidP="00FA7FCF">
            <w:pPr>
              <w:spacing w:after="120" w:line="240" w:lineRule="auto"/>
              <w:rPr>
                <w:b/>
                <w:bCs/>
              </w:rPr>
            </w:pPr>
            <w:r w:rsidRPr="00353328">
              <w:rPr>
                <w:b/>
                <w:bCs/>
              </w:rPr>
              <w:t>Améliorer l</w:t>
            </w:r>
            <w:r w:rsidR="007B47D4" w:rsidRPr="00353328">
              <w:rPr>
                <w:b/>
                <w:bCs/>
              </w:rPr>
              <w:t>'</w:t>
            </w:r>
            <w:r w:rsidRPr="00353328">
              <w:rPr>
                <w:b/>
                <w:bCs/>
              </w:rPr>
              <w:t>organisation des réunions virtuelles</w:t>
            </w:r>
          </w:p>
        </w:tc>
      </w:tr>
      <w:tr w:rsidR="00ED4F28" w:rsidRPr="00353328" w14:paraId="593BBC35" w14:textId="77777777" w:rsidTr="00FE4746">
        <w:trPr>
          <w:cantSplit/>
          <w:trHeight w:val="269"/>
        </w:trPr>
        <w:tc>
          <w:tcPr>
            <w:tcW w:w="3119" w:type="dxa"/>
          </w:tcPr>
          <w:p w14:paraId="45DD7832" w14:textId="77777777" w:rsidR="00ED4F28" w:rsidRPr="00353328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  <w:bottom w:val="single" w:sz="12" w:space="0" w:color="auto"/>
            </w:tcBorders>
          </w:tcPr>
          <w:p w14:paraId="5C58E450" w14:textId="77777777" w:rsidR="00ED4F28" w:rsidRPr="00353328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D4F28" w:rsidRPr="00353328" w14:paraId="5C1D68F3" w14:textId="77777777" w:rsidTr="00FE4746">
        <w:trPr>
          <w:cantSplit/>
          <w:trHeight w:val="668"/>
        </w:trPr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63B033B7" w14:textId="77777777" w:rsidR="00ED4F28" w:rsidRPr="00353328" w:rsidRDefault="00ED4F28" w:rsidP="00FA7FCF">
            <w:pPr>
              <w:spacing w:before="0" w:line="240" w:lineRule="auto"/>
              <w:jc w:val="left"/>
              <w:rPr>
                <w:b/>
                <w:bCs/>
              </w:rPr>
            </w:pPr>
            <w:r w:rsidRPr="00353328">
              <w:rPr>
                <w:b/>
                <w:bCs/>
              </w:rPr>
              <w:t>Référence au projet d'ordre du jour de la consultation virtuelle: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CD3FC" w14:textId="6FBA0EAC" w:rsidR="00ED4F28" w:rsidRPr="00353328" w:rsidRDefault="00E80DFE" w:rsidP="00FA7FCF">
            <w:pPr>
              <w:spacing w:before="240" w:after="120" w:line="240" w:lineRule="auto"/>
              <w:rPr>
                <w:b/>
                <w:bCs/>
              </w:rPr>
            </w:pPr>
            <w:r w:rsidRPr="00353328">
              <w:rPr>
                <w:b/>
                <w:bCs/>
              </w:rPr>
              <w:t>Point 2 du deuxième groupe de points inscrits au projet d</w:t>
            </w:r>
            <w:r w:rsidR="007B47D4" w:rsidRPr="00353328">
              <w:rPr>
                <w:b/>
                <w:bCs/>
              </w:rPr>
              <w:t>'</w:t>
            </w:r>
            <w:r w:rsidRPr="00353328">
              <w:rPr>
                <w:b/>
                <w:bCs/>
              </w:rPr>
              <w:t>ordre du jour de la seconde consultation virtuelle des Conseillers (PL 2.8)</w:t>
            </w:r>
            <w:r w:rsidRPr="00353328">
              <w:rPr>
                <w:b/>
                <w:bCs/>
              </w:rPr>
              <w:br/>
              <w:t xml:space="preserve">Documents </w:t>
            </w:r>
            <w:hyperlink r:id="rId7" w:history="1">
              <w:r w:rsidRPr="00353328">
                <w:rPr>
                  <w:rStyle w:val="Hyperlink"/>
                  <w:b/>
                  <w:bCs/>
                </w:rPr>
                <w:t>VC/13</w:t>
              </w:r>
            </w:hyperlink>
            <w:r w:rsidRPr="00353328">
              <w:rPr>
                <w:b/>
                <w:bCs/>
              </w:rPr>
              <w:t xml:space="preserve">, </w:t>
            </w:r>
            <w:hyperlink r:id="rId8" w:history="1">
              <w:r w:rsidRPr="00353328">
                <w:rPr>
                  <w:rStyle w:val="Hyperlink"/>
                  <w:b/>
                  <w:bCs/>
                </w:rPr>
                <w:t>VC/10</w:t>
              </w:r>
            </w:hyperlink>
            <w:r w:rsidRPr="00353328">
              <w:rPr>
                <w:b/>
                <w:bCs/>
              </w:rPr>
              <w:t xml:space="preserve">, </w:t>
            </w:r>
            <w:hyperlink r:id="rId9" w:history="1">
              <w:r w:rsidRPr="00353328">
                <w:rPr>
                  <w:rStyle w:val="Hyperlink"/>
                  <w:b/>
                  <w:bCs/>
                </w:rPr>
                <w:t>C20/14</w:t>
              </w:r>
            </w:hyperlink>
            <w:r w:rsidRPr="00353328">
              <w:rPr>
                <w:b/>
                <w:bCs/>
              </w:rPr>
              <w:t xml:space="preserve">, </w:t>
            </w:r>
            <w:hyperlink r:id="rId10" w:history="1">
              <w:r w:rsidRPr="00353328">
                <w:rPr>
                  <w:rStyle w:val="Hyperlink"/>
                  <w:b/>
                  <w:bCs/>
                </w:rPr>
                <w:t>С20/53</w:t>
              </w:r>
            </w:hyperlink>
          </w:p>
        </w:tc>
      </w:tr>
      <w:tr w:rsidR="00ED4F28" w:rsidRPr="00353328" w14:paraId="39853686" w14:textId="77777777" w:rsidTr="00FE4746">
        <w:trPr>
          <w:cantSplit/>
          <w:trHeight w:val="156"/>
        </w:trPr>
        <w:tc>
          <w:tcPr>
            <w:tcW w:w="3119" w:type="dxa"/>
          </w:tcPr>
          <w:p w14:paraId="6F501C99" w14:textId="77777777" w:rsidR="00ED4F28" w:rsidRPr="00353328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</w:tcBorders>
          </w:tcPr>
          <w:p w14:paraId="6F66101E" w14:textId="77777777" w:rsidR="00ED4F28" w:rsidRPr="00353328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14:paraId="4689949C" w14:textId="77777777" w:rsidR="00ED4F28" w:rsidRPr="00353328" w:rsidRDefault="00ED4F28" w:rsidP="00ED4F28">
      <w:pPr>
        <w:spacing w:line="240" w:lineRule="auto"/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ED4F28" w:rsidRPr="00353328" w14:paraId="2690EF03" w14:textId="77777777" w:rsidTr="00FA7FCF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52555" w14:textId="77777777" w:rsidR="00E80DFE" w:rsidRPr="00353328" w:rsidRDefault="00E80DFE" w:rsidP="007B47D4">
            <w:pPr>
              <w:pStyle w:val="Headingb"/>
              <w:rPr>
                <w:lang w:eastAsia="zh-CN"/>
              </w:rPr>
            </w:pPr>
            <w:r w:rsidRPr="00353328">
              <w:rPr>
                <w:lang w:eastAsia="zh-CN"/>
              </w:rPr>
              <w:t>Résumé</w:t>
            </w:r>
          </w:p>
          <w:p w14:paraId="4025E7CC" w14:textId="346A8587" w:rsidR="00E80DFE" w:rsidRPr="00353328" w:rsidRDefault="00E80DFE" w:rsidP="00E80DFE">
            <w:pPr>
              <w:jc w:val="left"/>
              <w:rPr>
                <w:lang w:eastAsia="zh-CN"/>
              </w:rPr>
            </w:pPr>
            <w:r w:rsidRPr="00353328">
              <w:rPr>
                <w:lang w:eastAsia="zh-CN"/>
              </w:rPr>
              <w:t>Le présent document contient une analyse succincte de la situation actuelle concernant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organisation et le déroulement des réunions virtuelles. Des mesures sont proposées afin d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optimiser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utilisation des ressources humaines et des ressources financières dans le cadre de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organisation de ces réunions.</w:t>
            </w:r>
          </w:p>
          <w:p w14:paraId="093A669D" w14:textId="77777777" w:rsidR="00E80DFE" w:rsidRPr="00353328" w:rsidRDefault="00E80DFE" w:rsidP="007B47D4">
            <w:pPr>
              <w:pStyle w:val="Heading1"/>
              <w:rPr>
                <w:lang w:eastAsia="zh-CN"/>
              </w:rPr>
            </w:pPr>
            <w:r w:rsidRPr="00353328">
              <w:rPr>
                <w:lang w:eastAsia="zh-CN"/>
              </w:rPr>
              <w:t>1</w:t>
            </w:r>
            <w:r w:rsidRPr="00353328">
              <w:rPr>
                <w:lang w:eastAsia="zh-CN"/>
              </w:rPr>
              <w:tab/>
              <w:t>Introduction</w:t>
            </w:r>
          </w:p>
          <w:p w14:paraId="207F3EEC" w14:textId="613C3A8A" w:rsidR="00E80DFE" w:rsidRPr="00353328" w:rsidRDefault="00E80DFE" w:rsidP="00E80DFE">
            <w:pPr>
              <w:jc w:val="left"/>
              <w:rPr>
                <w:lang w:eastAsia="zh-CN"/>
              </w:rPr>
            </w:pPr>
            <w:r w:rsidRPr="00353328">
              <w:rPr>
                <w:lang w:eastAsia="zh-CN"/>
              </w:rPr>
              <w:t xml:space="preserve">Au paragraphe 3 du Document </w:t>
            </w:r>
            <w:hyperlink r:id="rId11" w:history="1">
              <w:r w:rsidRPr="00353328">
                <w:rPr>
                  <w:rStyle w:val="Hyperlink"/>
                  <w:szCs w:val="24"/>
                  <w:lang w:eastAsia="zh-CN"/>
                </w:rPr>
                <w:t>VC/13</w:t>
              </w:r>
            </w:hyperlink>
            <w:r w:rsidRPr="00353328">
              <w:rPr>
                <w:lang w:eastAsia="zh-CN"/>
              </w:rPr>
              <w:t>, il est indiqué que, compte tenu de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annonce qualifiant le COVID-19 de pandémie, toutes les réunions de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UIT sont désormais organisées de façon virtuelle, à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exception du Conseil. Le secrétariat de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UIT, aux côtés de tous les participants aux activités de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UIT, a pris des mesures d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urgence visant à organiser des réunions virtuelles, notamment en mobilisant les ressources logicielles et techniques nécessaires et en formant le personnel de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UIT. Ces mesures ont permis à l</w:t>
            </w:r>
            <w:r w:rsidR="007B47D4" w:rsidRPr="00353328">
              <w:rPr>
                <w:lang w:eastAsia="zh-CN"/>
              </w:rPr>
              <w:t>'</w:t>
            </w:r>
            <w:r w:rsidRPr="00353328">
              <w:rPr>
                <w:lang w:eastAsia="zh-CN"/>
              </w:rPr>
              <w:t>Union de poursuivre ses activités malgré les conditions difficiles liées à la pandémie.</w:t>
            </w:r>
          </w:p>
          <w:p w14:paraId="4F270252" w14:textId="612B9C2B" w:rsidR="00ED4F28" w:rsidRPr="00353328" w:rsidRDefault="00E80DFE" w:rsidP="007B47D4">
            <w:pPr>
              <w:spacing w:after="120"/>
              <w:jc w:val="left"/>
              <w:rPr>
                <w:lang w:eastAsia="zh-CN"/>
              </w:rPr>
            </w:pPr>
            <w:r w:rsidRPr="00353328">
              <w:rPr>
                <w:lang w:eastAsia="zh-CN"/>
              </w:rPr>
              <w:t xml:space="preserve">Le Document </w:t>
            </w:r>
            <w:hyperlink r:id="rId12" w:history="1">
              <w:r w:rsidRPr="00353328">
                <w:rPr>
                  <w:rStyle w:val="Hyperlink"/>
                  <w:szCs w:val="24"/>
                  <w:lang w:eastAsia="zh-CN"/>
                </w:rPr>
                <w:t>VC/10</w:t>
              </w:r>
            </w:hyperlink>
            <w:r w:rsidRPr="00353328">
              <w:rPr>
                <w:lang w:eastAsia="zh-CN"/>
              </w:rPr>
              <w:t xml:space="preserve"> met en évidence la nécessité de renforcer les activités dans ce domaine. Certains aspects de ces activités sont également traités dans les Documents </w:t>
            </w:r>
            <w:hyperlink r:id="rId13" w:history="1">
              <w:r w:rsidRPr="00353328">
                <w:rPr>
                  <w:rStyle w:val="Hyperlink"/>
                  <w:bCs/>
                  <w:szCs w:val="24"/>
                  <w:lang w:eastAsia="zh-CN"/>
                </w:rPr>
                <w:t>C20/14</w:t>
              </w:r>
            </w:hyperlink>
            <w:r w:rsidRPr="00353328">
              <w:rPr>
                <w:lang w:eastAsia="zh-CN"/>
              </w:rPr>
              <w:t xml:space="preserve"> et </w:t>
            </w:r>
            <w:hyperlink r:id="rId14" w:history="1">
              <w:r w:rsidRPr="00353328">
                <w:rPr>
                  <w:rStyle w:val="Hyperlink"/>
                  <w:szCs w:val="24"/>
                  <w:lang w:eastAsia="zh-CN"/>
                </w:rPr>
                <w:t>С20/53</w:t>
              </w:r>
            </w:hyperlink>
            <w:r w:rsidRPr="00353328">
              <w:rPr>
                <w:lang w:eastAsia="zh-CN"/>
              </w:rPr>
              <w:t>.</w:t>
            </w:r>
          </w:p>
        </w:tc>
      </w:tr>
      <w:bookmarkEnd w:id="2"/>
    </w:tbl>
    <w:p w14:paraId="212E1D29" w14:textId="611300F9" w:rsidR="009C353C" w:rsidRPr="00353328" w:rsidRDefault="009C353C" w:rsidP="00B27B09"/>
    <w:p w14:paraId="31194B1E" w14:textId="32637EA3" w:rsidR="00E80DFE" w:rsidRPr="00353328" w:rsidRDefault="00E80D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353328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E80DFE" w:rsidRPr="00353328" w14:paraId="2B63B64C" w14:textId="77777777" w:rsidTr="00E80DFE">
        <w:tc>
          <w:tcPr>
            <w:tcW w:w="9629" w:type="dxa"/>
          </w:tcPr>
          <w:p w14:paraId="65AE51B5" w14:textId="77777777" w:rsidR="00E80DFE" w:rsidRPr="00353328" w:rsidRDefault="00E80DFE" w:rsidP="007B47D4">
            <w:pPr>
              <w:pStyle w:val="Heading1"/>
              <w:outlineLvl w:val="0"/>
            </w:pPr>
            <w:r w:rsidRPr="00353328">
              <w:lastRenderedPageBreak/>
              <w:t>2</w:t>
            </w:r>
            <w:r w:rsidRPr="00353328">
              <w:tab/>
              <w:t>Situation actuelle</w:t>
            </w:r>
          </w:p>
          <w:p w14:paraId="6B8177E6" w14:textId="7A0911A9" w:rsidR="00E80DFE" w:rsidRPr="00353328" w:rsidRDefault="00E80DFE" w:rsidP="00E80DFE">
            <w:pPr>
              <w:jc w:val="left"/>
            </w:pPr>
            <w:r w:rsidRPr="00353328">
              <w:t>Le secrétariat a déployé des efforts considérables pour veiller à ce que les réunions virtuelles et d</w:t>
            </w:r>
            <w:r w:rsidR="007B47D4" w:rsidRPr="00353328">
              <w:t>'</w:t>
            </w:r>
            <w:r w:rsidRPr="00353328">
              <w:t>autres manifestations de l</w:t>
            </w:r>
            <w:r w:rsidR="007B47D4" w:rsidRPr="00353328">
              <w:t>'</w:t>
            </w:r>
            <w:r w:rsidRPr="00353328">
              <w:t>UIT puissent avoir lieu. Toutefois, bien que cet objectif ait été atteint en principe, on ne peut nier qu</w:t>
            </w:r>
            <w:r w:rsidR="007B47D4" w:rsidRPr="00353328">
              <w:t>'</w:t>
            </w:r>
            <w:r w:rsidRPr="00353328">
              <w:t>actuellement, compte tenu des circonstances exceptionnelles et de l</w:t>
            </w:r>
            <w:r w:rsidR="007B47D4" w:rsidRPr="00353328">
              <w:t>'</w:t>
            </w:r>
            <w:r w:rsidRPr="00353328">
              <w:t>état d</w:t>
            </w:r>
            <w:r w:rsidR="007B47D4" w:rsidRPr="00353328">
              <w:t>'</w:t>
            </w:r>
            <w:r w:rsidRPr="00353328">
              <w:t>urgence, les activités dans ce domaine manquent quelque peu de coordination.</w:t>
            </w:r>
          </w:p>
          <w:p w14:paraId="60E1A904" w14:textId="56FE4A72" w:rsidR="00E80DFE" w:rsidRPr="00353328" w:rsidRDefault="00E80DFE" w:rsidP="00E80DFE">
            <w:pPr>
              <w:jc w:val="left"/>
            </w:pPr>
            <w:r w:rsidRPr="00353328">
              <w:t>Ce constat est notamment illustré par la liste de pages web de l</w:t>
            </w:r>
            <w:r w:rsidR="007B47D4" w:rsidRPr="00353328">
              <w:t>'</w:t>
            </w:r>
            <w:r w:rsidRPr="00353328">
              <w:t>UIT ci-dessous (qui est loin d</w:t>
            </w:r>
            <w:r w:rsidR="007B47D4" w:rsidRPr="00353328">
              <w:t>'</w:t>
            </w:r>
            <w:r w:rsidRPr="00353328">
              <w:t>être exhaustive), concernant les ressources logicielles qu</w:t>
            </w:r>
            <w:r w:rsidR="007B47D4" w:rsidRPr="00353328">
              <w:t>'</w:t>
            </w:r>
            <w:r w:rsidRPr="00353328">
              <w:t>il est proposé d</w:t>
            </w:r>
            <w:r w:rsidR="007B47D4" w:rsidRPr="00353328">
              <w:t>'</w:t>
            </w:r>
            <w:r w:rsidRPr="00353328">
              <w:t>utiliser lors des réunions virtuelles. Ces pages web indiquent les différentes ressources logicielles qu</w:t>
            </w:r>
            <w:r w:rsidR="007B47D4" w:rsidRPr="00353328">
              <w:t>'</w:t>
            </w:r>
            <w:r w:rsidRPr="00353328">
              <w:t>il est proposé d</w:t>
            </w:r>
            <w:r w:rsidR="007B47D4" w:rsidRPr="00353328">
              <w:t>'</w:t>
            </w:r>
            <w:r w:rsidRPr="00353328">
              <w:t>utiliser lors des réunions virtuelles et d</w:t>
            </w:r>
            <w:r w:rsidR="007B47D4" w:rsidRPr="00353328">
              <w:t>'</w:t>
            </w:r>
            <w:r w:rsidRPr="00353328">
              <w:t>autres manifestations virtuelles.</w:t>
            </w:r>
          </w:p>
          <w:p w14:paraId="4C1DDF09" w14:textId="77777777" w:rsidR="00E80DFE" w:rsidRPr="00353328" w:rsidRDefault="00166F94" w:rsidP="00E80DFE">
            <w:pPr>
              <w:jc w:val="left"/>
            </w:pPr>
            <w:hyperlink r:id="rId15" w:history="1">
              <w:r w:rsidR="00E80DFE" w:rsidRPr="00353328">
                <w:rPr>
                  <w:rStyle w:val="Hyperlink"/>
                </w:rPr>
                <w:t>https://www.itu.int/en/general-secretariat/ICT-Services/remoteparticipation/Pages/default.aspx</w:t>
              </w:r>
            </w:hyperlink>
          </w:p>
          <w:p w14:paraId="31023B48" w14:textId="7E52B87D" w:rsidR="00E80DFE" w:rsidRPr="00353328" w:rsidRDefault="00E80DFE" w:rsidP="00E80DFE">
            <w:pPr>
              <w:jc w:val="left"/>
            </w:pPr>
            <w:r w:rsidRPr="00353328">
              <w:tab/>
            </w:r>
            <w:hyperlink r:id="rId16" w:history="1">
              <w:r w:rsidRPr="00353328">
                <w:rPr>
                  <w:rStyle w:val="Hyperlink"/>
                </w:rPr>
                <w:t>Participation interactive à distance multilingue (INTERPREFY)</w:t>
              </w:r>
            </w:hyperlink>
            <w:r w:rsidR="007B47D4" w:rsidRPr="00353328">
              <w:t>.</w:t>
            </w:r>
          </w:p>
          <w:p w14:paraId="3DA8F8EC" w14:textId="34855C5E" w:rsidR="00E80DFE" w:rsidRPr="00353328" w:rsidRDefault="00E80DFE" w:rsidP="00E80DFE">
            <w:pPr>
              <w:jc w:val="left"/>
            </w:pPr>
            <w:r w:rsidRPr="00353328">
              <w:tab/>
            </w:r>
            <w:hyperlink r:id="rId17" w:history="1">
              <w:r w:rsidRPr="00353328">
                <w:rPr>
                  <w:rStyle w:val="Hyperlink"/>
                </w:rPr>
                <w:t>Participation interactive à distance unilingue (ZOOM)</w:t>
              </w:r>
            </w:hyperlink>
            <w:r w:rsidR="007B47D4" w:rsidRPr="00353328">
              <w:t>.</w:t>
            </w:r>
          </w:p>
          <w:p w14:paraId="16623F51" w14:textId="014034CB" w:rsidR="00E80DFE" w:rsidRPr="00353328" w:rsidRDefault="00166F94" w:rsidP="00E80DFE">
            <w:pPr>
              <w:jc w:val="left"/>
            </w:pPr>
            <w:hyperlink r:id="rId18" w:history="1">
              <w:r w:rsidR="00E80DFE" w:rsidRPr="00353328">
                <w:rPr>
                  <w:rStyle w:val="Hyperlink"/>
                </w:rPr>
                <w:t>https://www.itu.int/en/Pages/remote-participation.aspx</w:t>
              </w:r>
            </w:hyperlink>
          </w:p>
          <w:p w14:paraId="5223C823" w14:textId="77777777" w:rsidR="00E80DFE" w:rsidRPr="00353328" w:rsidRDefault="00E80DFE" w:rsidP="00E80DFE">
            <w:pPr>
              <w:jc w:val="left"/>
            </w:pPr>
            <w:r w:rsidRPr="00353328">
              <w:tab/>
              <w:t>Interprefy, Zoom, Skype for Business, Microsoft Teams.</w:t>
            </w:r>
          </w:p>
          <w:p w14:paraId="41C1CC05" w14:textId="77777777" w:rsidR="00E80DFE" w:rsidRPr="00353328" w:rsidRDefault="00166F94" w:rsidP="00E80DFE">
            <w:pPr>
              <w:jc w:val="left"/>
            </w:pPr>
            <w:hyperlink r:id="rId19" w:history="1">
              <w:r w:rsidR="00E80DFE" w:rsidRPr="00353328">
                <w:rPr>
                  <w:rStyle w:val="Hyperlink"/>
                </w:rPr>
                <w:t>https://www.itu.int/en/ITU-T/Workshops-and-Seminars/ai4h/20190122/Pages/remote.aspx</w:t>
              </w:r>
            </w:hyperlink>
          </w:p>
          <w:p w14:paraId="42BCA579" w14:textId="77777777" w:rsidR="00E80DFE" w:rsidRPr="00353328" w:rsidRDefault="00E80DFE" w:rsidP="00E80DFE">
            <w:pPr>
              <w:jc w:val="left"/>
              <w:rPr>
                <w:bCs/>
              </w:rPr>
            </w:pPr>
            <w:r w:rsidRPr="00353328">
              <w:tab/>
              <w:t>GoToMeeting.</w:t>
            </w:r>
          </w:p>
          <w:p w14:paraId="5A24DBA3" w14:textId="77777777" w:rsidR="00E80DFE" w:rsidRPr="00353328" w:rsidRDefault="00166F94" w:rsidP="00E80DFE">
            <w:pPr>
              <w:jc w:val="left"/>
            </w:pPr>
            <w:hyperlink r:id="rId20" w:history="1">
              <w:r w:rsidR="00E80DFE" w:rsidRPr="00353328">
                <w:rPr>
                  <w:rStyle w:val="Hyperlink"/>
                </w:rPr>
                <w:t>https://www.itu.int/en/ITU-T/ewm/Pages/e-meetings.aspx</w:t>
              </w:r>
            </w:hyperlink>
          </w:p>
          <w:p w14:paraId="530ADD65" w14:textId="77777777" w:rsidR="00E80DFE" w:rsidRPr="00353328" w:rsidRDefault="00E80DFE" w:rsidP="00E80DFE">
            <w:pPr>
              <w:jc w:val="left"/>
            </w:pPr>
            <w:r w:rsidRPr="00353328">
              <w:tab/>
              <w:t>GoToMeeting, GoToWebinar, Adobe Connect.</w:t>
            </w:r>
          </w:p>
          <w:p w14:paraId="62DC5C15" w14:textId="77777777" w:rsidR="00E80DFE" w:rsidRPr="00353328" w:rsidRDefault="00166F94" w:rsidP="00E80DFE">
            <w:pPr>
              <w:jc w:val="left"/>
            </w:pPr>
            <w:hyperlink r:id="rId21" w:anchor="/my-workspace/dashboard" w:history="1">
              <w:r w:rsidR="00E80DFE" w:rsidRPr="00353328">
                <w:rPr>
                  <w:rStyle w:val="Hyperlink"/>
                </w:rPr>
                <w:t>https://www.itu.int/myworkspace/#/my-workspace/dashboard</w:t>
              </w:r>
            </w:hyperlink>
          </w:p>
          <w:p w14:paraId="3AC57D27" w14:textId="28108CE6" w:rsidR="00E80DFE" w:rsidRPr="00353328" w:rsidRDefault="00E80DFE" w:rsidP="00E80DFE">
            <w:pPr>
              <w:jc w:val="left"/>
            </w:pPr>
            <w:r w:rsidRPr="00353328">
              <w:tab/>
              <w:t>Page web du TSB. Configurée pour l</w:t>
            </w:r>
            <w:r w:rsidR="007B47D4" w:rsidRPr="00353328">
              <w:t>'</w:t>
            </w:r>
            <w:r w:rsidRPr="00353328">
              <w:t>utilisation de MyMeetings.</w:t>
            </w:r>
          </w:p>
          <w:p w14:paraId="455F0DBF" w14:textId="77777777" w:rsidR="00E80DFE" w:rsidRPr="00353328" w:rsidRDefault="00166F94" w:rsidP="00E80DFE">
            <w:pPr>
              <w:jc w:val="left"/>
            </w:pPr>
            <w:hyperlink r:id="rId22" w:history="1">
              <w:r w:rsidR="00E80DFE" w:rsidRPr="00353328">
                <w:rPr>
                  <w:rStyle w:val="Hyperlink"/>
                </w:rPr>
                <w:t>https://www.itu.int/en/events/Pages/Virtual-Sessions.aspx</w:t>
              </w:r>
            </w:hyperlink>
          </w:p>
          <w:p w14:paraId="6A9F2449" w14:textId="77777777" w:rsidR="00E80DFE" w:rsidRPr="00353328" w:rsidRDefault="00E80DFE" w:rsidP="00E80DFE">
            <w:pPr>
              <w:jc w:val="left"/>
            </w:pPr>
            <w:r w:rsidRPr="00353328">
              <w:tab/>
              <w:t>Page web du Secrétariat général dressant la liste des manifestations virtuelles.</w:t>
            </w:r>
          </w:p>
          <w:p w14:paraId="764004CB" w14:textId="4ABED440" w:rsidR="00E80DFE" w:rsidRPr="00353328" w:rsidRDefault="00E80DFE" w:rsidP="00E80DFE">
            <w:pPr>
              <w:jc w:val="left"/>
            </w:pPr>
            <w:r w:rsidRPr="00353328">
              <w:t>Ainsi, il existe au moins huit ressources/plates-formes logicielles différentes qu'il est proposé d'utiliser afin d</w:t>
            </w:r>
            <w:r w:rsidR="007B47D4" w:rsidRPr="00353328">
              <w:t>'</w:t>
            </w:r>
            <w:r w:rsidRPr="00353328">
              <w:t>organiser des réunions à l</w:t>
            </w:r>
            <w:r w:rsidR="007B47D4" w:rsidRPr="00353328">
              <w:t>'</w:t>
            </w:r>
            <w:r w:rsidRPr="00353328">
              <w:t>UIT, notamment:</w:t>
            </w:r>
          </w:p>
          <w:p w14:paraId="1104DEC1" w14:textId="77777777" w:rsidR="00E80DFE" w:rsidRPr="00353328" w:rsidRDefault="00E80DFE" w:rsidP="007B47D4">
            <w:pPr>
              <w:pStyle w:val="enumlev1"/>
            </w:pPr>
            <w:r w:rsidRPr="00353328">
              <w:t>1)</w:t>
            </w:r>
            <w:r w:rsidRPr="00353328">
              <w:tab/>
              <w:t>INTERPREFY (avec l'appui financier des Émirats arabes unis);</w:t>
            </w:r>
          </w:p>
          <w:p w14:paraId="02E24119" w14:textId="77777777" w:rsidR="00E80DFE" w:rsidRPr="00353328" w:rsidRDefault="00E80DFE" w:rsidP="007B47D4">
            <w:pPr>
              <w:pStyle w:val="enumlev1"/>
            </w:pPr>
            <w:r w:rsidRPr="00353328">
              <w:t>2)</w:t>
            </w:r>
            <w:r w:rsidRPr="00353328">
              <w:tab/>
              <w:t>Adobe Connect;</w:t>
            </w:r>
          </w:p>
          <w:p w14:paraId="3CE80B4A" w14:textId="77777777" w:rsidR="00E80DFE" w:rsidRPr="00353328" w:rsidRDefault="00E80DFE" w:rsidP="007B47D4">
            <w:pPr>
              <w:pStyle w:val="enumlev1"/>
            </w:pPr>
            <w:r w:rsidRPr="00353328">
              <w:t>3)</w:t>
            </w:r>
            <w:r w:rsidRPr="00353328">
              <w:tab/>
              <w:t>ZOOM;</w:t>
            </w:r>
          </w:p>
          <w:p w14:paraId="2D05D9FF" w14:textId="77777777" w:rsidR="00E80DFE" w:rsidRPr="00353328" w:rsidRDefault="00E80DFE" w:rsidP="007B47D4">
            <w:pPr>
              <w:pStyle w:val="enumlev1"/>
            </w:pPr>
            <w:r w:rsidRPr="00353328">
              <w:t>4)</w:t>
            </w:r>
            <w:r w:rsidRPr="00353328">
              <w:tab/>
              <w:t>Microsoft Teams;</w:t>
            </w:r>
          </w:p>
          <w:p w14:paraId="5488DA63" w14:textId="77777777" w:rsidR="00E80DFE" w:rsidRPr="00353328" w:rsidRDefault="00E80DFE" w:rsidP="007B47D4">
            <w:pPr>
              <w:pStyle w:val="enumlev1"/>
            </w:pPr>
            <w:r w:rsidRPr="00353328">
              <w:t>5)</w:t>
            </w:r>
            <w:r w:rsidRPr="00353328">
              <w:tab/>
              <w:t>GoToMeeting;</w:t>
            </w:r>
          </w:p>
          <w:p w14:paraId="212EDE22" w14:textId="77777777" w:rsidR="00E80DFE" w:rsidRPr="00353328" w:rsidRDefault="00E80DFE" w:rsidP="007B47D4">
            <w:pPr>
              <w:pStyle w:val="enumlev1"/>
            </w:pPr>
            <w:r w:rsidRPr="00353328">
              <w:t>6)</w:t>
            </w:r>
            <w:r w:rsidRPr="00353328">
              <w:tab/>
              <w:t>GoToWebinar;</w:t>
            </w:r>
          </w:p>
          <w:p w14:paraId="1E0C93D9" w14:textId="77777777" w:rsidR="00E80DFE" w:rsidRPr="00353328" w:rsidRDefault="00E80DFE" w:rsidP="007B47D4">
            <w:pPr>
              <w:pStyle w:val="enumlev1"/>
            </w:pPr>
            <w:r w:rsidRPr="00353328">
              <w:t>7)</w:t>
            </w:r>
            <w:r w:rsidRPr="00353328">
              <w:tab/>
              <w:t>Skype for Business;</w:t>
            </w:r>
          </w:p>
          <w:p w14:paraId="3C1FCF62" w14:textId="3D0ED483" w:rsidR="00E80DFE" w:rsidRPr="00353328" w:rsidRDefault="00E80DFE" w:rsidP="007B47D4">
            <w:pPr>
              <w:pStyle w:val="enumlev1"/>
              <w:spacing w:after="120"/>
            </w:pPr>
            <w:r w:rsidRPr="00353328">
              <w:t>8)</w:t>
            </w:r>
            <w:r w:rsidRPr="00353328">
              <w:tab/>
              <w:t>MyMeetings.</w:t>
            </w:r>
          </w:p>
        </w:tc>
      </w:tr>
    </w:tbl>
    <w:p w14:paraId="4D66436C" w14:textId="67357114" w:rsidR="00E80DFE" w:rsidRPr="00353328" w:rsidRDefault="00E80D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353328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E80DFE" w:rsidRPr="00353328" w14:paraId="79F989F5" w14:textId="77777777" w:rsidTr="00E80DFE">
        <w:tc>
          <w:tcPr>
            <w:tcW w:w="9629" w:type="dxa"/>
          </w:tcPr>
          <w:p w14:paraId="568205AA" w14:textId="44C87A2E" w:rsidR="00E80DFE" w:rsidRPr="00353328" w:rsidRDefault="00E80DFE" w:rsidP="00E80DFE">
            <w:pPr>
              <w:jc w:val="left"/>
            </w:pPr>
            <w:r w:rsidRPr="00353328">
              <w:t>Lors de plusieurs réunions virtuelles, il a été fait observer que l</w:t>
            </w:r>
            <w:r w:rsidR="007B47D4" w:rsidRPr="00353328">
              <w:t>'</w:t>
            </w:r>
            <w:r w:rsidRPr="00353328">
              <w:t>utilisation d</w:t>
            </w:r>
            <w:r w:rsidR="007B47D4" w:rsidRPr="00353328">
              <w:t>'</w:t>
            </w:r>
            <w:r w:rsidRPr="00353328">
              <w:t>un large éventail de ressources logicielles est source de désagréments pour les participants aux réunions. En outre, certaines de ces ressources logicielles ne sont pas compatibles avec tous les types d</w:t>
            </w:r>
            <w:r w:rsidR="007B47D4" w:rsidRPr="00353328">
              <w:t>'</w:t>
            </w:r>
            <w:r w:rsidRPr="00353328">
              <w:t>interfaces applicatives Internet (certaines ne fonctionnent pas avec Microsoft EDGE, par exemple, ou ne permettent pas d</w:t>
            </w:r>
            <w:r w:rsidR="007B47D4" w:rsidRPr="00353328">
              <w:t>'</w:t>
            </w:r>
            <w:r w:rsidRPr="00353328">
              <w:t>utiliser des téléphones cellulaires ou des tablettes). Pendant les réunions virtuelles, des observations ont été formulées de façon répétée concernant le désagrément que constitue l</w:t>
            </w:r>
            <w:r w:rsidR="007B47D4" w:rsidRPr="00353328">
              <w:t>'</w:t>
            </w:r>
            <w:r w:rsidRPr="00353328">
              <w:t>utilisation d'un grand nombre d'applications de ce type. De plus, la situation reste floue en ce qui concerne la protection des données personnelles dans le cadre de l</w:t>
            </w:r>
            <w:r w:rsidR="007B47D4" w:rsidRPr="00353328">
              <w:t>'</w:t>
            </w:r>
            <w:r w:rsidRPr="00353328">
              <w:t>utilisation de diverses applications.</w:t>
            </w:r>
          </w:p>
          <w:p w14:paraId="55202A84" w14:textId="591AFB3D" w:rsidR="00E80DFE" w:rsidRPr="00353328" w:rsidRDefault="00E80DFE" w:rsidP="00E80DFE">
            <w:pPr>
              <w:jc w:val="left"/>
            </w:pPr>
            <w:r w:rsidRPr="00353328">
              <w:t>En particulier, il convient de noter qu</w:t>
            </w:r>
            <w:r w:rsidR="007B47D4" w:rsidRPr="00353328">
              <w:t>'</w:t>
            </w:r>
            <w:r w:rsidRPr="00353328">
              <w:t>à l</w:t>
            </w:r>
            <w:r w:rsidR="007B47D4" w:rsidRPr="00353328">
              <w:t>'</w:t>
            </w:r>
            <w:r w:rsidRPr="00353328">
              <w:t>heure actuelle, deux plates-formes très similaires sont utilisées pour organiser des réunions multilingues: INTERPREFY et MyMeetings. Le Secrétariat général, le Bureau des radiocommunications et le Bureau de développement des télécommunications utilisent INTERPREFY, tandis que le Bureau de la normalisation des télécommunications utilise MyMeetings.</w:t>
            </w:r>
          </w:p>
          <w:p w14:paraId="4E0BE909" w14:textId="77777777" w:rsidR="00E80DFE" w:rsidRPr="00353328" w:rsidRDefault="00E80DFE" w:rsidP="007B47D4">
            <w:pPr>
              <w:pStyle w:val="Heading1"/>
              <w:outlineLvl w:val="0"/>
            </w:pPr>
            <w:r w:rsidRPr="00353328">
              <w:t>3</w:t>
            </w:r>
            <w:r w:rsidRPr="00353328">
              <w:tab/>
              <w:t>Conclusions</w:t>
            </w:r>
          </w:p>
          <w:p w14:paraId="39F7EB5E" w14:textId="0713043E" w:rsidR="00E80DFE" w:rsidRPr="00353328" w:rsidRDefault="00E80DFE" w:rsidP="00E80DFE">
            <w:pPr>
              <w:jc w:val="left"/>
            </w:pPr>
            <w:r w:rsidRPr="00353328">
              <w:t>Faute de solutions communes et d</w:t>
            </w:r>
            <w:r w:rsidR="007B47D4" w:rsidRPr="00353328">
              <w:t>'</w:t>
            </w:r>
            <w:r w:rsidRPr="00353328">
              <w:t>un service d</w:t>
            </w:r>
            <w:r w:rsidR="007B47D4" w:rsidRPr="00353328">
              <w:t>'</w:t>
            </w:r>
            <w:r w:rsidRPr="00353328">
              <w:t>appui commun pour les applications/plates</w:t>
            </w:r>
            <w:r w:rsidR="00353328" w:rsidRPr="00353328">
              <w:noBreakHyphen/>
            </w:r>
            <w:r w:rsidRPr="00353328">
              <w:t xml:space="preserve">formes, des </w:t>
            </w:r>
            <w:r w:rsidR="007B47D4" w:rsidRPr="00353328">
              <w:t>"</w:t>
            </w:r>
            <w:r w:rsidRPr="00353328">
              <w:t>équipes d</w:t>
            </w:r>
            <w:r w:rsidR="007B47D4" w:rsidRPr="00353328">
              <w:t>'</w:t>
            </w:r>
            <w:r w:rsidRPr="00353328">
              <w:t>appui</w:t>
            </w:r>
            <w:r w:rsidR="007B47D4" w:rsidRPr="00353328">
              <w:t>"</w:t>
            </w:r>
            <w:r w:rsidRPr="00353328">
              <w:t xml:space="preserve"> ont été créées au sein de diverses unités organisationnelles de l</w:t>
            </w:r>
            <w:r w:rsidR="007B47D4" w:rsidRPr="00353328">
              <w:t>'</w:t>
            </w:r>
            <w:r w:rsidRPr="00353328">
              <w:t>Union (en particulier au sein du Secrétariat général et du TSB). Il ne fait aucun doute que cette approche mobilise davantage de ressources humaines et financières (y compris pour l</w:t>
            </w:r>
            <w:r w:rsidR="007B47D4" w:rsidRPr="00353328">
              <w:t>'</w:t>
            </w:r>
            <w:r w:rsidRPr="00353328">
              <w:t>acquisition et l</w:t>
            </w:r>
            <w:r w:rsidR="007B47D4" w:rsidRPr="00353328">
              <w:t>'</w:t>
            </w:r>
            <w:r w:rsidRPr="00353328">
              <w:t>utilisation des logiciels) et entraîne une répétition des tâches pour les différentes unités organisationnelles de l</w:t>
            </w:r>
            <w:r w:rsidR="007B47D4" w:rsidRPr="00353328">
              <w:t>'</w:t>
            </w:r>
            <w:r w:rsidRPr="00353328">
              <w:t>Union. Cela entraîne également certaines difficultés pour les autres participants aux activités de l</w:t>
            </w:r>
            <w:r w:rsidR="007B47D4" w:rsidRPr="00353328">
              <w:t>'</w:t>
            </w:r>
            <w:r w:rsidRPr="00353328">
              <w:t>Union.</w:t>
            </w:r>
          </w:p>
          <w:p w14:paraId="770D3A9B" w14:textId="390BC1BC" w:rsidR="00E80DFE" w:rsidRPr="00353328" w:rsidRDefault="00E80DFE" w:rsidP="00E80DFE">
            <w:pPr>
              <w:jc w:val="left"/>
            </w:pPr>
            <w:r w:rsidRPr="00353328">
              <w:t>Dans une certaine mesure, il s</w:t>
            </w:r>
            <w:r w:rsidR="007B47D4" w:rsidRPr="00353328">
              <w:t>'</w:t>
            </w:r>
            <w:r w:rsidRPr="00353328">
              <w:t>agit peut-être de l</w:t>
            </w:r>
            <w:r w:rsidR="007B47D4" w:rsidRPr="00353328">
              <w:t>'</w:t>
            </w:r>
            <w:r w:rsidRPr="00353328">
              <w:t xml:space="preserve">une des raisons ayant motivé la demande de ressources supplémentaires formulée dans le Document </w:t>
            </w:r>
            <w:hyperlink r:id="rId23" w:history="1">
              <w:r w:rsidRPr="00353328">
                <w:rPr>
                  <w:rStyle w:val="Hyperlink"/>
                  <w:bCs/>
                </w:rPr>
                <w:t>C20/14</w:t>
              </w:r>
            </w:hyperlink>
            <w:r w:rsidRPr="00353328">
              <w:t>.</w:t>
            </w:r>
          </w:p>
          <w:p w14:paraId="518E34C2" w14:textId="77777777" w:rsidR="00E80DFE" w:rsidRPr="00353328" w:rsidRDefault="00E80DFE" w:rsidP="007B47D4">
            <w:pPr>
              <w:pStyle w:val="Heading1"/>
              <w:outlineLvl w:val="0"/>
            </w:pPr>
            <w:r w:rsidRPr="00353328">
              <w:t>4</w:t>
            </w:r>
            <w:r w:rsidRPr="00353328">
              <w:tab/>
              <w:t>Mesures proposées</w:t>
            </w:r>
          </w:p>
          <w:p w14:paraId="18546D80" w14:textId="42B20542" w:rsidR="00E80DFE" w:rsidRPr="00353328" w:rsidRDefault="00E80DFE" w:rsidP="007B47D4">
            <w:pPr>
              <w:spacing w:after="120"/>
              <w:jc w:val="left"/>
            </w:pPr>
            <w:r w:rsidRPr="00353328">
              <w:t xml:space="preserve">Il paraît judicieux de recommander que le </w:t>
            </w:r>
            <w:r w:rsidR="00F84D81">
              <w:t>s</w:t>
            </w:r>
            <w:r w:rsidRPr="00353328">
              <w:t>ecrétariat de l</w:t>
            </w:r>
            <w:r w:rsidR="007B47D4" w:rsidRPr="00353328">
              <w:t>'</w:t>
            </w:r>
            <w:r w:rsidRPr="00353328">
              <w:t>UIT, compte tenu des données d</w:t>
            </w:r>
            <w:r w:rsidR="007B47D4" w:rsidRPr="00353328">
              <w:t>'</w:t>
            </w:r>
            <w:r w:rsidRPr="00353328">
              <w:t>expérience acquises par ses différentes unités, réduise considérablement et sans délai le nombre d</w:t>
            </w:r>
            <w:r w:rsidR="007B47D4" w:rsidRPr="00353328">
              <w:t>'</w:t>
            </w:r>
            <w:r w:rsidRPr="00353328">
              <w:t>applications/de plates-formes utilisées pour organiser des réunions virtuelles et d</w:t>
            </w:r>
            <w:r w:rsidR="007B47D4" w:rsidRPr="00353328">
              <w:t>'</w:t>
            </w:r>
            <w:r w:rsidRPr="00353328">
              <w:t>autres manifestations; harmonise et rationalise les pages web concernant l</w:t>
            </w:r>
            <w:r w:rsidR="007B47D4" w:rsidRPr="00353328">
              <w:t>'</w:t>
            </w:r>
            <w:r w:rsidRPr="00353328">
              <w:t>organisation de ces réunions et en réduise le nombre; et, compte tenu des prescriptions énoncées dans la Résolution 191 (Rév. Dubaï, 2018) de la Conférence de plénipotentiaire, dans l</w:t>
            </w:r>
            <w:r w:rsidR="007B47D4" w:rsidRPr="00353328">
              <w:t>'</w:t>
            </w:r>
            <w:r w:rsidRPr="00353328">
              <w:t>esprit d</w:t>
            </w:r>
            <w:r w:rsidR="007B47D4" w:rsidRPr="00353328">
              <w:t>'</w:t>
            </w:r>
            <w:r w:rsidRPr="00353328">
              <w:t xml:space="preserve">une </w:t>
            </w:r>
            <w:r w:rsidR="007B47D4" w:rsidRPr="00353328">
              <w:t>"</w:t>
            </w:r>
            <w:r w:rsidRPr="00353328">
              <w:t>UIT unie dans l</w:t>
            </w:r>
            <w:r w:rsidR="007B47D4" w:rsidRPr="00353328">
              <w:t>'</w:t>
            </w:r>
            <w:r w:rsidRPr="00353328">
              <w:t>action</w:t>
            </w:r>
            <w:r w:rsidR="007B47D4" w:rsidRPr="00353328">
              <w:t>"</w:t>
            </w:r>
            <w:r w:rsidRPr="00353328">
              <w:t>, élimine les doubles emplois dans ce domaine au sein des différentes unités organisationnelles du secrétariat, en centralisant les fonctions au sein d</w:t>
            </w:r>
            <w:r w:rsidR="007B47D4" w:rsidRPr="00353328">
              <w:t>'</w:t>
            </w:r>
            <w:r w:rsidRPr="00353328">
              <w:t>une seule unité</w:t>
            </w:r>
            <w:r w:rsidRPr="00353328">
              <w:rPr>
                <w:rStyle w:val="FootnoteReference"/>
              </w:rPr>
              <w:footnoteReference w:id="1"/>
            </w:r>
            <w:r w:rsidR="007B47D4" w:rsidRPr="00353328">
              <w:t>.</w:t>
            </w:r>
          </w:p>
        </w:tc>
      </w:tr>
    </w:tbl>
    <w:p w14:paraId="641E30CE" w14:textId="77777777" w:rsidR="007B47D4" w:rsidRPr="00353328" w:rsidRDefault="007B47D4" w:rsidP="0032202E">
      <w:pPr>
        <w:pStyle w:val="Reasons"/>
      </w:pPr>
    </w:p>
    <w:p w14:paraId="17844B89" w14:textId="51D45328" w:rsidR="00E80DFE" w:rsidRPr="00353328" w:rsidRDefault="007B47D4" w:rsidP="00353328">
      <w:pPr>
        <w:jc w:val="center"/>
      </w:pPr>
      <w:r w:rsidRPr="00353328">
        <w:t>______________</w:t>
      </w:r>
    </w:p>
    <w:sectPr w:rsidR="00E80DFE" w:rsidRPr="00353328" w:rsidSect="005C38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0D8C8" w14:textId="77777777" w:rsidR="008C3F03" w:rsidRDefault="008C3F03">
      <w:r>
        <w:separator/>
      </w:r>
    </w:p>
  </w:endnote>
  <w:endnote w:type="continuationSeparator" w:id="0">
    <w:p w14:paraId="3351C82B" w14:textId="77777777" w:rsidR="008C3F03" w:rsidRDefault="008C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25A0" w14:textId="0347A4B8" w:rsidR="00732045" w:rsidRDefault="00FE4746">
    <w:pPr>
      <w:pStyle w:val="Footer"/>
    </w:pPr>
    <w:fldSimple w:instr=" FILENAME \p \* MERGEFORMAT ">
      <w:r w:rsidR="008C3F0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84D81">
      <w:t>09.11.20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C3F0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260E1" w14:textId="4EA8E932" w:rsidR="00732045" w:rsidRDefault="00FE4746">
    <w:pPr>
      <w:pStyle w:val="Footer"/>
    </w:pPr>
    <w:fldSimple w:instr=" FILENAME \p \* MERGEFORMAT ">
      <w:r w:rsidR="007B47D4">
        <w:t>P:\FRA\SG\CONSEIL\VC-2\000\006F.docx</w:t>
      </w:r>
    </w:fldSimple>
    <w:r w:rsidR="007B47D4">
      <w:t xml:space="preserve"> (479654)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2570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0CF7" w14:textId="77777777" w:rsidR="008C3F03" w:rsidRDefault="008C3F03">
      <w:r>
        <w:t>____________________</w:t>
      </w:r>
    </w:p>
  </w:footnote>
  <w:footnote w:type="continuationSeparator" w:id="0">
    <w:p w14:paraId="1C8DDDD4" w14:textId="77777777" w:rsidR="008C3F03" w:rsidRDefault="008C3F03">
      <w:r>
        <w:continuationSeparator/>
      </w:r>
    </w:p>
  </w:footnote>
  <w:footnote w:id="1">
    <w:p w14:paraId="049CF722" w14:textId="765A3744" w:rsidR="00E80DFE" w:rsidRPr="00061E12" w:rsidRDefault="00E80DFE" w:rsidP="00E80DFE">
      <w:pPr>
        <w:pStyle w:val="FootnoteText"/>
        <w:keepLines w:val="0"/>
        <w:widowControl w:val="0"/>
        <w:rPr>
          <w:rFonts w:asciiTheme="minorHAnsi" w:hAnsiTheme="minorHAnsi" w:cstheme="minorHAnsi"/>
          <w:sz w:val="22"/>
        </w:rPr>
      </w:pPr>
      <w:r w:rsidRPr="001D5554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bookmarkStart w:id="3" w:name="lt_pId079"/>
      <w:r w:rsidRPr="007B47D4">
        <w:t>Dans le cadre de la structure actuelle du secrétariat de l</w:t>
      </w:r>
      <w:r w:rsidR="007B47D4" w:rsidRPr="007B47D4">
        <w:t>'</w:t>
      </w:r>
      <w:r w:rsidRPr="007B47D4">
        <w:t xml:space="preserve">UIT, les travaux dans ce domaine sont confiés au Département des services informatiques (voir </w:t>
      </w:r>
      <w:hyperlink r:id="rId1" w:history="1">
        <w:r w:rsidRPr="007B47D4">
          <w:rPr>
            <w:rStyle w:val="Hyperlink"/>
          </w:rPr>
          <w:t>https://www.itu.int/en/general-secretariat/ICT-Services/remoteparticipation/Pages/default.aspx</w:t>
        </w:r>
      </w:hyperlink>
      <w:r w:rsidRPr="007B47D4">
        <w:t>).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7288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132A9D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009AC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2D5FCA33" w14:textId="6B52C9CB" w:rsidR="00732045" w:rsidRDefault="00ED4F28" w:rsidP="00106B19">
    <w:pPr>
      <w:pStyle w:val="Header"/>
    </w:pPr>
    <w:r>
      <w:t>VC</w:t>
    </w:r>
    <w:r w:rsidR="007B47D4">
      <w:t>-2</w:t>
    </w:r>
    <w:r w:rsidR="00732045">
      <w:t>/</w:t>
    </w:r>
    <w:r w:rsidR="007B47D4">
      <w:t>6</w:t>
    </w:r>
    <w:r w:rsidR="00732045"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28"/>
    <w:rsid w:val="000D0D0A"/>
    <w:rsid w:val="00103163"/>
    <w:rsid w:val="00106B19"/>
    <w:rsid w:val="00115D93"/>
    <w:rsid w:val="001247A8"/>
    <w:rsid w:val="001378C0"/>
    <w:rsid w:val="00166F94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3328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B47D4"/>
    <w:rsid w:val="007C72C2"/>
    <w:rsid w:val="007D4436"/>
    <w:rsid w:val="007F257A"/>
    <w:rsid w:val="007F3665"/>
    <w:rsid w:val="00800037"/>
    <w:rsid w:val="00815E80"/>
    <w:rsid w:val="0082514F"/>
    <w:rsid w:val="00861D73"/>
    <w:rsid w:val="008A4E87"/>
    <w:rsid w:val="008C3F03"/>
    <w:rsid w:val="008D76E6"/>
    <w:rsid w:val="0092392D"/>
    <w:rsid w:val="0093234A"/>
    <w:rsid w:val="009C307F"/>
    <w:rsid w:val="009C353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7B09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80DFE"/>
    <w:rsid w:val="00EB6350"/>
    <w:rsid w:val="00ED4F28"/>
    <w:rsid w:val="00F15B57"/>
    <w:rsid w:val="00F427DB"/>
    <w:rsid w:val="00F84D81"/>
    <w:rsid w:val="00FA5EB1"/>
    <w:rsid w:val="00FA7439"/>
    <w:rsid w:val="00FC4EC0"/>
    <w:rsid w:val="00FE4746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552688"/>
  <w15:docId w15:val="{3BE36841-2244-4556-96CD-09CFBCC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ind w:left="567" w:hanging="567"/>
      <w:jc w:val="left"/>
      <w:outlineLvl w:val="0"/>
    </w:pPr>
    <w:rPr>
      <w:rFonts w:cs="Times New Roman"/>
      <w:b/>
      <w:sz w:val="28"/>
      <w:szCs w:val="20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3">
    <w:name w:val="toc 3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2">
    <w:name w:val="toc 2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1">
    <w:name w:val="toc 1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964" w:hanging="964"/>
      <w:jc w:val="left"/>
    </w:pPr>
    <w:rPr>
      <w:rFonts w:cs="Times New Roman"/>
      <w:szCs w:val="20"/>
    </w:rPr>
  </w:style>
  <w:style w:type="paragraph" w:styleId="TOC7">
    <w:name w:val="toc 7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6">
    <w:name w:val="toc 6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5">
    <w:name w:val="toc 5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4">
    <w:name w:val="toc 4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Index7">
    <w:name w:val="index 7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698"/>
      <w:jc w:val="left"/>
    </w:pPr>
    <w:rPr>
      <w:rFonts w:cs="Times New Roman"/>
      <w:szCs w:val="20"/>
    </w:rPr>
  </w:style>
  <w:style w:type="paragraph" w:styleId="Index6">
    <w:name w:val="index 6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415"/>
      <w:jc w:val="left"/>
    </w:pPr>
    <w:rPr>
      <w:rFonts w:cs="Times New Roman"/>
      <w:szCs w:val="20"/>
    </w:rPr>
  </w:style>
  <w:style w:type="paragraph" w:styleId="Index5">
    <w:name w:val="index 5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132"/>
      <w:jc w:val="left"/>
    </w:pPr>
    <w:rPr>
      <w:rFonts w:cs="Times New Roman"/>
      <w:szCs w:val="20"/>
    </w:rPr>
  </w:style>
  <w:style w:type="paragraph" w:styleId="Index4">
    <w:name w:val="index 4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849"/>
      <w:jc w:val="left"/>
    </w:pPr>
    <w:rPr>
      <w:rFonts w:cs="Times New Roman"/>
      <w:szCs w:val="20"/>
    </w:rPr>
  </w:style>
  <w:style w:type="paragraph" w:styleId="Index3">
    <w:name w:val="index 3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6"/>
      <w:jc w:val="left"/>
    </w:pPr>
    <w:rPr>
      <w:rFonts w:cs="Times New Roman"/>
      <w:szCs w:val="20"/>
    </w:rPr>
  </w:style>
  <w:style w:type="paragraph" w:styleId="Index2">
    <w:name w:val="index 2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283"/>
      <w:jc w:val="left"/>
    </w:pPr>
    <w:rPr>
      <w:rFonts w:cs="Times New Roman"/>
      <w:szCs w:val="20"/>
    </w:rPr>
  </w:style>
  <w:style w:type="paragraph" w:styleId="Index1">
    <w:name w:val="index 1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cs="Times New Roman"/>
      <w:caps/>
      <w:noProof/>
      <w:sz w:val="16"/>
      <w:szCs w:val="20"/>
    </w:rPr>
  </w:style>
  <w:style w:type="paragraph" w:styleId="Header">
    <w:name w:val="header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uiPriority w:val="99"/>
    <w:rsid w:val="00732045"/>
    <w:pPr>
      <w:keepLines/>
      <w:tabs>
        <w:tab w:val="clear" w:pos="794"/>
        <w:tab w:val="clear" w:pos="1191"/>
        <w:tab w:val="clear" w:pos="1588"/>
        <w:tab w:val="clear" w:pos="1985"/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256" w:hanging="256"/>
      <w:jc w:val="left"/>
    </w:pPr>
    <w:rPr>
      <w:rFonts w:cs="Times New Roman"/>
      <w:szCs w:val="20"/>
    </w:rPr>
  </w:style>
  <w:style w:type="paragraph" w:styleId="NormalIndent">
    <w:name w:val="Normal Indent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7"/>
      <w:jc w:val="left"/>
    </w:pPr>
    <w:rPr>
      <w:rFonts w:cs="Times New Roman"/>
      <w:szCs w:val="20"/>
    </w:rPr>
  </w:style>
  <w:style w:type="paragraph" w:customStyle="1" w:styleId="enumlev1">
    <w:name w:val="enumlev1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6" w:line="240" w:lineRule="auto"/>
      <w:ind w:left="567" w:hanging="567"/>
      <w:jc w:val="left"/>
    </w:pPr>
    <w:rPr>
      <w:rFonts w:cs="Times New Roman"/>
      <w:szCs w:val="20"/>
    </w:r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spacing w:before="120" w:line="240" w:lineRule="auto"/>
      <w:jc w:val="left"/>
    </w:pPr>
    <w:rPr>
      <w:rFonts w:cs="Times New Roman"/>
      <w:szCs w:val="20"/>
    </w:rPr>
  </w:style>
  <w:style w:type="paragraph" w:customStyle="1" w:styleId="Head">
    <w:name w:val="Head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cs="Times New Roman"/>
      <w:szCs w:val="20"/>
    </w:rPr>
  </w:style>
  <w:style w:type="paragraph" w:customStyle="1" w:styleId="Normalaftertitle">
    <w:name w:val="Normal after 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left"/>
    </w:pPr>
    <w:rPr>
      <w:rFonts w:cs="Times New Roman"/>
      <w:szCs w:val="20"/>
    </w:r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spacing w:line="240" w:lineRule="auto"/>
      <w:ind w:left="567"/>
      <w:jc w:val="left"/>
    </w:pPr>
    <w:rPr>
      <w:rFonts w:cs="Times New Roman"/>
      <w:i/>
      <w:szCs w:val="20"/>
    </w:rPr>
  </w:style>
  <w:style w:type="paragraph" w:customStyle="1" w:styleId="toc0">
    <w:name w:val="toc 0"/>
    <w:basedOn w:val="Normal"/>
    <w:next w:val="TOC1"/>
    <w:rsid w:val="00732045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cs="Times New Roman"/>
      <w:b/>
      <w:szCs w:val="20"/>
    </w:rPr>
  </w:style>
  <w:style w:type="paragraph" w:styleId="List">
    <w:name w:val="List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spacing w:before="120" w:line="240" w:lineRule="auto"/>
      <w:ind w:left="2127" w:hanging="2127"/>
      <w:jc w:val="left"/>
    </w:pPr>
    <w:rPr>
      <w:rFonts w:cs="Times New Roman"/>
      <w:szCs w:val="20"/>
    </w:rPr>
  </w:style>
  <w:style w:type="paragraph" w:customStyle="1" w:styleId="Part">
    <w:name w:val="Part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spacing w:before="199" w:line="240" w:lineRule="auto"/>
      <w:ind w:left="1701" w:hanging="1701"/>
      <w:jc w:val="left"/>
    </w:pPr>
    <w:rPr>
      <w:rFonts w:cs="Times New Roman"/>
      <w:caps/>
      <w:szCs w:val="20"/>
    </w:rPr>
  </w:style>
  <w:style w:type="paragraph" w:customStyle="1" w:styleId="Reasons">
    <w:name w:val="Reasons"/>
    <w:basedOn w:val="Normal"/>
    <w:qFormat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 w:line="240" w:lineRule="auto"/>
      <w:ind w:left="709" w:hanging="709"/>
      <w:jc w:val="left"/>
    </w:pPr>
    <w:rPr>
      <w:rFonts w:cs="Times New Roman"/>
      <w:szCs w:val="20"/>
    </w:rPr>
  </w:style>
  <w:style w:type="paragraph" w:customStyle="1" w:styleId="Source">
    <w:name w:val="Source"/>
    <w:basedOn w:val="Normal"/>
    <w:next w:val="Title1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120" w:line="240" w:lineRule="auto"/>
      <w:jc w:val="left"/>
    </w:pPr>
    <w:rPr>
      <w:rFonts w:cs="Times New Roman"/>
      <w:b/>
      <w:bCs/>
      <w:szCs w:val="20"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0" w:line="240" w:lineRule="auto"/>
      <w:jc w:val="left"/>
    </w:pPr>
    <w:rPr>
      <w:rFonts w:cs="Times New Roman"/>
      <w:szCs w:val="20"/>
    </w:rPr>
  </w:style>
  <w:style w:type="paragraph" w:styleId="TOC9">
    <w:name w:val="toc 9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right" w:leader="dot" w:pos="9645"/>
      </w:tabs>
      <w:spacing w:before="120" w:line="240" w:lineRule="auto"/>
      <w:ind w:left="1920"/>
      <w:jc w:val="left"/>
    </w:pPr>
    <w:rPr>
      <w:rFonts w:cs="Times New Roman"/>
      <w:szCs w:val="20"/>
    </w:r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 w:line="240" w:lineRule="auto"/>
      <w:jc w:val="left"/>
    </w:pPr>
    <w:rPr>
      <w:rFonts w:cs="Times New Roman"/>
      <w:b/>
      <w:bCs/>
      <w:szCs w:val="20"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 w:line="240" w:lineRule="auto"/>
      <w:jc w:val="left"/>
    </w:pPr>
    <w:rPr>
      <w:rFonts w:cs="Times New Roman"/>
      <w:b/>
      <w:bCs/>
      <w:szCs w:val="20"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nnexref">
    <w:name w:val="Annex_ref"/>
    <w:basedOn w:val="Normal"/>
    <w:next w:val="Annextitle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center"/>
    </w:pPr>
    <w:rPr>
      <w:rFonts w:cs="Times New Roman"/>
      <w:sz w:val="28"/>
      <w:szCs w:val="20"/>
    </w:rPr>
  </w:style>
  <w:style w:type="paragraph" w:customStyle="1" w:styleId="Annextitle">
    <w:name w:val="Annex_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480" w:line="240" w:lineRule="auto"/>
      <w:jc w:val="center"/>
    </w:pPr>
    <w:rPr>
      <w:rFonts w:cs="Times New Roman"/>
      <w:b/>
      <w:szCs w:val="20"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60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  <w:jc w:val="center"/>
    </w:pPr>
    <w:rPr>
      <w:rFonts w:cs="Times New Roman"/>
      <w:szCs w:val="20"/>
    </w:rPr>
  </w:style>
  <w:style w:type="paragraph" w:customStyle="1" w:styleId="Figurelegend">
    <w:name w:val="Figure_legend"/>
    <w:basedOn w:val="Normal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" w:after="20" w:line="240" w:lineRule="auto"/>
      <w:jc w:val="left"/>
    </w:pPr>
    <w:rPr>
      <w:rFonts w:cs="Times New Roman"/>
      <w:sz w:val="18"/>
      <w:szCs w:val="20"/>
    </w:rPr>
  </w:style>
  <w:style w:type="paragraph" w:customStyle="1" w:styleId="TableNo">
    <w:name w:val="Table_No"/>
    <w:basedOn w:val="Normal"/>
    <w:next w:val="Tabletitle"/>
    <w:rsid w:val="00732045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0" w:after="120" w:line="240" w:lineRule="auto"/>
      <w:jc w:val="center"/>
    </w:pPr>
    <w:rPr>
      <w:rFonts w:cs="Times New Roman"/>
      <w:caps/>
      <w:szCs w:val="20"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ctitle">
    <w:name w:val="Rec_title"/>
    <w:basedOn w:val="Normal"/>
    <w:next w:val="Heading1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7" w:hanging="567"/>
      <w:jc w:val="left"/>
    </w:pPr>
    <w:rPr>
      <w:rFonts w:cs="Times New Roman"/>
      <w:szCs w:val="20"/>
    </w:rPr>
  </w:style>
  <w:style w:type="paragraph" w:customStyle="1" w:styleId="Reftitle">
    <w:name w:val="Ref_title"/>
    <w:basedOn w:val="Normal"/>
    <w:next w:val="Reftext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 w:val="28"/>
      <w:szCs w:val="20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60" w:after="60" w:line="240" w:lineRule="auto"/>
      <w:jc w:val="left"/>
    </w:pPr>
    <w:rPr>
      <w:rFonts w:cs="Times New Roman"/>
      <w:szCs w:val="20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7" w:line="240" w:lineRule="auto"/>
      <w:jc w:val="center"/>
    </w:pPr>
    <w:rPr>
      <w:rFonts w:cs="Times New Roman"/>
      <w:szCs w:val="20"/>
    </w:r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 w:line="240" w:lineRule="auto"/>
      <w:jc w:val="center"/>
    </w:pPr>
    <w:rPr>
      <w:rFonts w:cs="Times New Roman"/>
      <w:caps/>
      <w:szCs w:val="20"/>
    </w:rPr>
  </w:style>
  <w:style w:type="paragraph" w:customStyle="1" w:styleId="firstfooter0">
    <w:name w:val="firstfooter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NoTitle">
    <w:name w:val="Annex_NoTitle"/>
    <w:basedOn w:val="Normal"/>
    <w:next w:val="Normal"/>
    <w:rsid w:val="00ED4F28"/>
    <w:pPr>
      <w:keepNext/>
      <w:keepLines/>
      <w:spacing w:before="720" w:after="120"/>
      <w:jc w:val="center"/>
    </w:pPr>
    <w:rPr>
      <w:b/>
    </w:rPr>
  </w:style>
  <w:style w:type="table" w:styleId="TableGrid">
    <w:name w:val="Table Grid"/>
    <w:basedOn w:val="TableNormal"/>
    <w:uiPriority w:val="39"/>
    <w:rsid w:val="00ED4F28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10/en" TargetMode="External"/><Relationship Id="rId13" Type="http://schemas.openxmlformats.org/officeDocument/2006/relationships/hyperlink" Target="https://www.itu.int/md/S20-CL-C-0014/en" TargetMode="External"/><Relationship Id="rId18" Type="http://schemas.openxmlformats.org/officeDocument/2006/relationships/hyperlink" Target="https://www.itu.int/fr/Pages/remote-participation.asp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yworkspace/" TargetMode="External"/><Relationship Id="rId7" Type="http://schemas.openxmlformats.org/officeDocument/2006/relationships/hyperlink" Target="https://www.itu.int/md/S20-CLVC-C-0013/en" TargetMode="External"/><Relationship Id="rId12" Type="http://schemas.openxmlformats.org/officeDocument/2006/relationships/hyperlink" Target="https://www.itu.int/md/S20-CLVC-C-0010/en" TargetMode="External"/><Relationship Id="rId17" Type="http://schemas.openxmlformats.org/officeDocument/2006/relationships/hyperlink" Target="https://www.itu.int/en/general-secretariat/ICT-Services/remoteparticipation/Pages/onlinemeetingroom.aspx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itu.int/en/general-secretariat/ICT-Services/remoteparticipation/Pages/interactiverp.aspx" TargetMode="External"/><Relationship Id="rId20" Type="http://schemas.openxmlformats.org/officeDocument/2006/relationships/hyperlink" Target="https://www.itu.int/en/ITU-T/ewm/Pages/e-meetings.asp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0-CLVC-C-0013/en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tu.int/en/general-secretariat/ICT-Services/remoteparticipation/Pages/default.aspx" TargetMode="External"/><Relationship Id="rId23" Type="http://schemas.openxmlformats.org/officeDocument/2006/relationships/hyperlink" Target="https://www.itu.int/md/S20-CL-C-0014/en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itu.int/md/S20-CL-C-0053/en" TargetMode="External"/><Relationship Id="rId19" Type="http://schemas.openxmlformats.org/officeDocument/2006/relationships/hyperlink" Target="https://www.itu.int/en/ITU-T/Workshops-and-Seminars/ai4h/20190122/Pages/remot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0-CL-C-0014/en" TargetMode="External"/><Relationship Id="rId14" Type="http://schemas.openxmlformats.org/officeDocument/2006/relationships/hyperlink" Target="https://www.itu.int/md/S20-CL-C-0053/en" TargetMode="External"/><Relationship Id="rId22" Type="http://schemas.openxmlformats.org/officeDocument/2006/relationships/hyperlink" Target="https://www.itu.int/en/events/Pages/Virtual-Sessions.aspx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general-secretariat/ICT-Services/remoteparticipa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66</TotalTime>
  <Pages>3</Pages>
  <Words>835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7602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VC 2020</dc:subject>
  <dc:creator>French</dc:creator>
  <cp:keywords>VC</cp:keywords>
  <dc:description/>
  <cp:lastModifiedBy>French</cp:lastModifiedBy>
  <cp:revision>6</cp:revision>
  <cp:lastPrinted>2000-07-18T08:55:00Z</cp:lastPrinted>
  <dcterms:created xsi:type="dcterms:W3CDTF">2020-11-09T06:39:00Z</dcterms:created>
  <dcterms:modified xsi:type="dcterms:W3CDTF">2020-11-09T09:27:00Z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