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CC0FA2" w14:paraId="29812A5E" w14:textId="77777777" w:rsidTr="00FA7FCF">
        <w:trPr>
          <w:cantSplit/>
          <w:trHeight w:val="1276"/>
        </w:trPr>
        <w:tc>
          <w:tcPr>
            <w:tcW w:w="6911" w:type="dxa"/>
          </w:tcPr>
          <w:p w14:paraId="0CBD17E2" w14:textId="0241A0D8" w:rsidR="00ED4F28" w:rsidRPr="00CC0FA2" w:rsidRDefault="00245980" w:rsidP="00FA7FCF">
            <w:pPr>
              <w:spacing w:before="360" w:after="48" w:line="240" w:lineRule="auto"/>
              <w:jc w:val="left"/>
              <w:rPr>
                <w:b/>
                <w:bCs/>
                <w:position w:val="6"/>
                <w:sz w:val="26"/>
                <w:szCs w:val="26"/>
              </w:rPr>
            </w:pPr>
            <w:r>
              <w:rPr>
                <w:b/>
                <w:bCs/>
                <w:position w:val="6"/>
                <w:sz w:val="26"/>
                <w:szCs w:val="26"/>
              </w:rPr>
              <w:t>Seconde c</w:t>
            </w:r>
            <w:r w:rsidRPr="00CC0FA2">
              <w:rPr>
                <w:b/>
                <w:bCs/>
                <w:position w:val="6"/>
                <w:sz w:val="26"/>
                <w:szCs w:val="26"/>
              </w:rPr>
              <w:t xml:space="preserve">onsultation virtuelle des Conseillers </w:t>
            </w:r>
            <w:r w:rsidRPr="00CC0FA2">
              <w:rPr>
                <w:b/>
                <w:bCs/>
                <w:position w:val="6"/>
                <w:sz w:val="26"/>
                <w:szCs w:val="26"/>
              </w:rPr>
              <w:br/>
              <w:t xml:space="preserve">débutant le </w:t>
            </w:r>
            <w:r>
              <w:rPr>
                <w:b/>
                <w:bCs/>
                <w:position w:val="6"/>
                <w:sz w:val="26"/>
                <w:szCs w:val="26"/>
              </w:rPr>
              <w:t>16 novembre</w:t>
            </w:r>
            <w:r w:rsidRPr="00CC0FA2">
              <w:rPr>
                <w:b/>
                <w:bCs/>
                <w:position w:val="6"/>
                <w:sz w:val="26"/>
                <w:szCs w:val="26"/>
              </w:rPr>
              <w:t xml:space="preserve"> 2020</w:t>
            </w:r>
          </w:p>
        </w:tc>
        <w:tc>
          <w:tcPr>
            <w:tcW w:w="3120" w:type="dxa"/>
            <w:vAlign w:val="center"/>
          </w:tcPr>
          <w:p w14:paraId="4D49F678" w14:textId="77777777" w:rsidR="00ED4F28" w:rsidRPr="00CC0FA2" w:rsidRDefault="00ED4F28" w:rsidP="00FA7FCF">
            <w:pPr>
              <w:spacing w:before="0" w:line="240" w:lineRule="auto"/>
            </w:pPr>
            <w:bookmarkStart w:id="0" w:name="ditulogo"/>
            <w:bookmarkEnd w:id="0"/>
            <w:r w:rsidRPr="00CC0FA2">
              <w:rPr>
                <w:noProof/>
                <w:lang w:val="en-US"/>
              </w:rPr>
              <w:drawing>
                <wp:inline distT="0" distB="0" distL="0" distR="0" wp14:anchorId="44A894E0" wp14:editId="12642F11">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CC0FA2" w14:paraId="1F4D0C3C" w14:textId="77777777" w:rsidTr="00FA7FCF">
        <w:trPr>
          <w:cantSplit/>
        </w:trPr>
        <w:tc>
          <w:tcPr>
            <w:tcW w:w="6911" w:type="dxa"/>
            <w:tcBorders>
              <w:bottom w:val="single" w:sz="12" w:space="0" w:color="auto"/>
            </w:tcBorders>
          </w:tcPr>
          <w:p w14:paraId="5B432AA5" w14:textId="77777777" w:rsidR="00ED4F28" w:rsidRPr="00CC0FA2" w:rsidRDefault="00ED4F28" w:rsidP="00FA7FCF">
            <w:pPr>
              <w:spacing w:before="0" w:after="48" w:line="240" w:lineRule="auto"/>
              <w:rPr>
                <w:b/>
                <w:smallCaps/>
                <w:szCs w:val="24"/>
              </w:rPr>
            </w:pPr>
          </w:p>
        </w:tc>
        <w:tc>
          <w:tcPr>
            <w:tcW w:w="3120" w:type="dxa"/>
            <w:tcBorders>
              <w:bottom w:val="single" w:sz="12" w:space="0" w:color="auto"/>
            </w:tcBorders>
          </w:tcPr>
          <w:p w14:paraId="3AC7D542" w14:textId="77777777" w:rsidR="00ED4F28" w:rsidRPr="00CC0FA2" w:rsidRDefault="00ED4F28" w:rsidP="00FA7FCF">
            <w:pPr>
              <w:spacing w:before="0" w:line="240" w:lineRule="auto"/>
              <w:rPr>
                <w:szCs w:val="24"/>
              </w:rPr>
            </w:pPr>
          </w:p>
        </w:tc>
      </w:tr>
      <w:tr w:rsidR="00ED4F28" w:rsidRPr="00ED4F28" w14:paraId="5A6027B2" w14:textId="77777777" w:rsidTr="00FA7FCF">
        <w:trPr>
          <w:cantSplit/>
        </w:trPr>
        <w:tc>
          <w:tcPr>
            <w:tcW w:w="6911" w:type="dxa"/>
            <w:tcBorders>
              <w:top w:val="single" w:sz="12" w:space="0" w:color="auto"/>
            </w:tcBorders>
          </w:tcPr>
          <w:p w14:paraId="69DB29AB" w14:textId="77777777" w:rsidR="00ED4F28" w:rsidRPr="00CC0FA2" w:rsidRDefault="00ED4F28" w:rsidP="00FA7FCF">
            <w:pPr>
              <w:spacing w:before="0" w:after="48" w:line="240" w:lineRule="auto"/>
              <w:rPr>
                <w:b/>
                <w:smallCaps/>
                <w:szCs w:val="24"/>
              </w:rPr>
            </w:pPr>
          </w:p>
        </w:tc>
        <w:tc>
          <w:tcPr>
            <w:tcW w:w="3120" w:type="dxa"/>
            <w:tcBorders>
              <w:top w:val="single" w:sz="12" w:space="0" w:color="auto"/>
            </w:tcBorders>
          </w:tcPr>
          <w:p w14:paraId="4F3C2820" w14:textId="6349B21A" w:rsidR="00245980" w:rsidRPr="00ED4F28" w:rsidRDefault="00245980" w:rsidP="00245980">
            <w:pPr>
              <w:spacing w:before="240" w:line="240" w:lineRule="atLeast"/>
              <w:rPr>
                <w:b/>
                <w:bCs/>
                <w:szCs w:val="24"/>
                <w:lang w:val="fr-CH"/>
              </w:rPr>
            </w:pPr>
            <w:r>
              <w:rPr>
                <w:b/>
                <w:bCs/>
              </w:rPr>
              <w:t>Corrigendum 1 au</w:t>
            </w:r>
            <w:r>
              <w:rPr>
                <w:b/>
                <w:bCs/>
              </w:rPr>
              <w:br/>
              <w:t>Document VC-2/4-F</w:t>
            </w:r>
          </w:p>
          <w:p w14:paraId="51DC2DC3" w14:textId="2E9A3701" w:rsidR="00245980" w:rsidRPr="00ED4F28" w:rsidRDefault="00245980" w:rsidP="00245980">
            <w:pPr>
              <w:spacing w:before="0" w:line="240" w:lineRule="atLeast"/>
              <w:rPr>
                <w:b/>
                <w:bCs/>
                <w:szCs w:val="24"/>
                <w:lang w:val="fr-CH"/>
              </w:rPr>
            </w:pPr>
            <w:r>
              <w:rPr>
                <w:b/>
                <w:bCs/>
              </w:rPr>
              <w:t>11 novembre 2020</w:t>
            </w:r>
          </w:p>
          <w:p w14:paraId="247FEAD1" w14:textId="06D47F64" w:rsidR="00ED4F28" w:rsidRPr="00ED4F28" w:rsidRDefault="00245980" w:rsidP="00245980">
            <w:pPr>
              <w:spacing w:before="0" w:line="240" w:lineRule="auto"/>
              <w:rPr>
                <w:szCs w:val="24"/>
                <w:lang w:val="en-GB"/>
              </w:rPr>
            </w:pPr>
            <w:r>
              <w:rPr>
                <w:b/>
                <w:bCs/>
              </w:rPr>
              <w:t>Original: russe</w:t>
            </w:r>
          </w:p>
        </w:tc>
      </w:tr>
    </w:tbl>
    <w:p w14:paraId="35DFB45A" w14:textId="77777777" w:rsidR="00ED4F28" w:rsidRPr="00CC0FA2" w:rsidRDefault="00ED4F28" w:rsidP="00ED4F28">
      <w:pPr>
        <w:spacing w:before="0" w:line="240" w:lineRule="auto"/>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ED4F28" w:rsidRPr="00CC0FA2" w14:paraId="7CDF62D2" w14:textId="77777777" w:rsidTr="00FA7FCF">
        <w:trPr>
          <w:cantSplit/>
        </w:trPr>
        <w:tc>
          <w:tcPr>
            <w:tcW w:w="2835" w:type="dxa"/>
            <w:tcBorders>
              <w:right w:val="single" w:sz="12" w:space="0" w:color="auto"/>
            </w:tcBorders>
            <w:vAlign w:val="center"/>
          </w:tcPr>
          <w:p w14:paraId="6216AE9E" w14:textId="77777777" w:rsidR="00ED4F28" w:rsidRPr="00CC0FA2" w:rsidRDefault="00ED4F28" w:rsidP="00FA7FCF">
            <w:pPr>
              <w:spacing w:before="0" w:line="240" w:lineRule="auto"/>
              <w:jc w:val="left"/>
              <w:rPr>
                <w:b/>
                <w:bCs/>
              </w:rPr>
            </w:pPr>
            <w:bookmarkStart w:id="2" w:name="dsource" w:colFirst="0" w:colLast="0"/>
            <w:bookmarkEnd w:id="1"/>
            <w:r w:rsidRPr="00CC0FA2">
              <w:rPr>
                <w:b/>
                <w:bCs/>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1B35E002" w14:textId="70E6497A" w:rsidR="00ED4F28" w:rsidRPr="00B27B09" w:rsidRDefault="00245980" w:rsidP="00245980">
            <w:pPr>
              <w:spacing w:before="0" w:line="240" w:lineRule="auto"/>
              <w:jc w:val="left"/>
              <w:rPr>
                <w:b/>
                <w:bCs/>
              </w:rPr>
            </w:pPr>
            <w:r w:rsidRPr="00245980">
              <w:rPr>
                <w:b/>
                <w:bCs/>
              </w:rPr>
              <w:t>République d'Azerbaïdjan, République du Bélarus, Fédération de Russie</w:t>
            </w:r>
            <w:r>
              <w:rPr>
                <w:b/>
                <w:bCs/>
              </w:rPr>
              <w:t xml:space="preserve">, </w:t>
            </w:r>
            <w:r w:rsidRPr="00245980">
              <w:rPr>
                <w:b/>
                <w:bCs/>
              </w:rPr>
              <w:t>République d'Ouzbékistan</w:t>
            </w:r>
          </w:p>
        </w:tc>
      </w:tr>
      <w:tr w:rsidR="00ED4F28" w:rsidRPr="00CC0FA2" w14:paraId="78009395" w14:textId="77777777" w:rsidTr="00FA7FCF">
        <w:trPr>
          <w:cantSplit/>
        </w:trPr>
        <w:tc>
          <w:tcPr>
            <w:tcW w:w="2835" w:type="dxa"/>
          </w:tcPr>
          <w:p w14:paraId="20DF180A" w14:textId="77777777" w:rsidR="00ED4F28" w:rsidRPr="00CC0FA2" w:rsidRDefault="00ED4F28" w:rsidP="00FA7FCF">
            <w:pPr>
              <w:spacing w:before="0" w:line="240" w:lineRule="auto"/>
              <w:rPr>
                <w:sz w:val="16"/>
                <w:szCs w:val="16"/>
              </w:rPr>
            </w:pPr>
          </w:p>
        </w:tc>
        <w:tc>
          <w:tcPr>
            <w:tcW w:w="7258" w:type="dxa"/>
            <w:tcBorders>
              <w:top w:val="single" w:sz="12" w:space="0" w:color="auto"/>
              <w:bottom w:val="single" w:sz="12" w:space="0" w:color="auto"/>
            </w:tcBorders>
          </w:tcPr>
          <w:p w14:paraId="29A9F3F4" w14:textId="77777777" w:rsidR="00ED4F28" w:rsidRPr="00CC0FA2" w:rsidRDefault="00ED4F28" w:rsidP="00FA7FCF">
            <w:pPr>
              <w:spacing w:before="0" w:line="240" w:lineRule="auto"/>
              <w:rPr>
                <w:sz w:val="16"/>
                <w:szCs w:val="16"/>
              </w:rPr>
            </w:pPr>
          </w:p>
        </w:tc>
      </w:tr>
      <w:tr w:rsidR="00ED4F28" w:rsidRPr="00CC0FA2" w14:paraId="214BA9F9" w14:textId="77777777" w:rsidTr="00FA7FCF">
        <w:trPr>
          <w:cantSplit/>
        </w:trPr>
        <w:tc>
          <w:tcPr>
            <w:tcW w:w="2835" w:type="dxa"/>
            <w:tcBorders>
              <w:right w:val="single" w:sz="12" w:space="0" w:color="auto"/>
            </w:tcBorders>
          </w:tcPr>
          <w:p w14:paraId="492AA0F5" w14:textId="77777777" w:rsidR="00ED4F28" w:rsidRPr="00CC0FA2" w:rsidRDefault="00ED4F28" w:rsidP="00FA7FCF">
            <w:pPr>
              <w:spacing w:after="120" w:line="240" w:lineRule="auto"/>
              <w:rPr>
                <w:b/>
                <w:bCs/>
              </w:rPr>
            </w:pPr>
            <w:r w:rsidRPr="00CC0FA2">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036DAB27" w14:textId="3C59FB89" w:rsidR="00ED4F28" w:rsidRPr="00B27B09" w:rsidRDefault="00245980" w:rsidP="00FA7FCF">
            <w:pPr>
              <w:spacing w:after="120" w:line="240" w:lineRule="auto"/>
              <w:rPr>
                <w:b/>
                <w:bCs/>
              </w:rPr>
            </w:pPr>
            <w:r w:rsidRPr="00245980">
              <w:rPr>
                <w:b/>
                <w:bCs/>
              </w:rPr>
              <w:t>Format et dates de l'AMNT-21</w:t>
            </w:r>
          </w:p>
        </w:tc>
      </w:tr>
      <w:tr w:rsidR="00ED4F28" w:rsidRPr="00CC0FA2" w14:paraId="5E48A6FF" w14:textId="77777777" w:rsidTr="00FA7FCF">
        <w:trPr>
          <w:cantSplit/>
          <w:trHeight w:val="269"/>
        </w:trPr>
        <w:tc>
          <w:tcPr>
            <w:tcW w:w="2835" w:type="dxa"/>
          </w:tcPr>
          <w:p w14:paraId="6EC46EC6" w14:textId="77777777" w:rsidR="00ED4F28" w:rsidRPr="00CC0FA2"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00DAA06A" w14:textId="77777777" w:rsidR="00ED4F28" w:rsidRPr="00CC0FA2" w:rsidRDefault="00ED4F28" w:rsidP="00FA7FCF">
            <w:pPr>
              <w:spacing w:before="0" w:line="240" w:lineRule="auto"/>
              <w:rPr>
                <w:sz w:val="16"/>
                <w:szCs w:val="16"/>
              </w:rPr>
            </w:pPr>
          </w:p>
        </w:tc>
      </w:tr>
      <w:tr w:rsidR="00ED4F28" w:rsidRPr="00CC0FA2" w14:paraId="3892CD2F" w14:textId="77777777" w:rsidTr="00FA7FCF">
        <w:trPr>
          <w:cantSplit/>
          <w:trHeight w:val="668"/>
        </w:trPr>
        <w:tc>
          <w:tcPr>
            <w:tcW w:w="2835" w:type="dxa"/>
            <w:tcBorders>
              <w:right w:val="single" w:sz="2" w:space="0" w:color="auto"/>
            </w:tcBorders>
            <w:vAlign w:val="center"/>
          </w:tcPr>
          <w:p w14:paraId="243B7016" w14:textId="77777777" w:rsidR="00ED4F28" w:rsidRPr="00CC0FA2" w:rsidRDefault="00ED4F28" w:rsidP="00FA7FCF">
            <w:pPr>
              <w:spacing w:before="0" w:line="240" w:lineRule="auto"/>
              <w:jc w:val="left"/>
              <w:rPr>
                <w:b/>
                <w:bCs/>
              </w:rPr>
            </w:pPr>
            <w:r w:rsidRPr="00CC0FA2">
              <w:rPr>
                <w:b/>
                <w:bCs/>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1747CD11" w14:textId="149C79F9" w:rsidR="00ED4F28" w:rsidRPr="00CC0FA2" w:rsidRDefault="00245980" w:rsidP="00245980">
            <w:pPr>
              <w:spacing w:before="240" w:after="120" w:line="240" w:lineRule="auto"/>
              <w:rPr>
                <w:b/>
                <w:bCs/>
              </w:rPr>
            </w:pPr>
            <w:r w:rsidRPr="00245980">
              <w:rPr>
                <w:b/>
                <w:bCs/>
              </w:rPr>
              <w:t>Point 14 figurant dans le premier groupe de points du projet d'ordre du jour de la seconde consultation virtuelle des Conseillers (PL2.8)</w:t>
            </w:r>
            <w:r>
              <w:rPr>
                <w:b/>
                <w:bCs/>
              </w:rPr>
              <w:br/>
            </w:r>
            <w:r w:rsidRPr="00245980">
              <w:rPr>
                <w:b/>
                <w:bCs/>
              </w:rPr>
              <w:t xml:space="preserve">Document </w:t>
            </w:r>
            <w:hyperlink r:id="rId7" w:history="1">
              <w:r w:rsidRPr="00245980">
                <w:rPr>
                  <w:rStyle w:val="Hyperlink"/>
                  <w:b/>
                  <w:bCs/>
                </w:rPr>
                <w:t>C20/72</w:t>
              </w:r>
            </w:hyperlink>
            <w:r w:rsidRPr="00245980">
              <w:rPr>
                <w:b/>
                <w:bCs/>
              </w:rPr>
              <w:t xml:space="preserve"> (Travaux préparatoires en vue de l'AMNT-21)</w:t>
            </w:r>
          </w:p>
        </w:tc>
      </w:tr>
      <w:tr w:rsidR="00ED4F28" w:rsidRPr="00CC0FA2" w14:paraId="1EA0267F" w14:textId="77777777" w:rsidTr="00FA7FCF">
        <w:trPr>
          <w:cantSplit/>
          <w:trHeight w:val="156"/>
        </w:trPr>
        <w:tc>
          <w:tcPr>
            <w:tcW w:w="2835" w:type="dxa"/>
          </w:tcPr>
          <w:p w14:paraId="72D64CE7" w14:textId="77777777" w:rsidR="00ED4F28" w:rsidRPr="00CC0FA2"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2251290A" w14:textId="77777777" w:rsidR="00ED4F28" w:rsidRPr="00CC0FA2" w:rsidRDefault="00ED4F28" w:rsidP="00FA7FCF">
            <w:pPr>
              <w:spacing w:before="0" w:line="240" w:lineRule="auto"/>
              <w:rPr>
                <w:sz w:val="16"/>
                <w:szCs w:val="16"/>
              </w:rPr>
            </w:pPr>
          </w:p>
        </w:tc>
      </w:tr>
    </w:tbl>
    <w:p w14:paraId="00F1A304" w14:textId="77777777" w:rsidR="00ED4F28" w:rsidRPr="00CC0FA2" w:rsidRDefault="00ED4F28" w:rsidP="00ED4F28">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ED4F28" w:rsidRPr="00CC0FA2" w14:paraId="3D1753AA"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4AF968D1" w14:textId="77777777" w:rsidR="00245980" w:rsidRPr="002D2915" w:rsidRDefault="00245980" w:rsidP="00245980">
            <w:pPr>
              <w:pStyle w:val="Headingb"/>
            </w:pPr>
            <w:r w:rsidRPr="002D2915">
              <w:t>Introduction</w:t>
            </w:r>
          </w:p>
          <w:p w14:paraId="5D36FFC0" w14:textId="77777777" w:rsidR="00245980" w:rsidRPr="002D2915" w:rsidRDefault="00245980" w:rsidP="00245980">
            <w:pPr>
              <w:spacing w:before="120"/>
              <w:jc w:val="left"/>
            </w:pPr>
            <w:r w:rsidRPr="002D2915">
              <w:t>En raison des restrictions de travail et de voyage liées à la pandémie de COVID-19, l'Administration indienne a proposé de reporter la prochaine AMNT pour qu'</w:t>
            </w:r>
            <w:r>
              <w:t>elle se tienne du 23 février au </w:t>
            </w:r>
            <w:r w:rsidRPr="002D2915">
              <w:t xml:space="preserve">5 mars 2021, après le Colloque mondial sur la normalisation le 22 février 2021, et sous réserve du rétablissement de conditions de travail et de voyage normales en Inde et dans les autres États Membres de l'UIT. Cette proposition a été appuyée dans le cadre des consultations menées auprès des États Membres. Toutefois, la situation liée à la pandémie exclut tout retour à des conditions de travail et de voyage normales en Inde et dans les autres États Membres, dans les délais prévus. </w:t>
            </w:r>
          </w:p>
          <w:p w14:paraId="21FE632F" w14:textId="77777777" w:rsidR="00245980" w:rsidRPr="002D2915" w:rsidRDefault="00245980" w:rsidP="00245980">
            <w:pPr>
              <w:spacing w:before="120"/>
              <w:jc w:val="left"/>
            </w:pPr>
            <w:r w:rsidRPr="002D2915">
              <w:t xml:space="preserve">L'expérience tirée de nombreuses réunions virtuelles qui se sont tenues montre qu'il n'est pas possible de garantir que tous les membres de l'Union participent pleinement aux discussions et, en particulier, à la prise de décisions concernant les ressources financières et les ressources humaines de l'Union. Aucune des plates-formes disponibles pour les réunions virtuelles ne peut exclure le risque d'une perte de connexion, pour une raison ou pour une autre. </w:t>
            </w:r>
          </w:p>
          <w:p w14:paraId="372FD445" w14:textId="77777777" w:rsidR="00245980" w:rsidRPr="002D2915" w:rsidRDefault="00245980" w:rsidP="00245980">
            <w:pPr>
              <w:jc w:val="left"/>
            </w:pPr>
            <w:r w:rsidRPr="002D2915">
              <w:t xml:space="preserve">Un facteur important est l'absence de toute possibilité concrète de mener des consultations informelles en vue de dégager des solutions de compromis sur des questions essentielles, sans compter les décalages horaires considérables. </w:t>
            </w:r>
          </w:p>
          <w:p w14:paraId="3AE9F98C" w14:textId="277E2530" w:rsidR="00ED4F28" w:rsidRPr="00245980" w:rsidRDefault="00245980" w:rsidP="00245980">
            <w:pPr>
              <w:spacing w:after="120"/>
            </w:pPr>
            <w:r w:rsidRPr="002D2915">
              <w:t>En outre, les réunions virtuelles réduisent au moins de moitié le temps de réunion disponible, d'où la nécessité de prolonger la durée des réunions ou de raccourcir l'ordre du jour.</w:t>
            </w:r>
          </w:p>
        </w:tc>
      </w:tr>
    </w:tbl>
    <w:p w14:paraId="50E67481" w14:textId="63F68C5D" w:rsidR="00245980" w:rsidRDefault="00245980">
      <w:pPr>
        <w:tabs>
          <w:tab w:val="clear" w:pos="794"/>
          <w:tab w:val="clear" w:pos="1191"/>
          <w:tab w:val="clear" w:pos="1588"/>
          <w:tab w:val="clear" w:pos="1985"/>
        </w:tabs>
        <w:overflowPunct/>
        <w:autoSpaceDE/>
        <w:autoSpaceDN/>
        <w:adjustRightInd/>
        <w:spacing w:before="0" w:line="240" w:lineRule="auto"/>
        <w:jc w:val="left"/>
        <w:textAlignment w:val="auto"/>
      </w:pPr>
      <w:r>
        <w:br w:type="page"/>
      </w:r>
    </w:p>
    <w:tbl>
      <w:tblPr>
        <w:tblW w:w="10093" w:type="dxa"/>
        <w:tblInd w:w="-15" w:type="dxa"/>
        <w:tblLayout w:type="fixed"/>
        <w:tblLook w:val="0000" w:firstRow="0" w:lastRow="0" w:firstColumn="0" w:lastColumn="0" w:noHBand="0" w:noVBand="0"/>
      </w:tblPr>
      <w:tblGrid>
        <w:gridCol w:w="10093"/>
      </w:tblGrid>
      <w:tr w:rsidR="00245980" w:rsidRPr="00CC0FA2" w14:paraId="1350A3B8"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5BAB64D5" w14:textId="77777777" w:rsidR="00245980" w:rsidRPr="002D2915" w:rsidRDefault="00245980" w:rsidP="00245980">
            <w:pPr>
              <w:jc w:val="left"/>
            </w:pPr>
            <w:r w:rsidRPr="002D2915">
              <w:lastRenderedPageBreak/>
              <w:t>Les réunions virtuelles, en particulier si elles se tiennent sur plusieurs jours, peuvent être organisées pour des manifestations telles que le Forum du Sommet mondial sur la société de l'information, le Forum sur la gouvernance de l'Internet, la Journée mondiale des télécommunications et de la société de l'information, le Colloque mondial des régulateurs et d'autres forums dont le principal objectif est d'échanger des informations et des bonnes pratiques, ou d'élaborer des recommandations non contraignantes.</w:t>
            </w:r>
          </w:p>
          <w:p w14:paraId="59481E76" w14:textId="77777777" w:rsidR="00245980" w:rsidRPr="002D2915" w:rsidRDefault="00245980" w:rsidP="00245980">
            <w:pPr>
              <w:jc w:val="left"/>
            </w:pPr>
            <w:r w:rsidRPr="002D2915">
              <w:t xml:space="preserve">Les réunions mixtes peuvent engendrer des situations d'inégalité pour les États Membres qui ne sont pas ou sont peu représentés et qui ne disposent pas du personnel technique nécessaire sur le lieu de la conférence ou de l'assemblée. </w:t>
            </w:r>
          </w:p>
          <w:p w14:paraId="3EC581F7" w14:textId="77777777" w:rsidR="00245980" w:rsidRPr="002D2915" w:rsidRDefault="00245980" w:rsidP="00245980">
            <w:pPr>
              <w:jc w:val="left"/>
            </w:pPr>
            <w:r w:rsidRPr="002D2915">
              <w:t xml:space="preserve">Compte tenu de ce qui précède, nous considérons qu'il n'est pas possible d'organiser l'AMNT-20 dans un format virtuel ou mixte et qu'il convient de reporter l'Assemblée jusqu'à ce que la pandémie soit endiguée, en particulier dans l'attente d'un vaccin qui aura fait ses preuves. </w:t>
            </w:r>
          </w:p>
          <w:p w14:paraId="3A17A631" w14:textId="77777777" w:rsidR="00245980" w:rsidRPr="002D2915" w:rsidRDefault="00245980" w:rsidP="00245980">
            <w:pPr>
              <w:jc w:val="left"/>
            </w:pPr>
            <w:r w:rsidRPr="002D2915">
              <w:t>Les commissions d'études et les autres groupes devraient poursuivre leurs travaux selon les modalités prescrites.</w:t>
            </w:r>
          </w:p>
          <w:p w14:paraId="384F67E3" w14:textId="77777777" w:rsidR="00245980" w:rsidRPr="002D2915" w:rsidRDefault="00245980" w:rsidP="00245980">
            <w:pPr>
              <w:pStyle w:val="Headingb"/>
            </w:pPr>
            <w:r w:rsidRPr="002D2915">
              <w:t>Marche à suivre proposée</w:t>
            </w:r>
          </w:p>
          <w:p w14:paraId="5951513F" w14:textId="77777777" w:rsidR="00245980" w:rsidRPr="002D2915" w:rsidRDefault="00245980" w:rsidP="00245980">
            <w:pPr>
              <w:jc w:val="left"/>
            </w:pPr>
            <w:r w:rsidRPr="002D2915">
              <w:t xml:space="preserve">Organiser des réunions virtuelles ou mixtes uniquement pour des manifestations qui n'appellent pas de décision concernant les ressources financières et les ressources humaines. </w:t>
            </w:r>
          </w:p>
          <w:p w14:paraId="1FA6B94D" w14:textId="77777777" w:rsidR="00245980" w:rsidRPr="002D2915" w:rsidRDefault="00245980" w:rsidP="00245980">
            <w:pPr>
              <w:jc w:val="left"/>
            </w:pPr>
            <w:r w:rsidRPr="002D2915">
              <w:t>Reporter l'AMNT-20 au second semestre de 2021, lorsque la participation en présentiel sera possible.</w:t>
            </w:r>
          </w:p>
          <w:p w14:paraId="16B0AFB0" w14:textId="2470213D" w:rsidR="00245980" w:rsidRPr="00245980" w:rsidRDefault="00245980" w:rsidP="00245980">
            <w:pPr>
              <w:spacing w:after="120"/>
            </w:pPr>
            <w:r w:rsidRPr="002D2915">
              <w:t>Poursuivre les travaux des commissions d'études et des autres groupes selon les modalités prescrites.</w:t>
            </w:r>
          </w:p>
        </w:tc>
      </w:tr>
      <w:bookmarkEnd w:id="2"/>
    </w:tbl>
    <w:p w14:paraId="7CB7DCA6" w14:textId="77777777" w:rsidR="00245980" w:rsidRDefault="00245980" w:rsidP="0032202E">
      <w:pPr>
        <w:pStyle w:val="Reasons"/>
      </w:pPr>
    </w:p>
    <w:p w14:paraId="3498D50D" w14:textId="77777777" w:rsidR="00245980" w:rsidRDefault="00245980">
      <w:pPr>
        <w:jc w:val="center"/>
      </w:pPr>
      <w:r>
        <w:t>______________</w:t>
      </w:r>
    </w:p>
    <w:p w14:paraId="607009CC" w14:textId="77777777" w:rsidR="009C353C" w:rsidRPr="00ED4F28" w:rsidRDefault="009C353C" w:rsidP="00B27B09"/>
    <w:sectPr w:rsidR="009C353C" w:rsidRPr="00ED4F28"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4B42E" w14:textId="77777777" w:rsidR="00C568CF" w:rsidRDefault="00C568CF">
      <w:r>
        <w:separator/>
      </w:r>
    </w:p>
  </w:endnote>
  <w:endnote w:type="continuationSeparator" w:id="0">
    <w:p w14:paraId="6C94629E" w14:textId="77777777" w:rsidR="00C568CF" w:rsidRDefault="00C5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7BCF" w14:textId="07526DF7" w:rsidR="00732045" w:rsidRDefault="004C2D63">
    <w:pPr>
      <w:pStyle w:val="Footer"/>
    </w:pPr>
    <w:r>
      <w:fldChar w:fldCharType="begin"/>
    </w:r>
    <w:r>
      <w:instrText xml:space="preserve"> FILENAME \p \* MERGEFORMAT </w:instrText>
    </w:r>
    <w:r>
      <w:fldChar w:fldCharType="separate"/>
    </w:r>
    <w:r w:rsidR="00C568CF">
      <w:t>Document1</w:t>
    </w:r>
    <w:r>
      <w:fldChar w:fldCharType="end"/>
    </w:r>
    <w:r w:rsidR="00732045">
      <w:tab/>
    </w:r>
    <w:r w:rsidR="002F1B76">
      <w:fldChar w:fldCharType="begin"/>
    </w:r>
    <w:r w:rsidR="00732045">
      <w:instrText xml:space="preserve"> savedate \@ dd.MM.yy </w:instrText>
    </w:r>
    <w:r w:rsidR="002F1B76">
      <w:fldChar w:fldCharType="separate"/>
    </w:r>
    <w:r>
      <w:t>13.11.20</w:t>
    </w:r>
    <w:r w:rsidR="002F1B76">
      <w:fldChar w:fldCharType="end"/>
    </w:r>
    <w:r w:rsidR="00732045">
      <w:tab/>
    </w:r>
    <w:r w:rsidR="002F1B76">
      <w:fldChar w:fldCharType="begin"/>
    </w:r>
    <w:r w:rsidR="00732045">
      <w:instrText xml:space="preserve"> printdate \@ dd.MM.yy </w:instrText>
    </w:r>
    <w:r w:rsidR="002F1B76">
      <w:fldChar w:fldCharType="separate"/>
    </w:r>
    <w:r w:rsidR="00C568C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C013A" w14:textId="498601E8" w:rsidR="00732045" w:rsidRDefault="004C2D63">
    <w:pPr>
      <w:pStyle w:val="Footer"/>
    </w:pPr>
    <w:r>
      <w:fldChar w:fldCharType="begin"/>
    </w:r>
    <w:r>
      <w:instrText xml:space="preserve"> FILENAME \p \* MERGEFORMAT </w:instrText>
    </w:r>
    <w:r>
      <w:fldChar w:fldCharType="separate"/>
    </w:r>
    <w:r w:rsidR="00245980">
      <w:t>P:\FRA\SG\CONSEIL\VC-2\000\004COR1F.docx</w:t>
    </w:r>
    <w:r>
      <w:fldChar w:fldCharType="end"/>
    </w:r>
    <w:r w:rsidR="00245980">
      <w:t xml:space="preserve"> (480261)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F8B53"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56647" w14:textId="77777777" w:rsidR="00C568CF" w:rsidRDefault="00C568CF">
      <w:r>
        <w:t>____________________</w:t>
      </w:r>
    </w:p>
  </w:footnote>
  <w:footnote w:type="continuationSeparator" w:id="0">
    <w:p w14:paraId="103C4CDE" w14:textId="77777777" w:rsidR="00C568CF" w:rsidRDefault="00C56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36E5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41DC8B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12E46"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3868E243" w14:textId="56336168" w:rsidR="00732045" w:rsidRDefault="00ED4F28" w:rsidP="00106B19">
    <w:pPr>
      <w:pStyle w:val="Header"/>
    </w:pPr>
    <w:r>
      <w:t>VC</w:t>
    </w:r>
    <w:r w:rsidR="004C2D63">
      <w:t>-2</w:t>
    </w:r>
    <w:r w:rsidR="00732045">
      <w:t>/</w:t>
    </w:r>
    <w:r w:rsidR="00245980">
      <w:t>4(Cor.1)</w:t>
    </w:r>
    <w:r w:rsidR="00732045">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28"/>
    <w:rsid w:val="000D0D0A"/>
    <w:rsid w:val="00103163"/>
    <w:rsid w:val="00106B19"/>
    <w:rsid w:val="00115D93"/>
    <w:rsid w:val="001247A8"/>
    <w:rsid w:val="001378C0"/>
    <w:rsid w:val="0018694A"/>
    <w:rsid w:val="001A3287"/>
    <w:rsid w:val="001A6508"/>
    <w:rsid w:val="001D4C31"/>
    <w:rsid w:val="001E4D21"/>
    <w:rsid w:val="00207CD1"/>
    <w:rsid w:val="00245980"/>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2D6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9C353C"/>
    <w:rsid w:val="00A2113E"/>
    <w:rsid w:val="00A23A51"/>
    <w:rsid w:val="00A24607"/>
    <w:rsid w:val="00A25CD3"/>
    <w:rsid w:val="00A82767"/>
    <w:rsid w:val="00AA332F"/>
    <w:rsid w:val="00AA7BBB"/>
    <w:rsid w:val="00AB64A8"/>
    <w:rsid w:val="00AC0266"/>
    <w:rsid w:val="00AD24EC"/>
    <w:rsid w:val="00AF7EC7"/>
    <w:rsid w:val="00B27B09"/>
    <w:rsid w:val="00B309F9"/>
    <w:rsid w:val="00B32B60"/>
    <w:rsid w:val="00B61619"/>
    <w:rsid w:val="00BB4545"/>
    <w:rsid w:val="00BD5873"/>
    <w:rsid w:val="00C04BE3"/>
    <w:rsid w:val="00C25D29"/>
    <w:rsid w:val="00C27A7C"/>
    <w:rsid w:val="00C568CF"/>
    <w:rsid w:val="00CA08ED"/>
    <w:rsid w:val="00CF183B"/>
    <w:rsid w:val="00D375CD"/>
    <w:rsid w:val="00D553A2"/>
    <w:rsid w:val="00D774D3"/>
    <w:rsid w:val="00D904E8"/>
    <w:rsid w:val="00DA08C3"/>
    <w:rsid w:val="00DB5A3E"/>
    <w:rsid w:val="00DC22AA"/>
    <w:rsid w:val="00DF74DD"/>
    <w:rsid w:val="00E25AD0"/>
    <w:rsid w:val="00EB6350"/>
    <w:rsid w:val="00ED4F2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BB63B4"/>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5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20-CL-C-0072/en"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18</TotalTime>
  <Pages>2</Pages>
  <Words>561</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3834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French</dc:creator>
  <cp:keywords>VC</cp:keywords>
  <dc:description/>
  <cp:lastModifiedBy>French</cp:lastModifiedBy>
  <cp:revision>3</cp:revision>
  <cp:lastPrinted>2000-07-18T08:55:00Z</cp:lastPrinted>
  <dcterms:created xsi:type="dcterms:W3CDTF">2020-11-13T13:28:00Z</dcterms:created>
  <dcterms:modified xsi:type="dcterms:W3CDTF">2020-11-13T14:38:00Z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