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F7E27" w14:paraId="342530FE" w14:textId="77777777">
        <w:trPr>
          <w:cantSplit/>
        </w:trPr>
        <w:tc>
          <w:tcPr>
            <w:tcW w:w="6911" w:type="dxa"/>
          </w:tcPr>
          <w:p w14:paraId="613CC298" w14:textId="11C91927" w:rsidR="000F7E27" w:rsidRPr="00DF23FC" w:rsidRDefault="000F7E27" w:rsidP="000F7E27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0B58B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理事磋商会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第二次</w:t>
            </w:r>
            <w:r w:rsidRPr="000B58B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虚拟会议</w:t>
            </w:r>
            <w:bookmarkStart w:id="0" w:name="lt_pId447"/>
            <w:r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11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16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</w:tcPr>
          <w:p w14:paraId="730223D2" w14:textId="77777777" w:rsidR="000F7E27" w:rsidRDefault="000F7E27" w:rsidP="000F7E27">
            <w:pPr>
              <w:spacing w:before="0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743F0D8" wp14:editId="347B76E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518470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543F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9C027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486518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68EA2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6EB862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4EF146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FF3375B" w14:textId="2F7F26EF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09F93A0" w14:textId="2580A92B" w:rsidR="00700D1F" w:rsidRPr="00700D1F" w:rsidRDefault="000F7E27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0F7E27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0F7E27">
              <w:rPr>
                <w:b/>
                <w:bCs/>
                <w:szCs w:val="24"/>
                <w:lang w:eastAsia="zh-CN"/>
              </w:rPr>
              <w:t xml:space="preserve"> VC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 w:rsidRPr="000F7E27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b/>
                <w:bCs/>
                <w:szCs w:val="24"/>
                <w:lang w:eastAsia="zh-CN"/>
              </w:rPr>
              <w:t>3</w:t>
            </w:r>
            <w:r w:rsidRPr="000F7E27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6FFA0226" w14:textId="77777777">
        <w:trPr>
          <w:cantSplit/>
          <w:trHeight w:val="23"/>
        </w:trPr>
        <w:tc>
          <w:tcPr>
            <w:tcW w:w="6911" w:type="dxa"/>
            <w:vMerge/>
          </w:tcPr>
          <w:p w14:paraId="72ED8A01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DD42E1E" w14:textId="53DB92BD" w:rsidR="00700D1F" w:rsidRPr="00FC5386" w:rsidRDefault="000F7E27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0F7E27">
              <w:rPr>
                <w:b/>
                <w:bCs/>
                <w:szCs w:val="24"/>
                <w:lang w:eastAsia="zh-CN"/>
              </w:rPr>
              <w:t>2020</w:t>
            </w:r>
            <w:r w:rsidRPr="000F7E27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0F7E27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0F7E27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0F7E27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>
              <w:rPr>
                <w:b/>
                <w:bCs/>
                <w:szCs w:val="24"/>
                <w:lang w:eastAsia="zh-CN"/>
              </w:rPr>
              <w:t>1</w:t>
            </w:r>
            <w:r w:rsidRPr="000F7E27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394B4AF8" w14:textId="77777777">
        <w:trPr>
          <w:cantSplit/>
          <w:trHeight w:val="23"/>
        </w:trPr>
        <w:tc>
          <w:tcPr>
            <w:tcW w:w="6911" w:type="dxa"/>
            <w:vMerge/>
          </w:tcPr>
          <w:p w14:paraId="6531500F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FD92ACA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FA11E1A" w14:textId="77777777">
        <w:trPr>
          <w:cantSplit/>
        </w:trPr>
        <w:tc>
          <w:tcPr>
            <w:tcW w:w="10031" w:type="dxa"/>
          </w:tcPr>
          <w:p w14:paraId="1887DFCB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0F7E27" w14:paraId="2602C0A5" w14:textId="77777777">
        <w:trPr>
          <w:cantSplit/>
        </w:trPr>
        <w:tc>
          <w:tcPr>
            <w:tcW w:w="10031" w:type="dxa"/>
          </w:tcPr>
          <w:p w14:paraId="530C9D7E" w14:textId="7E77AC95" w:rsidR="000F7E27" w:rsidRDefault="000F7E27" w:rsidP="000F7E27">
            <w:pPr>
              <w:pStyle w:val="Title1"/>
              <w:rPr>
                <w:bCs/>
                <w:lang w:eastAsia="zh-CN"/>
              </w:rPr>
            </w:pPr>
            <w:bookmarkStart w:id="3" w:name="lt_pId010"/>
            <w:bookmarkStart w:id="4" w:name="_Hlk54701632"/>
            <w:r w:rsidRPr="00CA7F9E">
              <w:rPr>
                <w:lang w:val="en-US" w:eastAsia="zh-CN"/>
              </w:rPr>
              <w:t>2022</w:t>
            </w:r>
            <w:bookmarkEnd w:id="3"/>
            <w:bookmarkEnd w:id="4"/>
            <w:r w:rsidR="0086549C">
              <w:rPr>
                <w:rFonts w:hint="eastAsia"/>
                <w:lang w:val="en-US" w:eastAsia="zh-CN"/>
              </w:rPr>
              <w:t>年</w:t>
            </w:r>
            <w:r w:rsidR="0086549C">
              <w:rPr>
                <w:rFonts w:hint="eastAsia"/>
                <w:lang w:val="en-US" w:eastAsia="zh-CN"/>
              </w:rPr>
              <w:t>2</w:t>
            </w:r>
            <w:r w:rsidR="0086549C">
              <w:rPr>
                <w:rFonts w:hint="eastAsia"/>
                <w:lang w:val="en-US" w:eastAsia="zh-CN"/>
              </w:rPr>
              <w:t>月</w:t>
            </w:r>
            <w:r w:rsidR="0086549C">
              <w:rPr>
                <w:rFonts w:hint="eastAsia"/>
                <w:lang w:val="en-US" w:eastAsia="zh-CN"/>
              </w:rPr>
              <w:t>/</w:t>
            </w:r>
            <w:r w:rsidR="0086549C">
              <w:rPr>
                <w:lang w:val="en-US" w:eastAsia="zh-CN"/>
              </w:rPr>
              <w:t>3</w:t>
            </w:r>
            <w:r w:rsidR="0086549C">
              <w:rPr>
                <w:rFonts w:hint="eastAsia"/>
                <w:lang w:val="en-US" w:eastAsia="zh-CN"/>
              </w:rPr>
              <w:t>月世界电信标准化全会</w:t>
            </w:r>
            <w:r w:rsidR="008E79C6">
              <w:rPr>
                <w:rFonts w:hint="eastAsia"/>
                <w:lang w:val="en-US" w:eastAsia="zh-CN"/>
              </w:rPr>
              <w:t>（</w:t>
            </w:r>
            <w:r w:rsidR="008E79C6">
              <w:rPr>
                <w:rFonts w:hint="eastAsia"/>
                <w:lang w:val="en-US" w:eastAsia="zh-CN"/>
              </w:rPr>
              <w:t>W</w:t>
            </w:r>
            <w:r w:rsidR="008E79C6">
              <w:rPr>
                <w:lang w:val="en-US" w:eastAsia="zh-CN"/>
              </w:rPr>
              <w:t>TSA</w:t>
            </w:r>
            <w:r w:rsidR="008E79C6">
              <w:rPr>
                <w:rFonts w:hint="eastAsia"/>
                <w:lang w:val="en-US" w:eastAsia="zh-CN"/>
              </w:rPr>
              <w:t>）</w:t>
            </w:r>
            <w:r w:rsidR="00E26EF2">
              <w:rPr>
                <w:lang w:val="en-US" w:eastAsia="zh-CN"/>
              </w:rPr>
              <w:br/>
            </w:r>
            <w:r w:rsidR="0086549C">
              <w:rPr>
                <w:rFonts w:hint="eastAsia"/>
                <w:lang w:val="en-US" w:eastAsia="zh-CN"/>
              </w:rPr>
              <w:t>召开</w:t>
            </w:r>
            <w:r w:rsidR="001446D6">
              <w:rPr>
                <w:rFonts w:hint="eastAsia"/>
                <w:lang w:val="en-US" w:eastAsia="zh-CN"/>
              </w:rPr>
              <w:t>之</w:t>
            </w:r>
            <w:r w:rsidR="0086549C">
              <w:rPr>
                <w:rFonts w:hint="eastAsia"/>
                <w:lang w:val="en-US" w:eastAsia="zh-CN"/>
              </w:rPr>
              <w:t>前的</w:t>
            </w:r>
            <w:r w:rsidR="001446D6" w:rsidRPr="00CA7F9E">
              <w:rPr>
                <w:lang w:val="en-US" w:eastAsia="zh-CN"/>
              </w:rPr>
              <w:t>ITU-T</w:t>
            </w:r>
            <w:r w:rsidR="0086549C">
              <w:rPr>
                <w:rFonts w:hint="eastAsia"/>
                <w:lang w:val="en-US" w:eastAsia="zh-CN"/>
              </w:rPr>
              <w:t>工作连续性计划</w:t>
            </w:r>
          </w:p>
        </w:tc>
      </w:tr>
    </w:tbl>
    <w:p w14:paraId="52A5338F" w14:textId="77777777" w:rsidR="0093362E" w:rsidRDefault="0093362E" w:rsidP="00001B77">
      <w:pPr>
        <w:rPr>
          <w:lang w:eastAsia="zh-CN"/>
        </w:rPr>
      </w:pPr>
    </w:p>
    <w:p w14:paraId="26B7E8F1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0F7E27" w14:paraId="40BACAEE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01FEB" w14:textId="77777777" w:rsidR="00B40A53" w:rsidRPr="000F7E27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0F7E27">
              <w:rPr>
                <w:rFonts w:hint="eastAsia"/>
                <w:szCs w:val="24"/>
                <w:lang w:val="fr-FR" w:eastAsia="zh-CN"/>
              </w:rPr>
              <w:t>概</w:t>
            </w:r>
            <w:r w:rsidRPr="000F7E27">
              <w:rPr>
                <w:rFonts w:hint="eastAsia"/>
                <w:szCs w:val="24"/>
                <w:lang w:eastAsia="zh-CN"/>
              </w:rPr>
              <w:t>要</w:t>
            </w:r>
          </w:p>
          <w:p w14:paraId="00856752" w14:textId="4FB5EA1A" w:rsidR="00B40A53" w:rsidRPr="000F7E27" w:rsidRDefault="0086549C">
            <w:pPr>
              <w:ind w:firstLineChars="200" w:firstLine="480"/>
              <w:rPr>
                <w:szCs w:val="24"/>
                <w:lang w:eastAsia="zh-CN"/>
              </w:rPr>
            </w:pPr>
            <w:bookmarkStart w:id="5" w:name="_Hlk55409766"/>
            <w:r w:rsidRPr="0086549C">
              <w:rPr>
                <w:rFonts w:hint="eastAsia"/>
                <w:szCs w:val="24"/>
                <w:lang w:eastAsia="zh-CN"/>
              </w:rPr>
              <w:t>考虑到印度</w:t>
            </w:r>
            <w:r w:rsidR="008E79C6">
              <w:rPr>
                <w:rFonts w:hint="eastAsia"/>
                <w:szCs w:val="24"/>
                <w:lang w:eastAsia="zh-CN"/>
              </w:rPr>
              <w:t>向</w:t>
            </w:r>
            <w:r w:rsidR="008E79C6" w:rsidRPr="008E79C6">
              <w:rPr>
                <w:rFonts w:hint="eastAsia"/>
                <w:szCs w:val="24"/>
                <w:lang w:eastAsia="zh-CN"/>
              </w:rPr>
              <w:t>理事磋商会第二次虚拟会议</w:t>
            </w:r>
            <w:r w:rsidR="008E79C6">
              <w:rPr>
                <w:rFonts w:hint="eastAsia"/>
                <w:szCs w:val="24"/>
                <w:lang w:eastAsia="zh-CN"/>
              </w:rPr>
              <w:t>提交的文稿（</w:t>
            </w:r>
            <w:r w:rsidRPr="0086549C">
              <w:rPr>
                <w:rFonts w:hint="eastAsia"/>
                <w:szCs w:val="24"/>
                <w:lang w:eastAsia="zh-CN"/>
              </w:rPr>
              <w:t>VC2/2</w:t>
            </w:r>
            <w:r w:rsidR="008E79C6">
              <w:rPr>
                <w:rFonts w:hint="eastAsia"/>
                <w:szCs w:val="24"/>
                <w:lang w:eastAsia="zh-CN"/>
              </w:rPr>
              <w:t>）</w:t>
            </w:r>
            <w:r w:rsidRPr="0086549C">
              <w:rPr>
                <w:rFonts w:hint="eastAsia"/>
                <w:szCs w:val="24"/>
                <w:lang w:eastAsia="zh-CN"/>
              </w:rPr>
              <w:t>建议将</w:t>
            </w:r>
            <w:bookmarkStart w:id="6" w:name="_Hlk55410798"/>
            <w:r w:rsidR="008E79C6">
              <w:rPr>
                <w:rFonts w:hint="eastAsia"/>
                <w:lang w:val="en-US" w:eastAsia="zh-CN"/>
              </w:rPr>
              <w:t>世界电信标准化全会</w:t>
            </w:r>
            <w:bookmarkEnd w:id="6"/>
            <w:r w:rsidRPr="0086549C">
              <w:rPr>
                <w:rFonts w:hint="eastAsia"/>
                <w:szCs w:val="24"/>
                <w:lang w:eastAsia="zh-CN"/>
              </w:rPr>
              <w:t>推迟至</w:t>
            </w:r>
            <w:r w:rsidRPr="0086549C">
              <w:rPr>
                <w:rFonts w:hint="eastAsia"/>
                <w:szCs w:val="24"/>
                <w:lang w:eastAsia="zh-CN"/>
              </w:rPr>
              <w:t>2022</w:t>
            </w:r>
            <w:r w:rsidRPr="0086549C">
              <w:rPr>
                <w:rFonts w:hint="eastAsia"/>
                <w:szCs w:val="24"/>
                <w:lang w:eastAsia="zh-CN"/>
              </w:rPr>
              <w:t>年</w:t>
            </w:r>
            <w:r w:rsidRPr="0086549C">
              <w:rPr>
                <w:rFonts w:hint="eastAsia"/>
                <w:szCs w:val="24"/>
                <w:lang w:eastAsia="zh-CN"/>
              </w:rPr>
              <w:t>3</w:t>
            </w:r>
            <w:r w:rsidRPr="0086549C">
              <w:rPr>
                <w:rFonts w:hint="eastAsia"/>
                <w:szCs w:val="24"/>
                <w:lang w:eastAsia="zh-CN"/>
              </w:rPr>
              <w:t>月</w:t>
            </w:r>
            <w:r w:rsidRPr="0086549C">
              <w:rPr>
                <w:rFonts w:hint="eastAsia"/>
                <w:szCs w:val="24"/>
                <w:lang w:eastAsia="zh-CN"/>
              </w:rPr>
              <w:t>1</w:t>
            </w:r>
            <w:r w:rsidRPr="0086549C">
              <w:rPr>
                <w:rFonts w:hint="eastAsia"/>
                <w:szCs w:val="24"/>
                <w:lang w:eastAsia="zh-CN"/>
              </w:rPr>
              <w:t>日至</w:t>
            </w:r>
            <w:r w:rsidRPr="0086549C">
              <w:rPr>
                <w:rFonts w:hint="eastAsia"/>
                <w:szCs w:val="24"/>
                <w:lang w:eastAsia="zh-CN"/>
              </w:rPr>
              <w:t>11</w:t>
            </w:r>
            <w:r w:rsidRPr="0086549C">
              <w:rPr>
                <w:rFonts w:hint="eastAsia"/>
                <w:szCs w:val="24"/>
                <w:lang w:eastAsia="zh-CN"/>
              </w:rPr>
              <w:t>日，</w:t>
            </w:r>
            <w:r w:rsidR="008E79C6">
              <w:rPr>
                <w:rFonts w:hint="eastAsia"/>
                <w:szCs w:val="24"/>
                <w:lang w:eastAsia="zh-CN"/>
              </w:rPr>
              <w:t>并</w:t>
            </w:r>
            <w:r w:rsidRPr="0086549C">
              <w:rPr>
                <w:rFonts w:hint="eastAsia"/>
                <w:szCs w:val="24"/>
                <w:lang w:eastAsia="zh-CN"/>
              </w:rPr>
              <w:t>在此之前于</w:t>
            </w:r>
            <w:r w:rsidRPr="0086549C">
              <w:rPr>
                <w:rFonts w:hint="eastAsia"/>
                <w:szCs w:val="24"/>
                <w:lang w:eastAsia="zh-CN"/>
              </w:rPr>
              <w:t>2022</w:t>
            </w:r>
            <w:r w:rsidRPr="0086549C">
              <w:rPr>
                <w:rFonts w:hint="eastAsia"/>
                <w:szCs w:val="24"/>
                <w:lang w:eastAsia="zh-CN"/>
              </w:rPr>
              <w:t>年</w:t>
            </w:r>
            <w:r w:rsidRPr="0086549C">
              <w:rPr>
                <w:rFonts w:hint="eastAsia"/>
                <w:szCs w:val="24"/>
                <w:lang w:eastAsia="zh-CN"/>
              </w:rPr>
              <w:t>2</w:t>
            </w:r>
            <w:r w:rsidRPr="0086549C">
              <w:rPr>
                <w:rFonts w:hint="eastAsia"/>
                <w:szCs w:val="24"/>
                <w:lang w:eastAsia="zh-CN"/>
              </w:rPr>
              <w:t>月</w:t>
            </w:r>
            <w:r w:rsidRPr="0086549C">
              <w:rPr>
                <w:rFonts w:hint="eastAsia"/>
                <w:szCs w:val="24"/>
                <w:lang w:eastAsia="zh-CN"/>
              </w:rPr>
              <w:t>28</w:t>
            </w:r>
            <w:r w:rsidRPr="0086549C">
              <w:rPr>
                <w:rFonts w:hint="eastAsia"/>
                <w:szCs w:val="24"/>
                <w:lang w:eastAsia="zh-CN"/>
              </w:rPr>
              <w:t>日</w:t>
            </w:r>
            <w:r w:rsidR="008E79C6">
              <w:rPr>
                <w:rFonts w:hint="eastAsia"/>
                <w:szCs w:val="24"/>
                <w:lang w:eastAsia="zh-CN"/>
              </w:rPr>
              <w:t>召开</w:t>
            </w:r>
            <w:r w:rsidR="008E79C6" w:rsidRPr="008E79C6">
              <w:rPr>
                <w:rFonts w:hint="eastAsia"/>
                <w:szCs w:val="24"/>
                <w:lang w:eastAsia="zh-CN"/>
              </w:rPr>
              <w:t>全球标准专题研讨会（</w:t>
            </w:r>
            <w:r w:rsidR="008E79C6" w:rsidRPr="008E79C6">
              <w:rPr>
                <w:rFonts w:hint="eastAsia"/>
                <w:szCs w:val="24"/>
                <w:lang w:eastAsia="zh-CN"/>
              </w:rPr>
              <w:t>GSS</w:t>
            </w:r>
            <w:r w:rsidR="008E79C6" w:rsidRPr="008E79C6">
              <w:rPr>
                <w:rFonts w:hint="eastAsia"/>
                <w:szCs w:val="24"/>
                <w:lang w:eastAsia="zh-CN"/>
              </w:rPr>
              <w:t>）</w:t>
            </w:r>
            <w:r w:rsidRPr="0086549C">
              <w:rPr>
                <w:rFonts w:hint="eastAsia"/>
                <w:szCs w:val="24"/>
                <w:lang w:eastAsia="zh-CN"/>
              </w:rPr>
              <w:t>，本文件为确保国际电</w:t>
            </w:r>
            <w:proofErr w:type="gramStart"/>
            <w:r w:rsidRPr="0086549C">
              <w:rPr>
                <w:rFonts w:hint="eastAsia"/>
                <w:szCs w:val="24"/>
                <w:lang w:eastAsia="zh-CN"/>
              </w:rPr>
              <w:t>联电信</w:t>
            </w:r>
            <w:proofErr w:type="gramEnd"/>
            <w:r w:rsidR="008E79C6">
              <w:rPr>
                <w:rFonts w:hint="eastAsia"/>
                <w:szCs w:val="24"/>
                <w:lang w:eastAsia="zh-CN"/>
              </w:rPr>
              <w:t>标准化</w:t>
            </w:r>
            <w:r w:rsidRPr="0086549C">
              <w:rPr>
                <w:rFonts w:hint="eastAsia"/>
                <w:szCs w:val="24"/>
                <w:lang w:eastAsia="zh-CN"/>
              </w:rPr>
              <w:t>部门</w:t>
            </w:r>
            <w:r w:rsidR="008E79C6">
              <w:rPr>
                <w:rFonts w:hint="eastAsia"/>
                <w:szCs w:val="24"/>
                <w:lang w:eastAsia="zh-CN"/>
              </w:rPr>
              <w:t>工作</w:t>
            </w:r>
            <w:r w:rsidRPr="0086549C">
              <w:rPr>
                <w:rFonts w:hint="eastAsia"/>
                <w:szCs w:val="24"/>
                <w:lang w:eastAsia="zh-CN"/>
              </w:rPr>
              <w:t>的连续性和稳定性提供了指导要点和</w:t>
            </w:r>
            <w:r w:rsidR="008E79C6">
              <w:rPr>
                <w:rFonts w:hint="eastAsia"/>
                <w:szCs w:val="24"/>
                <w:lang w:eastAsia="zh-CN"/>
              </w:rPr>
              <w:t>进程</w:t>
            </w:r>
            <w:r w:rsidRPr="0086549C">
              <w:rPr>
                <w:rFonts w:hint="eastAsia"/>
                <w:szCs w:val="24"/>
                <w:lang w:eastAsia="zh-CN"/>
              </w:rPr>
              <w:t>参考</w:t>
            </w:r>
            <w:bookmarkEnd w:id="5"/>
            <w:r w:rsidRPr="0086549C">
              <w:rPr>
                <w:rFonts w:hint="eastAsia"/>
                <w:szCs w:val="24"/>
                <w:lang w:eastAsia="zh-CN"/>
              </w:rPr>
              <w:t>。</w:t>
            </w:r>
          </w:p>
          <w:p w14:paraId="18D96C77" w14:textId="77777777" w:rsidR="00B40A53" w:rsidRPr="000F7E27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0F7E27">
              <w:rPr>
                <w:rFonts w:hint="eastAsia"/>
                <w:szCs w:val="24"/>
                <w:lang w:eastAsia="zh-CN"/>
              </w:rPr>
              <w:t>需采取的行动</w:t>
            </w:r>
          </w:p>
          <w:p w14:paraId="6FE1A337" w14:textId="56845654" w:rsidR="000F7E27" w:rsidRPr="000F7E27" w:rsidRDefault="00653363" w:rsidP="00653363">
            <w:pPr>
              <w:ind w:firstLineChars="200" w:firstLine="480"/>
              <w:rPr>
                <w:lang w:val="en-US" w:eastAsia="zh-CN"/>
              </w:rPr>
            </w:pPr>
            <w:r w:rsidRPr="00653363">
              <w:rPr>
                <w:rFonts w:hint="eastAsia"/>
                <w:lang w:eastAsia="zh-CN"/>
              </w:rPr>
              <w:t>请理事会将本文件</w:t>
            </w:r>
            <w:r w:rsidRPr="00653363">
              <w:rPr>
                <w:rFonts w:hint="eastAsia"/>
                <w:b/>
                <w:bCs/>
                <w:lang w:eastAsia="zh-CN"/>
              </w:rPr>
              <w:t>记录在案</w:t>
            </w:r>
            <w:r w:rsidRPr="00653363">
              <w:rPr>
                <w:rFonts w:hint="eastAsia"/>
                <w:lang w:eastAsia="zh-CN"/>
              </w:rPr>
              <w:t>。</w:t>
            </w:r>
          </w:p>
          <w:p w14:paraId="18A4D3A5" w14:textId="77777777" w:rsidR="00B40A53" w:rsidRPr="000F7E27" w:rsidRDefault="00B40A53">
            <w:pPr>
              <w:jc w:val="center"/>
              <w:rPr>
                <w:szCs w:val="24"/>
                <w:lang w:eastAsia="zh-CN"/>
              </w:rPr>
            </w:pPr>
            <w:r w:rsidRPr="000F7E27">
              <w:rPr>
                <w:szCs w:val="24"/>
                <w:lang w:eastAsia="zh-CN"/>
              </w:rPr>
              <w:t>______________</w:t>
            </w:r>
          </w:p>
          <w:p w14:paraId="06582C79" w14:textId="77777777" w:rsidR="009164A9" w:rsidRPr="000F7E27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eastAsia="zh-CN"/>
              </w:rPr>
            </w:pPr>
          </w:p>
          <w:p w14:paraId="7FAED507" w14:textId="77777777" w:rsidR="009164A9" w:rsidRPr="000F7E27" w:rsidRDefault="009164A9" w:rsidP="003C2E37">
            <w:pPr>
              <w:pStyle w:val="Headingb"/>
              <w:rPr>
                <w:szCs w:val="24"/>
                <w:lang w:eastAsia="zh-CN"/>
              </w:rPr>
            </w:pPr>
            <w:r w:rsidRPr="000F7E27">
              <w:rPr>
                <w:rFonts w:hint="eastAsia"/>
                <w:szCs w:val="24"/>
                <w:lang w:eastAsia="zh-CN"/>
              </w:rPr>
              <w:t>参考文件</w:t>
            </w:r>
          </w:p>
          <w:p w14:paraId="712F5AC9" w14:textId="497BF6A6" w:rsidR="00B40A53" w:rsidRPr="000F7E27" w:rsidRDefault="00653363" w:rsidP="00653363">
            <w:pPr>
              <w:ind w:firstLineChars="200" w:firstLine="480"/>
              <w:rPr>
                <w:caps/>
                <w:lang w:eastAsia="zh-CN"/>
              </w:rPr>
            </w:pPr>
            <w:bookmarkStart w:id="7" w:name="lt_pId017"/>
            <w:r>
              <w:rPr>
                <w:rFonts w:ascii="SimSun" w:hAnsi="SimSun" w:cs="SimSun" w:hint="eastAsia"/>
                <w:lang w:val="en-US" w:eastAsia="zh-CN"/>
              </w:rPr>
              <w:t>理事会第</w:t>
            </w:r>
            <w:hyperlink r:id="rId9" w:history="1">
              <w:r w:rsidR="000F7E27" w:rsidRPr="000F7E27">
                <w:rPr>
                  <w:rFonts w:asciiTheme="minorHAnsi" w:hAnsiTheme="minorHAnsi" w:cstheme="minorHAnsi"/>
                  <w:color w:val="0000FF"/>
                  <w:u w:val="single"/>
                  <w:lang w:val="en-US" w:eastAsia="zh-CN"/>
                </w:rPr>
                <w:t>C20/24 (Rev.1)</w:t>
              </w:r>
            </w:hyperlink>
            <w:r>
              <w:rPr>
                <w:rFonts w:ascii="SimSun" w:hAnsi="SimSun" w:cs="SimSun" w:hint="eastAsia"/>
                <w:lang w:val="en-US" w:eastAsia="zh-CN"/>
              </w:rPr>
              <w:t>、</w:t>
            </w:r>
            <w:r w:rsidR="00AC0799">
              <w:fldChar w:fldCharType="begin"/>
            </w:r>
            <w:r w:rsidR="00AC0799">
              <w:rPr>
                <w:lang w:eastAsia="zh-CN"/>
              </w:rPr>
              <w:instrText xml:space="preserve"> HYPERLINK "https://www.itu.int/md/S20-CLVC2-C-0002/en" </w:instrText>
            </w:r>
            <w:r w:rsidR="00AC0799">
              <w:fldChar w:fldCharType="separate"/>
            </w:r>
            <w:r w:rsidR="000F7E27" w:rsidRPr="000F7E27">
              <w:rPr>
                <w:rFonts w:asciiTheme="minorHAnsi" w:hAnsiTheme="minorHAnsi" w:cstheme="minorHAnsi"/>
                <w:color w:val="0000FF"/>
                <w:u w:val="single"/>
                <w:lang w:val="en-US" w:eastAsia="zh-CN"/>
              </w:rPr>
              <w:t>VC2/2</w:t>
            </w:r>
            <w:r w:rsidR="00AC0799">
              <w:rPr>
                <w:rFonts w:asciiTheme="minorHAnsi" w:hAnsiTheme="minorHAnsi" w:cstheme="minorHAnsi"/>
                <w:color w:val="0000FF"/>
                <w:u w:val="single"/>
                <w:lang w:val="en-US" w:eastAsia="zh-CN"/>
              </w:rPr>
              <w:fldChar w:fldCharType="end"/>
            </w:r>
            <w:bookmarkEnd w:id="7"/>
            <w:r>
              <w:rPr>
                <w:rFonts w:hint="eastAsia"/>
                <w:lang w:eastAsia="zh-CN"/>
              </w:rPr>
              <w:t>号文件</w:t>
            </w:r>
          </w:p>
        </w:tc>
      </w:tr>
    </w:tbl>
    <w:p w14:paraId="0E7158B4" w14:textId="3F623CC3" w:rsidR="000F7E27" w:rsidRPr="007F77D5" w:rsidRDefault="008E79C6" w:rsidP="000F7E27">
      <w:pPr>
        <w:spacing w:before="600" w:after="120"/>
        <w:ind w:firstLineChars="200" w:firstLine="472"/>
        <w:jc w:val="both"/>
        <w:rPr>
          <w:spacing w:val="-2"/>
          <w:lang w:eastAsia="zh-CN"/>
        </w:rPr>
      </w:pPr>
      <w:r w:rsidRPr="008E79C6">
        <w:rPr>
          <w:rFonts w:hint="eastAsia"/>
          <w:spacing w:val="-2"/>
          <w:lang w:eastAsia="zh-CN"/>
        </w:rPr>
        <w:t>考虑到印度向理事磋商会第二次虚拟会议提交的文稿（</w:t>
      </w:r>
      <w:hyperlink r:id="rId10" w:history="1">
        <w:r w:rsidRPr="00E52797">
          <w:rPr>
            <w:rStyle w:val="Hyperlink"/>
            <w:spacing w:val="-2"/>
            <w:lang w:eastAsia="zh-CN"/>
          </w:rPr>
          <w:t>VC2/2</w:t>
        </w:r>
      </w:hyperlink>
      <w:r w:rsidRPr="008E79C6">
        <w:rPr>
          <w:rFonts w:hint="eastAsia"/>
          <w:spacing w:val="-2"/>
          <w:lang w:eastAsia="zh-CN"/>
        </w:rPr>
        <w:t>）建议将世界电信标准化全会推迟至</w:t>
      </w:r>
      <w:r w:rsidRPr="008E79C6">
        <w:rPr>
          <w:rFonts w:hint="eastAsia"/>
          <w:spacing w:val="-2"/>
          <w:lang w:eastAsia="zh-CN"/>
        </w:rPr>
        <w:t>2022</w:t>
      </w:r>
      <w:r w:rsidRPr="008E79C6">
        <w:rPr>
          <w:rFonts w:hint="eastAsia"/>
          <w:spacing w:val="-2"/>
          <w:lang w:eastAsia="zh-CN"/>
        </w:rPr>
        <w:t>年</w:t>
      </w:r>
      <w:r w:rsidRPr="008E79C6">
        <w:rPr>
          <w:rFonts w:hint="eastAsia"/>
          <w:spacing w:val="-2"/>
          <w:lang w:eastAsia="zh-CN"/>
        </w:rPr>
        <w:t>3</w:t>
      </w:r>
      <w:r w:rsidRPr="008E79C6">
        <w:rPr>
          <w:rFonts w:hint="eastAsia"/>
          <w:spacing w:val="-2"/>
          <w:lang w:eastAsia="zh-CN"/>
        </w:rPr>
        <w:t>月</w:t>
      </w:r>
      <w:r w:rsidRPr="008E79C6">
        <w:rPr>
          <w:rFonts w:hint="eastAsia"/>
          <w:spacing w:val="-2"/>
          <w:lang w:eastAsia="zh-CN"/>
        </w:rPr>
        <w:t>1</w:t>
      </w:r>
      <w:r w:rsidRPr="008E79C6">
        <w:rPr>
          <w:rFonts w:hint="eastAsia"/>
          <w:spacing w:val="-2"/>
          <w:lang w:eastAsia="zh-CN"/>
        </w:rPr>
        <w:t>日至</w:t>
      </w:r>
      <w:r w:rsidRPr="008E79C6">
        <w:rPr>
          <w:rFonts w:hint="eastAsia"/>
          <w:spacing w:val="-2"/>
          <w:lang w:eastAsia="zh-CN"/>
        </w:rPr>
        <w:t>11</w:t>
      </w:r>
      <w:r w:rsidRPr="008E79C6">
        <w:rPr>
          <w:rFonts w:hint="eastAsia"/>
          <w:spacing w:val="-2"/>
          <w:lang w:eastAsia="zh-CN"/>
        </w:rPr>
        <w:t>日，并在此之前于</w:t>
      </w:r>
      <w:r w:rsidRPr="008E79C6">
        <w:rPr>
          <w:rFonts w:hint="eastAsia"/>
          <w:spacing w:val="-2"/>
          <w:lang w:eastAsia="zh-CN"/>
        </w:rPr>
        <w:t>2022</w:t>
      </w:r>
      <w:r w:rsidRPr="008E79C6">
        <w:rPr>
          <w:rFonts w:hint="eastAsia"/>
          <w:spacing w:val="-2"/>
          <w:lang w:eastAsia="zh-CN"/>
        </w:rPr>
        <w:t>年</w:t>
      </w:r>
      <w:r w:rsidRPr="008E79C6">
        <w:rPr>
          <w:rFonts w:hint="eastAsia"/>
          <w:spacing w:val="-2"/>
          <w:lang w:eastAsia="zh-CN"/>
        </w:rPr>
        <w:t>2</w:t>
      </w:r>
      <w:r w:rsidRPr="008E79C6">
        <w:rPr>
          <w:rFonts w:hint="eastAsia"/>
          <w:spacing w:val="-2"/>
          <w:lang w:eastAsia="zh-CN"/>
        </w:rPr>
        <w:t>月</w:t>
      </w:r>
      <w:r w:rsidRPr="008E79C6">
        <w:rPr>
          <w:rFonts w:hint="eastAsia"/>
          <w:spacing w:val="-2"/>
          <w:lang w:eastAsia="zh-CN"/>
        </w:rPr>
        <w:t>28</w:t>
      </w:r>
      <w:r w:rsidRPr="008E79C6">
        <w:rPr>
          <w:rFonts w:hint="eastAsia"/>
          <w:spacing w:val="-2"/>
          <w:lang w:eastAsia="zh-CN"/>
        </w:rPr>
        <w:t>日召开全球标准专题研讨会，因此</w:t>
      </w:r>
      <w:r>
        <w:rPr>
          <w:rFonts w:hint="eastAsia"/>
          <w:spacing w:val="-2"/>
          <w:lang w:eastAsia="zh-CN"/>
        </w:rPr>
        <w:t>秘书处</w:t>
      </w:r>
      <w:r w:rsidRPr="008E79C6">
        <w:rPr>
          <w:rFonts w:hint="eastAsia"/>
          <w:spacing w:val="-2"/>
          <w:lang w:eastAsia="zh-CN"/>
        </w:rPr>
        <w:t>为确保国际电</w:t>
      </w:r>
      <w:proofErr w:type="gramStart"/>
      <w:r w:rsidRPr="008E79C6">
        <w:rPr>
          <w:rFonts w:hint="eastAsia"/>
          <w:spacing w:val="-2"/>
          <w:lang w:eastAsia="zh-CN"/>
        </w:rPr>
        <w:t>联电信</w:t>
      </w:r>
      <w:proofErr w:type="gramEnd"/>
      <w:r w:rsidRPr="008E79C6">
        <w:rPr>
          <w:rFonts w:hint="eastAsia"/>
          <w:spacing w:val="-2"/>
          <w:lang w:eastAsia="zh-CN"/>
        </w:rPr>
        <w:t>标准化部门工作的连续性和稳定性</w:t>
      </w:r>
      <w:r>
        <w:rPr>
          <w:rFonts w:hint="eastAsia"/>
          <w:spacing w:val="-2"/>
          <w:lang w:eastAsia="zh-CN"/>
        </w:rPr>
        <w:t>，准备了以下</w:t>
      </w:r>
      <w:r w:rsidRPr="008E79C6">
        <w:rPr>
          <w:rFonts w:hint="eastAsia"/>
          <w:spacing w:val="-2"/>
          <w:lang w:eastAsia="zh-CN"/>
        </w:rPr>
        <w:t>指导要点和参考</w:t>
      </w:r>
      <w:r>
        <w:rPr>
          <w:rFonts w:hint="eastAsia"/>
          <w:spacing w:val="-2"/>
          <w:lang w:eastAsia="zh-CN"/>
        </w:rPr>
        <w:t>意见供成员审议：</w:t>
      </w:r>
    </w:p>
    <w:p w14:paraId="2D64BB59" w14:textId="6B1A73DD" w:rsidR="000F7E27" w:rsidRPr="000F4754" w:rsidRDefault="000F7E27" w:rsidP="000F7E27">
      <w:pPr>
        <w:pStyle w:val="enumlev1"/>
        <w:rPr>
          <w:lang w:eastAsia="zh-CN"/>
        </w:rPr>
      </w:pPr>
      <w:bookmarkStart w:id="8" w:name="lt_pId019"/>
      <w:r>
        <w:rPr>
          <w:lang w:eastAsia="zh-CN"/>
        </w:rPr>
        <w:t>1)</w:t>
      </w:r>
      <w:r>
        <w:rPr>
          <w:lang w:eastAsia="zh-CN"/>
        </w:rPr>
        <w:tab/>
      </w:r>
      <w:r w:rsidR="002E4FB7">
        <w:rPr>
          <w:rFonts w:hint="eastAsia"/>
          <w:lang w:eastAsia="zh-CN"/>
        </w:rPr>
        <w:t>领导（研究组（</w:t>
      </w:r>
      <w:r w:rsidRPr="000F4754">
        <w:rPr>
          <w:lang w:eastAsia="zh-CN"/>
        </w:rPr>
        <w:t>SG</w:t>
      </w:r>
      <w:r w:rsidR="002E4FB7">
        <w:rPr>
          <w:rFonts w:hint="eastAsia"/>
          <w:lang w:eastAsia="zh-CN"/>
        </w:rPr>
        <w:t>）</w:t>
      </w:r>
      <w:r w:rsidRPr="000F4754">
        <w:rPr>
          <w:lang w:eastAsia="zh-CN"/>
        </w:rPr>
        <w:t>/</w:t>
      </w:r>
      <w:r w:rsidR="002E4FB7">
        <w:rPr>
          <w:rFonts w:hint="eastAsia"/>
          <w:lang w:eastAsia="zh-CN"/>
        </w:rPr>
        <w:t>电信标准化顾问组（</w:t>
      </w:r>
      <w:r w:rsidRPr="000F4754">
        <w:rPr>
          <w:lang w:eastAsia="zh-CN"/>
        </w:rPr>
        <w:t>TSAG</w:t>
      </w:r>
      <w:r w:rsidR="002E4FB7">
        <w:rPr>
          <w:rFonts w:hint="eastAsia"/>
          <w:lang w:eastAsia="zh-CN"/>
        </w:rPr>
        <w:t>）</w:t>
      </w:r>
      <w:r w:rsidRPr="000F4754">
        <w:rPr>
          <w:lang w:eastAsia="zh-CN"/>
        </w:rPr>
        <w:t>/</w:t>
      </w:r>
      <w:r w:rsidR="002E4FB7" w:rsidRPr="002E4FB7">
        <w:rPr>
          <w:rFonts w:hint="eastAsia"/>
          <w:lang w:eastAsia="zh-CN"/>
        </w:rPr>
        <w:t>词汇标准化委员会</w:t>
      </w:r>
      <w:r w:rsidR="002E4FB7">
        <w:rPr>
          <w:rFonts w:hint="eastAsia"/>
          <w:lang w:eastAsia="zh-CN"/>
        </w:rPr>
        <w:t>（</w:t>
      </w:r>
      <w:r w:rsidRPr="000F4754">
        <w:rPr>
          <w:lang w:eastAsia="zh-CN"/>
        </w:rPr>
        <w:t>SCV</w:t>
      </w:r>
      <w:r w:rsidR="002E4FB7">
        <w:rPr>
          <w:rFonts w:hint="eastAsia"/>
          <w:lang w:eastAsia="zh-CN"/>
        </w:rPr>
        <w:t>）正副主席）</w:t>
      </w:r>
      <w:bookmarkEnd w:id="8"/>
    </w:p>
    <w:p w14:paraId="0C740387" w14:textId="4AAE3C9E" w:rsidR="000F7E27" w:rsidRPr="000F4754" w:rsidRDefault="000F7E27" w:rsidP="000F7E27">
      <w:pPr>
        <w:pStyle w:val="enumlev2"/>
        <w:rPr>
          <w:lang w:eastAsia="zh-CN"/>
        </w:rPr>
      </w:pPr>
      <w:bookmarkStart w:id="9" w:name="lt_pId020"/>
      <w:r>
        <w:rPr>
          <w:lang w:eastAsia="zh-CN"/>
        </w:rPr>
        <w:t>a)</w:t>
      </w:r>
      <w:r>
        <w:rPr>
          <w:lang w:eastAsia="zh-CN"/>
        </w:rPr>
        <w:tab/>
      </w:r>
      <w:r w:rsidR="001446D6">
        <w:rPr>
          <w:rFonts w:hint="eastAsia"/>
          <w:lang w:eastAsia="zh-CN"/>
        </w:rPr>
        <w:t>在</w:t>
      </w:r>
      <w:r w:rsidR="002E4FB7">
        <w:rPr>
          <w:lang w:eastAsia="zh-CN"/>
        </w:rPr>
        <w:t>2022</w:t>
      </w:r>
      <w:r w:rsidR="002E4FB7">
        <w:rPr>
          <w:rFonts w:hint="eastAsia"/>
          <w:lang w:eastAsia="zh-CN"/>
        </w:rPr>
        <w:t>年第</w:t>
      </w:r>
      <w:r w:rsidR="002E4FB7">
        <w:rPr>
          <w:rFonts w:hint="eastAsia"/>
          <w:lang w:eastAsia="zh-CN"/>
        </w:rPr>
        <w:t>1</w:t>
      </w:r>
      <w:r w:rsidR="002E4FB7">
        <w:rPr>
          <w:rFonts w:hint="eastAsia"/>
          <w:lang w:eastAsia="zh-CN"/>
        </w:rPr>
        <w:t>季度召开下届</w:t>
      </w:r>
      <w:r w:rsidR="002E4FB7">
        <w:rPr>
          <w:rFonts w:hint="eastAsia"/>
          <w:lang w:eastAsia="zh-CN"/>
        </w:rPr>
        <w:t>W</w:t>
      </w:r>
      <w:r w:rsidR="002E4FB7">
        <w:rPr>
          <w:lang w:eastAsia="zh-CN"/>
        </w:rPr>
        <w:t>TSA</w:t>
      </w:r>
      <w:r w:rsidR="002E4FB7">
        <w:rPr>
          <w:rFonts w:hint="eastAsia"/>
          <w:lang w:eastAsia="zh-CN"/>
        </w:rPr>
        <w:t>之前</w:t>
      </w:r>
      <w:r w:rsidR="001446D6">
        <w:rPr>
          <w:rFonts w:hint="eastAsia"/>
          <w:lang w:eastAsia="zh-CN"/>
        </w:rPr>
        <w:t>，</w:t>
      </w:r>
      <w:r w:rsidR="002E4FB7">
        <w:rPr>
          <w:rFonts w:hint="eastAsia"/>
          <w:lang w:eastAsia="zh-CN"/>
        </w:rPr>
        <w:t>当前领导团队（</w:t>
      </w:r>
      <w:r w:rsidRPr="000F4754">
        <w:rPr>
          <w:lang w:eastAsia="zh-CN"/>
        </w:rPr>
        <w:t>SG</w:t>
      </w:r>
      <w:r w:rsidR="002E4FB7">
        <w:rPr>
          <w:rFonts w:hint="eastAsia"/>
          <w:lang w:eastAsia="zh-CN"/>
        </w:rPr>
        <w:t>、</w:t>
      </w:r>
      <w:r w:rsidRPr="000F4754">
        <w:rPr>
          <w:lang w:eastAsia="zh-CN"/>
        </w:rPr>
        <w:t>TSAG</w:t>
      </w:r>
      <w:r w:rsidR="002E4FB7">
        <w:rPr>
          <w:rFonts w:hint="eastAsia"/>
          <w:lang w:eastAsia="zh-CN"/>
        </w:rPr>
        <w:t>、</w:t>
      </w:r>
      <w:r w:rsidRPr="000F4754">
        <w:rPr>
          <w:lang w:eastAsia="zh-CN"/>
        </w:rPr>
        <w:t>SCV</w:t>
      </w:r>
      <w:r w:rsidR="002E4FB7">
        <w:rPr>
          <w:rFonts w:hint="eastAsia"/>
          <w:lang w:eastAsia="zh-CN"/>
        </w:rPr>
        <w:t>、正副主席）继续履职。</w:t>
      </w:r>
      <w:bookmarkEnd w:id="9"/>
    </w:p>
    <w:p w14:paraId="59B7FC60" w14:textId="422AF062" w:rsidR="000F7E27" w:rsidRPr="000F4754" w:rsidRDefault="000F7E27" w:rsidP="000F7E27">
      <w:pPr>
        <w:pStyle w:val="enumlev3"/>
        <w:rPr>
          <w:lang w:eastAsia="zh-CN"/>
        </w:rPr>
      </w:pPr>
      <w:bookmarkStart w:id="10" w:name="lt_pId021"/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 w:rsidRPr="000F4754">
        <w:rPr>
          <w:lang w:eastAsia="zh-CN"/>
        </w:rPr>
        <w:t>WTSA</w:t>
      </w:r>
      <w:r w:rsidR="002E4FB7">
        <w:rPr>
          <w:rFonts w:hint="eastAsia"/>
          <w:lang w:eastAsia="zh-CN"/>
        </w:rPr>
        <w:t>第</w:t>
      </w:r>
      <w:r w:rsidR="002E4FB7">
        <w:rPr>
          <w:rFonts w:hint="eastAsia"/>
          <w:lang w:eastAsia="zh-CN"/>
        </w:rPr>
        <w:t>3</w:t>
      </w:r>
      <w:r w:rsidR="002E4FB7">
        <w:rPr>
          <w:lang w:eastAsia="zh-CN"/>
        </w:rPr>
        <w:t>5</w:t>
      </w:r>
      <w:r w:rsidR="002E4FB7">
        <w:rPr>
          <w:rFonts w:hint="eastAsia"/>
          <w:lang w:eastAsia="zh-CN"/>
        </w:rPr>
        <w:t>号决议引用了两届</w:t>
      </w:r>
      <w:r w:rsidR="001446D6">
        <w:rPr>
          <w:rFonts w:hint="eastAsia"/>
          <w:lang w:eastAsia="zh-CN"/>
        </w:rPr>
        <w:t>连续</w:t>
      </w:r>
      <w:r w:rsidR="002E4FB7">
        <w:rPr>
          <w:rFonts w:hint="eastAsia"/>
          <w:lang w:eastAsia="zh-CN"/>
        </w:rPr>
        <w:t>W</w:t>
      </w:r>
      <w:r w:rsidR="002E4FB7">
        <w:rPr>
          <w:lang w:eastAsia="zh-CN"/>
        </w:rPr>
        <w:t>TSA</w:t>
      </w:r>
      <w:r w:rsidR="002E4FB7">
        <w:rPr>
          <w:rFonts w:hint="eastAsia"/>
          <w:lang w:eastAsia="zh-CN"/>
        </w:rPr>
        <w:t>之间的</w:t>
      </w:r>
      <w:r w:rsidR="002E4FB7" w:rsidRPr="002E4FB7">
        <w:rPr>
          <w:rFonts w:hint="eastAsia"/>
          <w:lang w:eastAsia="zh-CN"/>
        </w:rPr>
        <w:t>任职期限</w:t>
      </w:r>
      <w:r w:rsidR="002E4FB7">
        <w:rPr>
          <w:rFonts w:hint="eastAsia"/>
          <w:lang w:eastAsia="zh-CN"/>
        </w:rPr>
        <w:t>（</w:t>
      </w:r>
      <w:r w:rsidR="002E4FB7" w:rsidRPr="002E4FB7">
        <w:rPr>
          <w:rFonts w:hint="eastAsia"/>
          <w:lang w:eastAsia="zh-CN"/>
        </w:rPr>
        <w:t>但不是任职年数</w:t>
      </w:r>
      <w:r w:rsidR="002E4FB7">
        <w:rPr>
          <w:rFonts w:hint="eastAsia"/>
          <w:lang w:eastAsia="zh-CN"/>
        </w:rPr>
        <w:t>），例如</w:t>
      </w:r>
      <w:r w:rsidR="002E4FB7" w:rsidRPr="00E26EF2">
        <w:rPr>
          <w:rFonts w:ascii="STKaiti" w:eastAsia="STKaiti" w:hAnsi="STKaiti" w:hint="eastAsia"/>
          <w:lang w:eastAsia="zh-CN"/>
        </w:rPr>
        <w:t>做出决议</w:t>
      </w:r>
      <w:r w:rsidRPr="000F4754">
        <w:rPr>
          <w:lang w:eastAsia="zh-CN"/>
        </w:rPr>
        <w:t xml:space="preserve">4) </w:t>
      </w:r>
      <w:r w:rsidR="00E26EF2" w:rsidRPr="00E26EF2">
        <w:rPr>
          <w:rFonts w:ascii="SimSun" w:hAnsi="SimSun"/>
          <w:lang w:eastAsia="zh-CN"/>
        </w:rPr>
        <w:t>“</w:t>
      </w:r>
      <w:r w:rsidR="00A81FED" w:rsidRPr="00A81FED">
        <w:rPr>
          <w:rFonts w:ascii="STKaiti" w:eastAsia="STKaiti" w:hAnsi="STKaiti" w:hint="eastAsia"/>
          <w:lang w:eastAsia="zh-CN"/>
        </w:rPr>
        <w:t>正副主席的任期不应超过连续全会之间的两个（研究）期；</w:t>
      </w:r>
      <w:r w:rsidR="00E26EF2" w:rsidRPr="00E26EF2">
        <w:rPr>
          <w:rFonts w:ascii="SimSun" w:hAnsi="SimSun"/>
          <w:lang w:eastAsia="zh-CN"/>
        </w:rPr>
        <w:t>”</w:t>
      </w:r>
      <w:bookmarkEnd w:id="10"/>
    </w:p>
    <w:p w14:paraId="0259E0C5" w14:textId="53BDCA4C" w:rsidR="000F7E27" w:rsidRPr="000F4754" w:rsidRDefault="000F7E27" w:rsidP="00E26EF2">
      <w:pPr>
        <w:pStyle w:val="enumlev2"/>
        <w:keepNext/>
        <w:keepLines/>
        <w:rPr>
          <w:lang w:eastAsia="zh-CN"/>
        </w:rPr>
      </w:pPr>
      <w:bookmarkStart w:id="11" w:name="lt_pId022"/>
      <w:r>
        <w:rPr>
          <w:lang w:eastAsia="zh-CN"/>
        </w:rPr>
        <w:lastRenderedPageBreak/>
        <w:t>b)</w:t>
      </w:r>
      <w:r>
        <w:rPr>
          <w:lang w:eastAsia="zh-CN"/>
        </w:rPr>
        <w:tab/>
      </w:r>
      <w:r w:rsidR="002E4FB7">
        <w:rPr>
          <w:rFonts w:hint="eastAsia"/>
          <w:lang w:eastAsia="zh-CN"/>
        </w:rPr>
        <w:t>如果正副主席在下届</w:t>
      </w:r>
      <w:r w:rsidR="002E4FB7">
        <w:rPr>
          <w:rFonts w:hint="eastAsia"/>
          <w:lang w:eastAsia="zh-CN"/>
        </w:rPr>
        <w:t>W</w:t>
      </w:r>
      <w:r w:rsidR="002E4FB7">
        <w:rPr>
          <w:lang w:eastAsia="zh-CN"/>
        </w:rPr>
        <w:t>TSA</w:t>
      </w:r>
      <w:r w:rsidR="002E4FB7">
        <w:rPr>
          <w:rFonts w:hint="eastAsia"/>
          <w:lang w:eastAsia="zh-CN"/>
        </w:rPr>
        <w:t>前无法继续履职，则应启用</w:t>
      </w:r>
      <w:r w:rsidRPr="000F4754">
        <w:rPr>
          <w:lang w:eastAsia="zh-CN"/>
        </w:rPr>
        <w:t>CV 244</w:t>
      </w:r>
      <w:r w:rsidR="002E4FB7">
        <w:rPr>
          <w:rFonts w:hint="eastAsia"/>
          <w:lang w:eastAsia="zh-CN"/>
        </w:rPr>
        <w:t>：</w:t>
      </w:r>
      <w:bookmarkEnd w:id="11"/>
    </w:p>
    <w:p w14:paraId="4D109CA3" w14:textId="4947A069" w:rsidR="000F7E27" w:rsidRPr="000F4754" w:rsidRDefault="000F7E27" w:rsidP="000F7E27">
      <w:pPr>
        <w:pStyle w:val="enumlev3"/>
        <w:rPr>
          <w:lang w:eastAsia="zh-CN"/>
        </w:rPr>
      </w:pPr>
      <w:bookmarkStart w:id="12" w:name="lt_pId023"/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 w:rsidRPr="00F4254F">
        <w:rPr>
          <w:lang w:eastAsia="zh-CN"/>
        </w:rPr>
        <w:t>CV 244</w:t>
      </w:r>
      <w:proofErr w:type="gramStart"/>
      <w:r w:rsidR="00E26EF2">
        <w:rPr>
          <w:rFonts w:hint="eastAsia"/>
          <w:lang w:eastAsia="zh-CN"/>
        </w:rPr>
        <w:t>：</w:t>
      </w:r>
      <w:r w:rsidR="00E26EF2" w:rsidRPr="00E26EF2">
        <w:rPr>
          <w:rFonts w:ascii="SimSun" w:hAnsi="SimSun"/>
          <w:lang w:eastAsia="zh-CN"/>
        </w:rPr>
        <w:t>“</w:t>
      </w:r>
      <w:bookmarkStart w:id="13" w:name="lt_pId025"/>
      <w:bookmarkEnd w:id="12"/>
      <w:proofErr w:type="gramEnd"/>
      <w:r w:rsidR="00653363" w:rsidRPr="00653363">
        <w:rPr>
          <w:rFonts w:asciiTheme="minorHAnsi" w:eastAsia="STKaiti" w:hAnsiTheme="minorHAnsi" w:cstheme="minorHAnsi"/>
          <w:lang w:eastAsia="zh-CN"/>
        </w:rPr>
        <w:t xml:space="preserve">3 </w:t>
      </w:r>
      <w:r w:rsidR="00653363" w:rsidRPr="00653363">
        <w:rPr>
          <w:rFonts w:asciiTheme="minorHAnsi" w:eastAsia="STKaiti" w:hAnsiTheme="minorHAnsi" w:cstheme="minorHAnsi"/>
          <w:lang w:eastAsia="zh-CN"/>
        </w:rPr>
        <w:t>如果在有关部门的两届全会或大会之间，一研究组的主席不能履行其职责而研究组又仅有一位副主席，则该副主席须接替主席的职位。如果一研究组任命了一位以上的副主席，则该研究组须在下次开会时从那些副主席中选举一位主席，并在必要时从研究组成员中选举一位副主席。如果副主席之一在此期间不能履行其职责，大会须以同样方式选举一位副主席。</w:t>
      </w:r>
      <w:r w:rsidR="00E26EF2" w:rsidRPr="00E26EF2">
        <w:rPr>
          <w:rFonts w:ascii="SimSun" w:hAnsi="SimSun"/>
          <w:i/>
          <w:iCs/>
          <w:lang w:eastAsia="zh-CN"/>
        </w:rPr>
        <w:t>”</w:t>
      </w:r>
      <w:bookmarkEnd w:id="13"/>
    </w:p>
    <w:p w14:paraId="11560677" w14:textId="412B5D9E" w:rsidR="000F7E27" w:rsidRPr="000F4754" w:rsidRDefault="000F7E27" w:rsidP="000F7E27">
      <w:pPr>
        <w:pStyle w:val="enumlev2"/>
        <w:rPr>
          <w:lang w:eastAsia="zh-CN"/>
        </w:rPr>
      </w:pPr>
      <w:bookmarkStart w:id="14" w:name="lt_pId026"/>
      <w:r>
        <w:rPr>
          <w:lang w:eastAsia="zh-CN"/>
        </w:rPr>
        <w:t>c)</w:t>
      </w:r>
      <w:r>
        <w:rPr>
          <w:lang w:eastAsia="zh-CN"/>
        </w:rPr>
        <w:tab/>
      </w:r>
      <w:bookmarkEnd w:id="14"/>
      <w:r w:rsidR="002E4FB7" w:rsidRPr="002E4FB7">
        <w:rPr>
          <w:rFonts w:hint="eastAsia"/>
          <w:spacing w:val="-2"/>
          <w:lang w:eastAsia="zh-CN"/>
        </w:rPr>
        <w:t>迄今收到的</w:t>
      </w:r>
      <w:r w:rsidR="005E72C6" w:rsidRPr="005E72C6">
        <w:rPr>
          <w:rFonts w:hint="eastAsia"/>
          <w:spacing w:val="-2"/>
          <w:lang w:eastAsia="zh-CN"/>
        </w:rPr>
        <w:t>世界电信标准化全会</w:t>
      </w:r>
      <w:r w:rsidR="002E4FB7" w:rsidRPr="002E4FB7">
        <w:rPr>
          <w:rFonts w:hint="eastAsia"/>
          <w:spacing w:val="-2"/>
          <w:lang w:eastAsia="zh-CN"/>
        </w:rPr>
        <w:t>新领导候选人将继续</w:t>
      </w:r>
      <w:r w:rsidR="005E72C6">
        <w:rPr>
          <w:rFonts w:hint="eastAsia"/>
          <w:spacing w:val="-2"/>
          <w:lang w:eastAsia="zh-CN"/>
        </w:rPr>
        <w:t>载于</w:t>
      </w:r>
      <w:r w:rsidR="002E4FB7" w:rsidRPr="002E4FB7">
        <w:rPr>
          <w:rFonts w:hint="eastAsia"/>
          <w:spacing w:val="-2"/>
          <w:lang w:eastAsia="zh-CN"/>
        </w:rPr>
        <w:t>WTSA</w:t>
      </w:r>
      <w:r w:rsidR="002E4FB7" w:rsidRPr="002E4FB7">
        <w:rPr>
          <w:rFonts w:hint="eastAsia"/>
          <w:spacing w:val="-2"/>
          <w:lang w:eastAsia="zh-CN"/>
        </w:rPr>
        <w:t>网站，</w:t>
      </w:r>
      <w:r w:rsidR="005E72C6">
        <w:rPr>
          <w:rFonts w:hint="eastAsia"/>
          <w:spacing w:val="-2"/>
          <w:lang w:eastAsia="zh-CN"/>
        </w:rPr>
        <w:t>且</w:t>
      </w:r>
      <w:r w:rsidR="002E4FB7" w:rsidRPr="002E4FB7">
        <w:rPr>
          <w:rFonts w:hint="eastAsia"/>
          <w:spacing w:val="-2"/>
          <w:lang w:eastAsia="zh-CN"/>
        </w:rPr>
        <w:t>提名成员国</w:t>
      </w:r>
      <w:r w:rsidR="00E26EF2">
        <w:rPr>
          <w:rFonts w:hint="eastAsia"/>
          <w:spacing w:val="-2"/>
          <w:lang w:eastAsia="zh-CN"/>
        </w:rPr>
        <w:t>或</w:t>
      </w:r>
      <w:r w:rsidR="005E72C6">
        <w:rPr>
          <w:rFonts w:hint="eastAsia"/>
          <w:spacing w:val="-2"/>
          <w:lang w:eastAsia="zh-CN"/>
        </w:rPr>
        <w:t>部门成员</w:t>
      </w:r>
      <w:r w:rsidR="002E4FB7" w:rsidRPr="002E4FB7">
        <w:rPr>
          <w:rFonts w:hint="eastAsia"/>
          <w:spacing w:val="-2"/>
          <w:lang w:eastAsia="zh-CN"/>
        </w:rPr>
        <w:t>在新提名截止日期之前</w:t>
      </w:r>
      <w:r w:rsidR="005E72C6">
        <w:rPr>
          <w:rFonts w:hint="eastAsia"/>
          <w:spacing w:val="-2"/>
          <w:lang w:eastAsia="zh-CN"/>
        </w:rPr>
        <w:t>可</w:t>
      </w:r>
      <w:r w:rsidR="002E4FB7" w:rsidRPr="002E4FB7">
        <w:rPr>
          <w:rFonts w:hint="eastAsia"/>
          <w:spacing w:val="-2"/>
          <w:lang w:eastAsia="zh-CN"/>
        </w:rPr>
        <w:t>随时修订</w:t>
      </w:r>
      <w:r w:rsidR="005E72C6">
        <w:rPr>
          <w:rFonts w:hint="eastAsia"/>
          <w:spacing w:val="-2"/>
          <w:lang w:eastAsia="zh-CN"/>
        </w:rPr>
        <w:t>。</w:t>
      </w:r>
      <w:r w:rsidR="002E4FB7" w:rsidRPr="002E4FB7">
        <w:rPr>
          <w:rFonts w:hint="eastAsia"/>
          <w:spacing w:val="-2"/>
          <w:lang w:eastAsia="zh-CN"/>
        </w:rPr>
        <w:t>新的提名截止日期将适时公布。</w:t>
      </w:r>
    </w:p>
    <w:p w14:paraId="2C42C744" w14:textId="160129D2" w:rsidR="000F7E27" w:rsidRPr="00E54A2F" w:rsidRDefault="000F7E27" w:rsidP="000F7E27">
      <w:pPr>
        <w:pStyle w:val="enumlev1"/>
        <w:rPr>
          <w:lang w:eastAsia="zh-CN"/>
        </w:rPr>
      </w:pPr>
      <w:bookmarkStart w:id="15" w:name="lt_pId027"/>
      <w:r>
        <w:rPr>
          <w:lang w:eastAsia="zh-CN"/>
        </w:rPr>
        <w:t>2)</w:t>
      </w:r>
      <w:r>
        <w:rPr>
          <w:lang w:eastAsia="zh-CN"/>
        </w:rPr>
        <w:tab/>
      </w:r>
      <w:r w:rsidR="002E4FB7">
        <w:rPr>
          <w:rFonts w:hint="eastAsia"/>
          <w:lang w:eastAsia="zh-CN"/>
        </w:rPr>
        <w:t>新的</w:t>
      </w:r>
      <w:r w:rsidRPr="00E54A2F">
        <w:rPr>
          <w:lang w:eastAsia="zh-CN"/>
        </w:rPr>
        <w:t>/</w:t>
      </w:r>
      <w:r w:rsidR="002E4FB7">
        <w:rPr>
          <w:rFonts w:hint="eastAsia"/>
          <w:lang w:eastAsia="zh-CN"/>
        </w:rPr>
        <w:t>经修订的课题案文：</w:t>
      </w:r>
      <w:bookmarkEnd w:id="15"/>
    </w:p>
    <w:p w14:paraId="18E352D9" w14:textId="46090AD1" w:rsidR="000F7E27" w:rsidRPr="000F4754" w:rsidRDefault="000F7E27" w:rsidP="00653363">
      <w:pPr>
        <w:pStyle w:val="enumlev2"/>
        <w:rPr>
          <w:lang w:eastAsia="zh-CN"/>
        </w:rPr>
      </w:pPr>
      <w:bookmarkStart w:id="16" w:name="lt_pId028"/>
      <w:r>
        <w:rPr>
          <w:lang w:eastAsia="zh-CN"/>
        </w:rPr>
        <w:t>a)</w:t>
      </w:r>
      <w:r>
        <w:rPr>
          <w:lang w:eastAsia="zh-CN"/>
        </w:rPr>
        <w:tab/>
      </w:r>
      <w:bookmarkEnd w:id="16"/>
      <w:r w:rsidR="005E72C6" w:rsidRPr="005E72C6">
        <w:rPr>
          <w:rFonts w:hint="eastAsia"/>
          <w:lang w:eastAsia="zh-CN"/>
        </w:rPr>
        <w:t>所有研究组都编写了提交</w:t>
      </w:r>
      <w:r w:rsidR="005E72C6" w:rsidRPr="005E72C6">
        <w:rPr>
          <w:rFonts w:hint="eastAsia"/>
          <w:lang w:eastAsia="zh-CN"/>
        </w:rPr>
        <w:t>WTSA</w:t>
      </w:r>
      <w:r w:rsidR="005E72C6">
        <w:rPr>
          <w:rFonts w:hint="eastAsia"/>
          <w:lang w:eastAsia="zh-CN"/>
        </w:rPr>
        <w:t>报告</w:t>
      </w:r>
      <w:r w:rsidR="005E72C6" w:rsidRPr="005E72C6">
        <w:rPr>
          <w:rFonts w:hint="eastAsia"/>
          <w:lang w:eastAsia="zh-CN"/>
        </w:rPr>
        <w:t>的第一部分和第二部分，并</w:t>
      </w:r>
      <w:r w:rsidR="005E72C6">
        <w:rPr>
          <w:rFonts w:hint="eastAsia"/>
          <w:lang w:eastAsia="zh-CN"/>
        </w:rPr>
        <w:t>据</w:t>
      </w:r>
      <w:r w:rsidR="005E72C6" w:rsidRPr="005E72C6">
        <w:rPr>
          <w:rFonts w:hint="eastAsia"/>
          <w:lang w:eastAsia="zh-CN"/>
        </w:rPr>
        <w:t>此修订了</w:t>
      </w:r>
      <w:r w:rsidR="005E72C6">
        <w:rPr>
          <w:rFonts w:hint="eastAsia"/>
          <w:lang w:eastAsia="zh-CN"/>
        </w:rPr>
        <w:t>课</w:t>
      </w:r>
      <w:r w:rsidR="005E72C6" w:rsidRPr="005E72C6">
        <w:rPr>
          <w:rFonts w:hint="eastAsia"/>
          <w:lang w:eastAsia="zh-CN"/>
        </w:rPr>
        <w:t>题的案文。</w:t>
      </w:r>
    </w:p>
    <w:p w14:paraId="63EE0BD2" w14:textId="40DF5B49" w:rsidR="000F7E27" w:rsidRPr="000F4754" w:rsidRDefault="000F7E27" w:rsidP="000F7E27">
      <w:pPr>
        <w:pStyle w:val="enumlev2"/>
        <w:rPr>
          <w:lang w:eastAsia="zh-CN"/>
        </w:rPr>
      </w:pPr>
      <w:bookmarkStart w:id="17" w:name="lt_pId029"/>
      <w:r>
        <w:rPr>
          <w:lang w:eastAsia="zh-CN"/>
        </w:rPr>
        <w:t>b)</w:t>
      </w:r>
      <w:r>
        <w:rPr>
          <w:lang w:eastAsia="zh-CN"/>
        </w:rPr>
        <w:tab/>
      </w:r>
      <w:r w:rsidR="005E72C6">
        <w:rPr>
          <w:rFonts w:hint="eastAsia"/>
          <w:lang w:eastAsia="zh-CN"/>
        </w:rPr>
        <w:t>将使用研究组向世界电信标准化</w:t>
      </w:r>
      <w:r w:rsidR="00D3081A">
        <w:rPr>
          <w:rFonts w:hint="eastAsia"/>
          <w:lang w:eastAsia="zh-CN"/>
        </w:rPr>
        <w:t>全</w:t>
      </w:r>
      <w:r w:rsidR="005E72C6">
        <w:rPr>
          <w:rFonts w:hint="eastAsia"/>
          <w:lang w:eastAsia="zh-CN"/>
        </w:rPr>
        <w:t>会提交报告第二部分</w:t>
      </w:r>
      <w:r w:rsidR="001446D6">
        <w:rPr>
          <w:rFonts w:hint="eastAsia"/>
          <w:lang w:eastAsia="zh-CN"/>
        </w:rPr>
        <w:t>中</w:t>
      </w:r>
      <w:r w:rsidR="005E72C6">
        <w:rPr>
          <w:rFonts w:hint="eastAsia"/>
          <w:lang w:eastAsia="zh-CN"/>
        </w:rPr>
        <w:t>当前课题的案文，对</w:t>
      </w:r>
      <w:r w:rsidRPr="000F4754">
        <w:rPr>
          <w:lang w:eastAsia="zh-CN"/>
        </w:rPr>
        <w:t>WTSA</w:t>
      </w:r>
      <w:r w:rsidR="005E72C6">
        <w:rPr>
          <w:rFonts w:hint="eastAsia"/>
          <w:lang w:eastAsia="zh-CN"/>
        </w:rPr>
        <w:t>第</w:t>
      </w:r>
      <w:r w:rsidR="005E72C6">
        <w:rPr>
          <w:rFonts w:hint="eastAsia"/>
          <w:lang w:eastAsia="zh-CN"/>
        </w:rPr>
        <w:t>1</w:t>
      </w:r>
      <w:r w:rsidR="005E72C6">
        <w:rPr>
          <w:rFonts w:hint="eastAsia"/>
          <w:lang w:eastAsia="zh-CN"/>
        </w:rPr>
        <w:t>号决议第</w:t>
      </w:r>
      <w:r w:rsidRPr="00653363">
        <w:rPr>
          <w:lang w:eastAsia="zh-CN"/>
        </w:rPr>
        <w:t>7.2</w:t>
      </w:r>
      <w:r w:rsidR="005E72C6">
        <w:rPr>
          <w:rFonts w:hint="eastAsia"/>
          <w:lang w:eastAsia="zh-CN"/>
        </w:rPr>
        <w:t>节</w:t>
      </w:r>
      <w:r w:rsidR="00A81FED" w:rsidRPr="00A81FED">
        <w:rPr>
          <w:rFonts w:ascii="STKaiti" w:eastAsia="STKaiti" w:hAnsi="STKaiti" w:hint="eastAsia"/>
          <w:lang w:eastAsia="zh-CN"/>
        </w:rPr>
        <w:t>在两届世界电信标准化全会之间对新的或经修订的课题的批准</w:t>
      </w:r>
      <w:r w:rsidR="005E72C6">
        <w:rPr>
          <w:rFonts w:hint="eastAsia"/>
          <w:lang w:eastAsia="zh-CN"/>
        </w:rPr>
        <w:t>的内容加以跟进。</w:t>
      </w:r>
      <w:bookmarkEnd w:id="17"/>
    </w:p>
    <w:p w14:paraId="3E4871F2" w14:textId="1E840E0B" w:rsidR="000F7E27" w:rsidRPr="000F4754" w:rsidRDefault="000F7E27" w:rsidP="000F7E27">
      <w:pPr>
        <w:pStyle w:val="enumlev2"/>
        <w:rPr>
          <w:lang w:eastAsia="zh-CN"/>
        </w:rPr>
      </w:pPr>
      <w:bookmarkStart w:id="18" w:name="lt_pId030"/>
      <w:r>
        <w:rPr>
          <w:lang w:eastAsia="zh-CN"/>
        </w:rPr>
        <w:t>c)</w:t>
      </w:r>
      <w:r>
        <w:rPr>
          <w:lang w:eastAsia="zh-CN"/>
        </w:rPr>
        <w:tab/>
      </w:r>
      <w:bookmarkEnd w:id="18"/>
      <w:r w:rsidR="00D3081A" w:rsidRPr="00D3081A">
        <w:rPr>
          <w:rFonts w:hint="eastAsia"/>
          <w:lang w:eastAsia="zh-CN"/>
        </w:rPr>
        <w:t>随着研究期延长至</w:t>
      </w:r>
      <w:r w:rsidR="00D3081A" w:rsidRPr="00D3081A">
        <w:rPr>
          <w:rFonts w:hint="eastAsia"/>
          <w:lang w:eastAsia="zh-CN"/>
        </w:rPr>
        <w:t>2022</w:t>
      </w:r>
      <w:r w:rsidR="00D3081A" w:rsidRPr="00D3081A">
        <w:rPr>
          <w:rFonts w:hint="eastAsia"/>
          <w:lang w:eastAsia="zh-CN"/>
        </w:rPr>
        <w:t>年</w:t>
      </w:r>
      <w:r w:rsidR="00D3081A">
        <w:rPr>
          <w:rFonts w:hint="eastAsia"/>
          <w:lang w:eastAsia="zh-CN"/>
        </w:rPr>
        <w:t>第</w:t>
      </w:r>
      <w:r w:rsidR="00D3081A">
        <w:rPr>
          <w:rFonts w:hint="eastAsia"/>
          <w:lang w:eastAsia="zh-CN"/>
        </w:rPr>
        <w:t>1</w:t>
      </w:r>
      <w:r w:rsidR="00D3081A">
        <w:rPr>
          <w:rFonts w:hint="eastAsia"/>
          <w:lang w:eastAsia="zh-CN"/>
        </w:rPr>
        <w:t>季度</w:t>
      </w:r>
      <w:r w:rsidR="00D3081A" w:rsidRPr="00D3081A">
        <w:rPr>
          <w:rFonts w:hint="eastAsia"/>
          <w:lang w:eastAsia="zh-CN"/>
        </w:rPr>
        <w:t>，研究组将继续开展工作并在</w:t>
      </w:r>
      <w:r w:rsidR="00D3081A">
        <w:rPr>
          <w:rFonts w:hint="eastAsia"/>
          <w:lang w:val="en-US" w:eastAsia="zh-CN"/>
        </w:rPr>
        <w:t>先于</w:t>
      </w:r>
      <w:r w:rsidR="00D3081A" w:rsidRPr="00D3081A">
        <w:rPr>
          <w:rFonts w:hint="eastAsia"/>
          <w:lang w:eastAsia="zh-CN"/>
        </w:rPr>
        <w:t>WTSA</w:t>
      </w:r>
      <w:r w:rsidR="00D3081A">
        <w:rPr>
          <w:rFonts w:hint="eastAsia"/>
          <w:lang w:eastAsia="zh-CN"/>
        </w:rPr>
        <w:t>召开</w:t>
      </w:r>
      <w:r w:rsidR="00D3081A" w:rsidRPr="00D3081A">
        <w:rPr>
          <w:rFonts w:hint="eastAsia"/>
          <w:lang w:eastAsia="zh-CN"/>
        </w:rPr>
        <w:t>的最后一次</w:t>
      </w:r>
      <w:r w:rsidR="00D3081A" w:rsidRPr="00D3081A">
        <w:rPr>
          <w:rFonts w:hint="eastAsia"/>
          <w:lang w:eastAsia="zh-CN"/>
        </w:rPr>
        <w:t>TSAG</w:t>
      </w:r>
      <w:r w:rsidR="00D3081A" w:rsidRPr="00D3081A">
        <w:rPr>
          <w:rFonts w:hint="eastAsia"/>
          <w:lang w:eastAsia="zh-CN"/>
        </w:rPr>
        <w:t>会议</w:t>
      </w:r>
      <w:r w:rsidR="00D3081A">
        <w:rPr>
          <w:rFonts w:hint="eastAsia"/>
          <w:lang w:eastAsia="zh-CN"/>
        </w:rPr>
        <w:t>（</w:t>
      </w:r>
      <w:r w:rsidR="00D3081A" w:rsidRPr="00D3081A">
        <w:rPr>
          <w:rFonts w:hint="eastAsia"/>
          <w:lang w:eastAsia="zh-CN"/>
        </w:rPr>
        <w:t>时间</w:t>
      </w:r>
      <w:r w:rsidR="00D3081A">
        <w:rPr>
          <w:rFonts w:hint="eastAsia"/>
          <w:lang w:eastAsia="zh-CN"/>
        </w:rPr>
        <w:t>待定）</w:t>
      </w:r>
      <w:r w:rsidR="00D3081A" w:rsidRPr="00D3081A">
        <w:rPr>
          <w:rFonts w:hint="eastAsia"/>
          <w:lang w:eastAsia="zh-CN"/>
        </w:rPr>
        <w:t>之前</w:t>
      </w:r>
      <w:r w:rsidR="00D3081A">
        <w:rPr>
          <w:rFonts w:hint="eastAsia"/>
          <w:lang w:eastAsia="zh-CN"/>
        </w:rPr>
        <w:t>，</w:t>
      </w:r>
      <w:r w:rsidR="00D3081A" w:rsidRPr="00D3081A">
        <w:rPr>
          <w:rFonts w:hint="eastAsia"/>
          <w:lang w:eastAsia="zh-CN"/>
        </w:rPr>
        <w:t>修订</w:t>
      </w:r>
      <w:r w:rsidR="00D3081A">
        <w:rPr>
          <w:rFonts w:hint="eastAsia"/>
          <w:lang w:eastAsia="zh-CN"/>
        </w:rPr>
        <w:t>研究组向</w:t>
      </w:r>
      <w:r w:rsidR="00D3081A" w:rsidRPr="00D3081A">
        <w:rPr>
          <w:rFonts w:hint="eastAsia"/>
          <w:lang w:eastAsia="zh-CN"/>
        </w:rPr>
        <w:t>WTSA</w:t>
      </w:r>
      <w:r w:rsidR="00D3081A" w:rsidRPr="00D3081A">
        <w:rPr>
          <w:rFonts w:hint="eastAsia"/>
          <w:lang w:eastAsia="zh-CN"/>
        </w:rPr>
        <w:t>提交报告的第一和第二部分。</w:t>
      </w:r>
    </w:p>
    <w:p w14:paraId="7C483803" w14:textId="487C40A9" w:rsidR="000F7E27" w:rsidRDefault="000F7E27" w:rsidP="000F7E27">
      <w:pPr>
        <w:pStyle w:val="enumlev1"/>
        <w:rPr>
          <w:lang w:eastAsia="zh-CN"/>
        </w:rPr>
      </w:pPr>
      <w:bookmarkStart w:id="19" w:name="lt_pId031"/>
      <w:r>
        <w:rPr>
          <w:lang w:eastAsia="zh-CN"/>
        </w:rPr>
        <w:t>3)</w:t>
      </w:r>
      <w:r>
        <w:rPr>
          <w:lang w:eastAsia="zh-CN"/>
        </w:rPr>
        <w:tab/>
      </w:r>
      <w:bookmarkEnd w:id="19"/>
      <w:r w:rsidR="00D3081A" w:rsidRPr="00D3081A">
        <w:rPr>
          <w:rFonts w:hint="eastAsia"/>
          <w:lang w:eastAsia="zh-CN"/>
        </w:rPr>
        <w:t>TSAG</w:t>
      </w:r>
      <w:r w:rsidR="00D3081A">
        <w:rPr>
          <w:rFonts w:hint="eastAsia"/>
          <w:lang w:eastAsia="zh-CN"/>
        </w:rPr>
        <w:t>可依据</w:t>
      </w:r>
      <w:r w:rsidR="00D3081A" w:rsidRPr="00D3081A">
        <w:rPr>
          <w:rFonts w:hint="eastAsia"/>
          <w:lang w:eastAsia="zh-CN"/>
        </w:rPr>
        <w:t>WTSA-16</w:t>
      </w:r>
      <w:r w:rsidR="00D3081A" w:rsidRPr="00D3081A">
        <w:rPr>
          <w:rFonts w:hint="eastAsia"/>
          <w:lang w:eastAsia="zh-CN"/>
        </w:rPr>
        <w:t>的当前授权</w:t>
      </w:r>
      <w:r w:rsidR="00D3081A">
        <w:rPr>
          <w:rFonts w:hint="eastAsia"/>
          <w:lang w:eastAsia="zh-CN"/>
        </w:rPr>
        <w:t>启用</w:t>
      </w:r>
      <w:r w:rsidR="00D3081A" w:rsidRPr="00D3081A">
        <w:rPr>
          <w:rFonts w:hint="eastAsia"/>
          <w:lang w:eastAsia="zh-CN"/>
        </w:rPr>
        <w:t>研究组正在编写的</w:t>
      </w:r>
      <w:r w:rsidR="00D3081A">
        <w:rPr>
          <w:rFonts w:hint="eastAsia"/>
          <w:lang w:eastAsia="zh-CN"/>
        </w:rPr>
        <w:t>职责范围</w:t>
      </w:r>
      <w:r w:rsidR="00D3081A" w:rsidRPr="00D3081A">
        <w:rPr>
          <w:rFonts w:hint="eastAsia"/>
          <w:lang w:eastAsia="zh-CN"/>
        </w:rPr>
        <w:t>更新</w:t>
      </w:r>
      <w:r w:rsidR="00D3081A">
        <w:rPr>
          <w:rFonts w:hint="eastAsia"/>
          <w:lang w:eastAsia="zh-CN"/>
        </w:rPr>
        <w:t>内容（</w:t>
      </w:r>
      <w:r w:rsidR="00D3081A" w:rsidRPr="00D3081A">
        <w:rPr>
          <w:rFonts w:hint="eastAsia"/>
          <w:lang w:eastAsia="zh-CN"/>
        </w:rPr>
        <w:t>根据</w:t>
      </w:r>
      <w:r w:rsidR="00D3081A" w:rsidRPr="00D3081A">
        <w:rPr>
          <w:rFonts w:hint="eastAsia"/>
          <w:lang w:eastAsia="zh-CN"/>
        </w:rPr>
        <w:t>TSAG</w:t>
      </w:r>
      <w:r w:rsidR="001446D6">
        <w:rPr>
          <w:rFonts w:hint="eastAsia"/>
          <w:lang w:eastAsia="zh-CN"/>
        </w:rPr>
        <w:t>的</w:t>
      </w:r>
      <w:r w:rsidR="00D3081A" w:rsidRPr="00D3081A">
        <w:rPr>
          <w:rFonts w:hint="eastAsia"/>
          <w:lang w:eastAsia="zh-CN"/>
        </w:rPr>
        <w:t>指</w:t>
      </w:r>
      <w:r w:rsidR="001446D6">
        <w:rPr>
          <w:rFonts w:hint="eastAsia"/>
          <w:lang w:eastAsia="zh-CN"/>
        </w:rPr>
        <w:t>示</w:t>
      </w:r>
      <w:r w:rsidR="00D3081A" w:rsidRPr="00D3081A">
        <w:rPr>
          <w:rFonts w:hint="eastAsia"/>
          <w:lang w:eastAsia="zh-CN"/>
        </w:rPr>
        <w:t>，不涉及</w:t>
      </w:r>
      <w:r w:rsidR="00D3081A">
        <w:rPr>
          <w:rFonts w:hint="eastAsia"/>
          <w:lang w:eastAsia="zh-CN"/>
        </w:rPr>
        <w:t>跨研究组的职责范围转移），其内容可参见研究组向</w:t>
      </w:r>
      <w:r w:rsidR="00D3081A" w:rsidRPr="00D3081A">
        <w:rPr>
          <w:rFonts w:hint="eastAsia"/>
          <w:lang w:eastAsia="zh-CN"/>
        </w:rPr>
        <w:t>WTSA</w:t>
      </w:r>
      <w:r w:rsidR="00D3081A" w:rsidRPr="00D3081A">
        <w:rPr>
          <w:rFonts w:hint="eastAsia"/>
          <w:lang w:eastAsia="zh-CN"/>
        </w:rPr>
        <w:t>提交报告第一部分</w:t>
      </w:r>
      <w:r w:rsidR="00D3081A">
        <w:rPr>
          <w:rFonts w:hint="eastAsia"/>
          <w:lang w:eastAsia="zh-CN"/>
        </w:rPr>
        <w:t>的</w:t>
      </w:r>
      <w:r w:rsidR="00D3081A" w:rsidRPr="00D3081A">
        <w:rPr>
          <w:rFonts w:hint="eastAsia"/>
          <w:lang w:eastAsia="zh-CN"/>
        </w:rPr>
        <w:t>附件</w:t>
      </w:r>
      <w:r w:rsidR="00D3081A" w:rsidRPr="00D3081A">
        <w:rPr>
          <w:rFonts w:hint="eastAsia"/>
          <w:lang w:eastAsia="zh-CN"/>
        </w:rPr>
        <w:t>2</w:t>
      </w:r>
      <w:r w:rsidR="00D3081A" w:rsidRPr="00D3081A">
        <w:rPr>
          <w:rFonts w:hint="eastAsia"/>
          <w:lang w:eastAsia="zh-CN"/>
        </w:rPr>
        <w:t>。</w:t>
      </w:r>
      <w:r w:rsidR="00B14D43">
        <w:rPr>
          <w:rFonts w:hint="eastAsia"/>
          <w:lang w:eastAsia="zh-CN"/>
        </w:rPr>
        <w:t>研究组</w:t>
      </w:r>
      <w:r w:rsidR="00D3081A" w:rsidRPr="00D3081A">
        <w:rPr>
          <w:rFonts w:hint="eastAsia"/>
          <w:lang w:eastAsia="zh-CN"/>
        </w:rPr>
        <w:t>内部的更新与</w:t>
      </w:r>
      <w:r w:rsidR="00B14D43">
        <w:rPr>
          <w:rFonts w:hint="eastAsia"/>
          <w:lang w:eastAsia="zh-CN"/>
        </w:rPr>
        <w:t>研究组</w:t>
      </w:r>
      <w:r w:rsidR="00D3081A" w:rsidRPr="00D3081A">
        <w:rPr>
          <w:rFonts w:hint="eastAsia"/>
          <w:lang w:eastAsia="zh-CN"/>
        </w:rPr>
        <w:t>结构的讨论结果</w:t>
      </w:r>
      <w:r w:rsidR="00B14D43">
        <w:rPr>
          <w:rFonts w:hint="eastAsia"/>
          <w:lang w:eastAsia="zh-CN"/>
        </w:rPr>
        <w:t>互不相干</w:t>
      </w:r>
      <w:r w:rsidR="00D3081A" w:rsidRPr="00D3081A">
        <w:rPr>
          <w:rFonts w:hint="eastAsia"/>
          <w:lang w:eastAsia="zh-CN"/>
        </w:rPr>
        <w:t>，</w:t>
      </w:r>
      <w:r w:rsidR="00B14D43">
        <w:rPr>
          <w:rFonts w:hint="eastAsia"/>
          <w:lang w:eastAsia="zh-CN"/>
        </w:rPr>
        <w:t>且不</w:t>
      </w:r>
      <w:r w:rsidR="001446D6">
        <w:rPr>
          <w:rFonts w:hint="eastAsia"/>
          <w:lang w:eastAsia="zh-CN"/>
        </w:rPr>
        <w:t>会</w:t>
      </w:r>
      <w:r w:rsidR="00B14D43">
        <w:rPr>
          <w:rFonts w:hint="eastAsia"/>
          <w:lang w:eastAsia="zh-CN"/>
        </w:rPr>
        <w:t>对</w:t>
      </w:r>
      <w:r w:rsidR="00D3081A" w:rsidRPr="00D3081A">
        <w:rPr>
          <w:rFonts w:hint="eastAsia"/>
          <w:lang w:eastAsia="zh-CN"/>
        </w:rPr>
        <w:t>讨论结果</w:t>
      </w:r>
      <w:r w:rsidR="00B14D43">
        <w:rPr>
          <w:rFonts w:hint="eastAsia"/>
          <w:lang w:eastAsia="zh-CN"/>
        </w:rPr>
        <w:t>做出预判（</w:t>
      </w:r>
      <w:r w:rsidR="00D3081A" w:rsidRPr="00D3081A">
        <w:rPr>
          <w:rFonts w:hint="eastAsia"/>
          <w:lang w:eastAsia="zh-CN"/>
        </w:rPr>
        <w:t>见下一项</w:t>
      </w:r>
      <w:r w:rsidR="00B14D43">
        <w:rPr>
          <w:rFonts w:hint="eastAsia"/>
          <w:lang w:eastAsia="zh-CN"/>
        </w:rPr>
        <w:t>）</w:t>
      </w:r>
      <w:r w:rsidR="00D3081A" w:rsidRPr="00D3081A">
        <w:rPr>
          <w:rFonts w:hint="eastAsia"/>
          <w:lang w:eastAsia="zh-CN"/>
        </w:rPr>
        <w:t>。</w:t>
      </w:r>
    </w:p>
    <w:p w14:paraId="7999C8E4" w14:textId="0EAB67E6" w:rsidR="000F7E27" w:rsidRPr="000F4754" w:rsidRDefault="000F7E27" w:rsidP="000F7E27">
      <w:pPr>
        <w:pStyle w:val="enumlev2"/>
        <w:rPr>
          <w:lang w:eastAsia="zh-CN"/>
        </w:rPr>
      </w:pPr>
      <w:bookmarkStart w:id="20" w:name="lt_pId033"/>
      <w:proofErr w:type="gramStart"/>
      <w:r>
        <w:rPr>
          <w:lang w:eastAsia="zh-CN"/>
        </w:rPr>
        <w:t>a)</w:t>
      </w:r>
      <w:r>
        <w:rPr>
          <w:lang w:eastAsia="zh-CN"/>
        </w:rPr>
        <w:tab/>
      </w:r>
      <w:r w:rsidR="00D3081A">
        <w:rPr>
          <w:rFonts w:hint="eastAsia"/>
          <w:lang w:eastAsia="zh-CN"/>
        </w:rPr>
        <w:t>参见</w:t>
      </w:r>
      <w:r w:rsidRPr="00E54A2F">
        <w:rPr>
          <w:lang w:eastAsia="zh-CN"/>
        </w:rPr>
        <w:t>WTSA</w:t>
      </w:r>
      <w:r w:rsidR="00D3081A">
        <w:rPr>
          <w:rFonts w:hint="eastAsia"/>
          <w:lang w:eastAsia="zh-CN"/>
        </w:rPr>
        <w:t>第</w:t>
      </w:r>
      <w:r w:rsidR="00D3081A">
        <w:rPr>
          <w:rFonts w:hint="eastAsia"/>
          <w:lang w:eastAsia="zh-CN"/>
        </w:rPr>
        <w:t>2</w:t>
      </w:r>
      <w:r w:rsidR="00D3081A">
        <w:rPr>
          <w:lang w:eastAsia="zh-CN"/>
        </w:rPr>
        <w:t>2</w:t>
      </w:r>
      <w:r w:rsidR="00D3081A">
        <w:rPr>
          <w:rFonts w:hint="eastAsia"/>
          <w:lang w:eastAsia="zh-CN"/>
        </w:rPr>
        <w:t>号决议的</w:t>
      </w:r>
      <w:r w:rsidR="00D3081A" w:rsidRPr="00E26EF2">
        <w:rPr>
          <w:rFonts w:ascii="STKaiti" w:eastAsia="STKaiti" w:hAnsi="STKaiti" w:hint="eastAsia"/>
          <w:lang w:eastAsia="zh-CN"/>
        </w:rPr>
        <w:t>做出决议</w:t>
      </w:r>
      <w:r w:rsidRPr="00E54A2F">
        <w:rPr>
          <w:lang w:eastAsia="zh-CN"/>
        </w:rPr>
        <w:t>1.c)</w:t>
      </w:r>
      <w:r w:rsidR="00E26EF2" w:rsidRPr="00E26EF2">
        <w:rPr>
          <w:rFonts w:ascii="SimSun" w:hAnsi="SimSun"/>
          <w:lang w:eastAsia="zh-CN"/>
        </w:rPr>
        <w:t>“</w:t>
      </w:r>
      <w:proofErr w:type="gramEnd"/>
      <w:r w:rsidR="00A81FED" w:rsidRPr="00A81FED">
        <w:rPr>
          <w:rFonts w:asciiTheme="minorHAnsi" w:eastAsia="STKaiti" w:hAnsiTheme="minorHAnsi" w:cstheme="minorHAnsi"/>
          <w:lang w:eastAsia="zh-CN"/>
        </w:rPr>
        <w:t>考虑到</w:t>
      </w:r>
      <w:r w:rsidR="00A81FED" w:rsidRPr="00A81FED">
        <w:rPr>
          <w:rFonts w:asciiTheme="minorHAnsi" w:eastAsia="STKaiti" w:hAnsiTheme="minorHAnsi" w:cstheme="minorHAnsi"/>
          <w:lang w:eastAsia="zh-CN"/>
        </w:rPr>
        <w:t>ITU-T</w:t>
      </w:r>
      <w:r w:rsidR="00A81FED" w:rsidRPr="00A81FED">
        <w:rPr>
          <w:rFonts w:asciiTheme="minorHAnsi" w:eastAsia="STKaiti" w:hAnsiTheme="minorHAnsi" w:cstheme="minorHAnsi"/>
          <w:lang w:eastAsia="zh-CN"/>
        </w:rPr>
        <w:t>成员的需求和电信市场的变化，按照本届全会第</w:t>
      </w:r>
      <w:r w:rsidR="00A81FED" w:rsidRPr="00A81FED">
        <w:rPr>
          <w:rFonts w:asciiTheme="minorHAnsi" w:eastAsia="STKaiti" w:hAnsiTheme="minorHAnsi" w:cstheme="minorHAnsi"/>
          <w:lang w:eastAsia="zh-CN"/>
        </w:rPr>
        <w:t>35</w:t>
      </w:r>
      <w:r w:rsidR="00A81FED" w:rsidRPr="00A81FED">
        <w:rPr>
          <w:rFonts w:asciiTheme="minorHAnsi" w:eastAsia="STKaiti" w:hAnsiTheme="minorHAnsi" w:cstheme="minorHAnsi"/>
          <w:lang w:eastAsia="zh-CN"/>
        </w:rPr>
        <w:t>号决议（</w:t>
      </w:r>
      <w:r w:rsidR="00A81FED" w:rsidRPr="00A81FED">
        <w:rPr>
          <w:rFonts w:asciiTheme="minorHAnsi" w:eastAsia="STKaiti" w:hAnsiTheme="minorHAnsi" w:cstheme="minorHAnsi"/>
          <w:lang w:eastAsia="zh-CN"/>
        </w:rPr>
        <w:t>2016</w:t>
      </w:r>
      <w:r w:rsidR="00A81FED" w:rsidRPr="00A81FED">
        <w:rPr>
          <w:rFonts w:asciiTheme="minorHAnsi" w:eastAsia="STKaiti" w:hAnsiTheme="minorHAnsi" w:cstheme="minorHAnsi"/>
          <w:lang w:eastAsia="zh-CN"/>
        </w:rPr>
        <w:t>年，哈马马特，修订版）的规定重组和设立</w:t>
      </w:r>
      <w:r w:rsidR="00A81FED" w:rsidRPr="00A81FED">
        <w:rPr>
          <w:rFonts w:asciiTheme="minorHAnsi" w:eastAsia="STKaiti" w:hAnsiTheme="minorHAnsi" w:cstheme="minorHAnsi"/>
          <w:lang w:eastAsia="zh-CN"/>
        </w:rPr>
        <w:t>ITU-T</w:t>
      </w:r>
      <w:r w:rsidR="00A81FED" w:rsidRPr="00A81FED">
        <w:rPr>
          <w:rFonts w:asciiTheme="minorHAnsi" w:eastAsia="STKaiti" w:hAnsiTheme="minorHAnsi" w:cstheme="minorHAnsi"/>
          <w:lang w:eastAsia="zh-CN"/>
        </w:rPr>
        <w:t>研究组，并指定正副主席履行职责，直至下届世界电信标准化全会之前；</w:t>
      </w:r>
      <w:r w:rsidR="00E26EF2" w:rsidRPr="00E26EF2">
        <w:rPr>
          <w:rFonts w:ascii="SimSun" w:hAnsi="SimSun"/>
          <w:i/>
          <w:iCs/>
          <w:lang w:eastAsia="zh-CN"/>
        </w:rPr>
        <w:t>”</w:t>
      </w:r>
      <w:bookmarkEnd w:id="20"/>
    </w:p>
    <w:p w14:paraId="1BBCD222" w14:textId="08F3E8DC" w:rsidR="000F7E27" w:rsidRPr="00E54A2F" w:rsidRDefault="000F7E27" w:rsidP="000F7E27">
      <w:pPr>
        <w:pStyle w:val="enumlev1"/>
        <w:rPr>
          <w:lang w:eastAsia="zh-CN"/>
        </w:rPr>
      </w:pPr>
      <w:bookmarkStart w:id="21" w:name="lt_pId034"/>
      <w:r>
        <w:rPr>
          <w:lang w:eastAsia="zh-CN"/>
        </w:rPr>
        <w:t>4)</w:t>
      </w:r>
      <w:r>
        <w:rPr>
          <w:lang w:eastAsia="zh-CN"/>
        </w:rPr>
        <w:tab/>
      </w:r>
      <w:bookmarkEnd w:id="21"/>
      <w:r w:rsidR="00B14D43" w:rsidRPr="00B14D43">
        <w:rPr>
          <w:rFonts w:hint="eastAsia"/>
          <w:lang w:eastAsia="zh-CN"/>
        </w:rPr>
        <w:t>下</w:t>
      </w:r>
      <w:r w:rsidR="00B14D43">
        <w:rPr>
          <w:rFonts w:hint="eastAsia"/>
          <w:lang w:eastAsia="zh-CN"/>
        </w:rPr>
        <w:t>届</w:t>
      </w:r>
      <w:r w:rsidR="00B14D43" w:rsidRPr="00B14D43">
        <w:rPr>
          <w:rFonts w:hint="eastAsia"/>
          <w:lang w:eastAsia="zh-CN"/>
        </w:rPr>
        <w:t>WTSA</w:t>
      </w:r>
      <w:r w:rsidR="00B14D43" w:rsidRPr="00B14D43">
        <w:rPr>
          <w:rFonts w:hint="eastAsia"/>
          <w:lang w:eastAsia="zh-CN"/>
        </w:rPr>
        <w:t>将审议</w:t>
      </w:r>
      <w:r w:rsidR="00B14D43">
        <w:rPr>
          <w:rFonts w:hint="eastAsia"/>
          <w:lang w:eastAsia="zh-CN"/>
        </w:rPr>
        <w:t>有关</w:t>
      </w:r>
      <w:r w:rsidR="00B14D43" w:rsidRPr="00B14D43">
        <w:rPr>
          <w:rFonts w:hint="eastAsia"/>
          <w:lang w:eastAsia="zh-CN"/>
        </w:rPr>
        <w:t>研究组结构</w:t>
      </w:r>
      <w:r w:rsidR="00B14D43">
        <w:rPr>
          <w:rFonts w:hint="eastAsia"/>
          <w:lang w:eastAsia="zh-CN"/>
        </w:rPr>
        <w:t>的</w:t>
      </w:r>
      <w:r w:rsidR="00B14D43" w:rsidRPr="00B14D43">
        <w:rPr>
          <w:rFonts w:hint="eastAsia"/>
          <w:lang w:eastAsia="zh-CN"/>
        </w:rPr>
        <w:t>讨论和决定。</w:t>
      </w:r>
    </w:p>
    <w:p w14:paraId="35D62D35" w14:textId="3A0A8B8C" w:rsidR="000F7E27" w:rsidRPr="00E54A2F" w:rsidRDefault="000F7E27" w:rsidP="000F7E27">
      <w:pPr>
        <w:pStyle w:val="enumlev1"/>
        <w:rPr>
          <w:lang w:eastAsia="zh-CN"/>
        </w:rPr>
      </w:pPr>
      <w:bookmarkStart w:id="22" w:name="lt_pId035"/>
      <w:r>
        <w:rPr>
          <w:lang w:eastAsia="zh-CN"/>
        </w:rPr>
        <w:t>5)</w:t>
      </w:r>
      <w:r>
        <w:rPr>
          <w:lang w:eastAsia="zh-CN"/>
        </w:rPr>
        <w:tab/>
      </w:r>
      <w:r w:rsidR="00B14D43">
        <w:rPr>
          <w:rFonts w:hint="eastAsia"/>
          <w:lang w:eastAsia="zh-CN"/>
        </w:rPr>
        <w:t>工作方法的更新</w:t>
      </w:r>
      <w:bookmarkEnd w:id="22"/>
    </w:p>
    <w:p w14:paraId="74910F56" w14:textId="652017D8" w:rsidR="000F7E27" w:rsidRPr="000F4754" w:rsidRDefault="000F7E27" w:rsidP="00653363">
      <w:pPr>
        <w:pStyle w:val="enumlev2"/>
        <w:rPr>
          <w:lang w:eastAsia="zh-CN"/>
        </w:rPr>
      </w:pPr>
      <w:bookmarkStart w:id="23" w:name="lt_pId036"/>
      <w:proofErr w:type="gramStart"/>
      <w:r>
        <w:rPr>
          <w:lang w:eastAsia="zh-CN"/>
        </w:rPr>
        <w:t>a)</w:t>
      </w:r>
      <w:r>
        <w:rPr>
          <w:lang w:eastAsia="zh-CN"/>
        </w:rPr>
        <w:tab/>
      </w:r>
      <w:r w:rsidRPr="000F4754">
        <w:rPr>
          <w:lang w:eastAsia="zh-CN"/>
        </w:rPr>
        <w:t>TSAG</w:t>
      </w:r>
      <w:r w:rsidR="00B14D43">
        <w:rPr>
          <w:rFonts w:hint="eastAsia"/>
          <w:lang w:eastAsia="zh-CN"/>
        </w:rPr>
        <w:t>有能力根据</w:t>
      </w:r>
      <w:r w:rsidR="00B14D43" w:rsidRPr="00E54A2F">
        <w:rPr>
          <w:lang w:eastAsia="zh-CN"/>
        </w:rPr>
        <w:t>WTSA</w:t>
      </w:r>
      <w:r w:rsidR="00B14D43">
        <w:rPr>
          <w:rFonts w:hint="eastAsia"/>
          <w:lang w:eastAsia="zh-CN"/>
        </w:rPr>
        <w:t>第</w:t>
      </w:r>
      <w:r w:rsidR="00B14D43">
        <w:rPr>
          <w:rFonts w:hint="eastAsia"/>
          <w:lang w:eastAsia="zh-CN"/>
        </w:rPr>
        <w:t>2</w:t>
      </w:r>
      <w:r w:rsidR="00B14D43">
        <w:rPr>
          <w:lang w:eastAsia="zh-CN"/>
        </w:rPr>
        <w:t>2</w:t>
      </w:r>
      <w:r w:rsidR="00B14D43">
        <w:rPr>
          <w:rFonts w:hint="eastAsia"/>
          <w:lang w:eastAsia="zh-CN"/>
        </w:rPr>
        <w:t>号决议的</w:t>
      </w:r>
      <w:r w:rsidR="00B14D43" w:rsidRPr="00E26EF2">
        <w:rPr>
          <w:rFonts w:ascii="STKaiti" w:eastAsia="STKaiti" w:hAnsi="STKaiti" w:hint="eastAsia"/>
          <w:lang w:eastAsia="zh-CN"/>
        </w:rPr>
        <w:t>做出决议</w:t>
      </w:r>
      <w:r w:rsidR="00B14D43" w:rsidRPr="000F4754">
        <w:rPr>
          <w:lang w:eastAsia="zh-CN"/>
        </w:rPr>
        <w:t>1.b)</w:t>
      </w:r>
      <w:r w:rsidR="00E26EF2" w:rsidRPr="00E26EF2">
        <w:rPr>
          <w:rFonts w:ascii="SimSun" w:hAnsi="SimSun"/>
          <w:lang w:eastAsia="zh-CN"/>
        </w:rPr>
        <w:t>“</w:t>
      </w:r>
      <w:proofErr w:type="gramEnd"/>
      <w:r w:rsidR="00B14D43" w:rsidRPr="00A81FED">
        <w:rPr>
          <w:rFonts w:asciiTheme="minorHAnsi" w:eastAsia="STKaiti" w:hAnsiTheme="minorHAnsi" w:cstheme="minorHAnsi"/>
          <w:lang w:eastAsia="zh-CN"/>
        </w:rPr>
        <w:t>指定</w:t>
      </w:r>
      <w:r w:rsidR="00B14D43" w:rsidRPr="00A81FED">
        <w:rPr>
          <w:rFonts w:asciiTheme="minorHAnsi" w:eastAsia="STKaiti" w:hAnsiTheme="minorHAnsi" w:cstheme="minorHAnsi"/>
          <w:lang w:eastAsia="zh-CN"/>
        </w:rPr>
        <w:t>TSAG</w:t>
      </w:r>
      <w:r w:rsidR="00B14D43" w:rsidRPr="00A81FED">
        <w:rPr>
          <w:rFonts w:asciiTheme="minorHAnsi" w:eastAsia="STKaiti" w:hAnsiTheme="minorHAnsi" w:cstheme="minorHAnsi"/>
          <w:lang w:eastAsia="zh-CN"/>
        </w:rPr>
        <w:t>在本届与下届全会之间，处理其职责范围内以下领域的具体工作，并酌情与电信标准化局主任磋商：负责</w:t>
      </w:r>
      <w:r w:rsidR="00B14D43" w:rsidRPr="00A81FED">
        <w:rPr>
          <w:rFonts w:asciiTheme="minorHAnsi" w:eastAsia="STKaiti" w:hAnsiTheme="minorHAnsi" w:cstheme="minorHAnsi"/>
          <w:lang w:eastAsia="zh-CN"/>
        </w:rPr>
        <w:t>A</w:t>
      </w:r>
      <w:r w:rsidR="00B14D43" w:rsidRPr="00A81FED">
        <w:rPr>
          <w:rFonts w:asciiTheme="minorHAnsi" w:eastAsia="STKaiti" w:hAnsiTheme="minorHAnsi" w:cstheme="minorHAnsi"/>
          <w:lang w:eastAsia="zh-CN"/>
        </w:rPr>
        <w:t>系列建议书（</w:t>
      </w:r>
      <w:r w:rsidR="00B14D43" w:rsidRPr="00A81FED">
        <w:rPr>
          <w:rFonts w:asciiTheme="minorHAnsi" w:eastAsia="STKaiti" w:hAnsiTheme="minorHAnsi" w:cstheme="minorHAnsi"/>
          <w:lang w:eastAsia="zh-CN"/>
        </w:rPr>
        <w:t>ITU-T</w:t>
      </w:r>
      <w:r w:rsidR="00B14D43" w:rsidRPr="00A81FED">
        <w:rPr>
          <w:rFonts w:asciiTheme="minorHAnsi" w:eastAsia="STKaiti" w:hAnsiTheme="minorHAnsi" w:cstheme="minorHAnsi"/>
          <w:lang w:eastAsia="zh-CN"/>
        </w:rPr>
        <w:t>工作的组织），包括建议书的制定以及根据适当程序提交批准；</w:t>
      </w:r>
      <w:r w:rsidR="00E26EF2" w:rsidRPr="00E26EF2">
        <w:rPr>
          <w:rFonts w:ascii="SimSun" w:hAnsi="SimSun"/>
          <w:i/>
          <w:iCs/>
          <w:lang w:eastAsia="zh-CN"/>
        </w:rPr>
        <w:t>”</w:t>
      </w:r>
      <w:r w:rsidR="00B14D43">
        <w:rPr>
          <w:rFonts w:hint="eastAsia"/>
          <w:lang w:eastAsia="zh-CN"/>
        </w:rPr>
        <w:t>审议并修订</w:t>
      </w:r>
      <w:r w:rsidR="00B14D43">
        <w:rPr>
          <w:rFonts w:hint="eastAsia"/>
          <w:lang w:eastAsia="zh-CN"/>
        </w:rPr>
        <w:t>A</w:t>
      </w:r>
      <w:r w:rsidR="00B14D43">
        <w:rPr>
          <w:rFonts w:hint="eastAsia"/>
          <w:lang w:eastAsia="zh-CN"/>
        </w:rPr>
        <w:t>系列建议书。</w:t>
      </w:r>
      <w:bookmarkEnd w:id="23"/>
    </w:p>
    <w:p w14:paraId="7C064236" w14:textId="5F0A365E" w:rsidR="000F7E27" w:rsidRPr="000F4754" w:rsidRDefault="000F7E27" w:rsidP="000F7E27">
      <w:pPr>
        <w:pStyle w:val="enumlev1"/>
      </w:pPr>
      <w:bookmarkStart w:id="24" w:name="lt_pId037"/>
      <w:r>
        <w:t>6)</w:t>
      </w:r>
      <w:r>
        <w:tab/>
      </w:r>
      <w:r w:rsidR="00B14D43">
        <w:rPr>
          <w:rFonts w:hint="eastAsia"/>
          <w:lang w:eastAsia="zh-CN"/>
        </w:rPr>
        <w:t>有关</w:t>
      </w:r>
      <w:r w:rsidR="00B14D43" w:rsidRPr="00B14D43">
        <w:rPr>
          <w:rFonts w:hint="eastAsia"/>
          <w:lang w:eastAsia="zh-CN"/>
        </w:rPr>
        <w:t>WTSA</w:t>
      </w:r>
      <w:r w:rsidR="00B14D43">
        <w:rPr>
          <w:rFonts w:hint="eastAsia"/>
          <w:lang w:eastAsia="zh-CN"/>
        </w:rPr>
        <w:t>决议的</w:t>
      </w:r>
      <w:r>
        <w:t>ADD/MOD/SUP</w:t>
      </w:r>
      <w:r w:rsidR="00B14D43">
        <w:rPr>
          <w:rFonts w:hint="eastAsia"/>
          <w:lang w:eastAsia="zh-CN"/>
        </w:rPr>
        <w:t>需在下届</w:t>
      </w:r>
      <w:r>
        <w:t>WTSA</w:t>
      </w:r>
      <w:r w:rsidR="00B14D43">
        <w:rPr>
          <w:rFonts w:hint="eastAsia"/>
          <w:lang w:eastAsia="zh-CN"/>
        </w:rPr>
        <w:t>审议：</w:t>
      </w:r>
      <w:bookmarkEnd w:id="24"/>
    </w:p>
    <w:p w14:paraId="17270815" w14:textId="602AABB3" w:rsidR="000F7E27" w:rsidRPr="000F4754" w:rsidRDefault="000F7E27" w:rsidP="00653363">
      <w:pPr>
        <w:pStyle w:val="enumlev2"/>
        <w:rPr>
          <w:lang w:eastAsia="zh-CN"/>
        </w:rPr>
      </w:pPr>
      <w:bookmarkStart w:id="25" w:name="lt_pId038"/>
      <w:r>
        <w:t>a)</w:t>
      </w:r>
      <w:r>
        <w:tab/>
      </w:r>
      <w:bookmarkEnd w:id="25"/>
      <w:r w:rsidR="00B14D43" w:rsidRPr="00B14D43">
        <w:rPr>
          <w:rFonts w:hint="eastAsia"/>
          <w:lang w:eastAsia="zh-CN"/>
        </w:rPr>
        <w:t>迄今收到的</w:t>
      </w:r>
      <w:r w:rsidR="00B14D43" w:rsidRPr="00B14D43">
        <w:rPr>
          <w:rFonts w:hint="eastAsia"/>
          <w:lang w:eastAsia="zh-CN"/>
        </w:rPr>
        <w:t>WTSA</w:t>
      </w:r>
      <w:r w:rsidR="00B14D43">
        <w:rPr>
          <w:rFonts w:hint="eastAsia"/>
          <w:lang w:eastAsia="zh-CN"/>
        </w:rPr>
        <w:t>文稿</w:t>
      </w:r>
      <w:r w:rsidR="00B14D43" w:rsidRPr="00B14D43">
        <w:rPr>
          <w:rFonts w:hint="eastAsia"/>
          <w:lang w:eastAsia="zh-CN"/>
        </w:rPr>
        <w:t>将保存在相应的</w:t>
      </w:r>
      <w:r w:rsidR="00B14D43" w:rsidRPr="00B14D43">
        <w:rPr>
          <w:rFonts w:hint="eastAsia"/>
          <w:lang w:eastAsia="zh-CN"/>
        </w:rPr>
        <w:t>WTSA</w:t>
      </w:r>
      <w:r w:rsidR="00B14D43" w:rsidRPr="00B14D43">
        <w:rPr>
          <w:rFonts w:hint="eastAsia"/>
          <w:lang w:eastAsia="zh-CN"/>
        </w:rPr>
        <w:t>网站，并可根据</w:t>
      </w:r>
      <w:r w:rsidR="00B14D43">
        <w:rPr>
          <w:rFonts w:hint="eastAsia"/>
          <w:lang w:eastAsia="zh-CN"/>
        </w:rPr>
        <w:t>下届</w:t>
      </w:r>
      <w:r w:rsidR="00B14D43" w:rsidRPr="00B14D43">
        <w:rPr>
          <w:rFonts w:hint="eastAsia"/>
          <w:lang w:eastAsia="zh-CN"/>
        </w:rPr>
        <w:t>WTSA</w:t>
      </w:r>
      <w:r w:rsidR="00B14D43">
        <w:rPr>
          <w:rFonts w:hint="eastAsia"/>
          <w:lang w:eastAsia="zh-CN"/>
        </w:rPr>
        <w:t>的</w:t>
      </w:r>
      <w:r w:rsidR="00347240">
        <w:rPr>
          <w:rFonts w:hint="eastAsia"/>
          <w:lang w:eastAsia="zh-CN"/>
        </w:rPr>
        <w:t>会</w:t>
      </w:r>
      <w:r w:rsidR="00B14D43" w:rsidRPr="00B14D43">
        <w:rPr>
          <w:rFonts w:hint="eastAsia"/>
          <w:lang w:eastAsia="zh-CN"/>
        </w:rPr>
        <w:t>期</w:t>
      </w:r>
      <w:r w:rsidR="00347240">
        <w:rPr>
          <w:rFonts w:hint="eastAsia"/>
          <w:lang w:eastAsia="zh-CN"/>
        </w:rPr>
        <w:t>在文稿接收</w:t>
      </w:r>
      <w:r w:rsidR="00347240" w:rsidRPr="00B14D43">
        <w:rPr>
          <w:rFonts w:hint="eastAsia"/>
          <w:lang w:eastAsia="zh-CN"/>
        </w:rPr>
        <w:t>截止日期</w:t>
      </w:r>
      <w:r w:rsidR="00347240">
        <w:rPr>
          <w:rFonts w:hint="eastAsia"/>
          <w:lang w:eastAsia="zh-CN"/>
        </w:rPr>
        <w:t>之前</w:t>
      </w:r>
      <w:r w:rsidR="00B14D43">
        <w:rPr>
          <w:rFonts w:hint="eastAsia"/>
          <w:lang w:eastAsia="zh-CN"/>
        </w:rPr>
        <w:t>做出</w:t>
      </w:r>
      <w:r w:rsidR="00B14D43" w:rsidRPr="00B14D43">
        <w:rPr>
          <w:rFonts w:hint="eastAsia"/>
          <w:lang w:eastAsia="zh-CN"/>
        </w:rPr>
        <w:t>修订和更新。</w:t>
      </w:r>
    </w:p>
    <w:p w14:paraId="4F6DC7D9" w14:textId="69842288" w:rsidR="000F7E27" w:rsidRPr="000F4754" w:rsidRDefault="000F7E27" w:rsidP="00A90BB4">
      <w:pPr>
        <w:pStyle w:val="enumlev2"/>
        <w:rPr>
          <w:lang w:eastAsia="zh-CN"/>
        </w:rPr>
      </w:pPr>
      <w:bookmarkStart w:id="26" w:name="lt_pId039"/>
      <w:r>
        <w:rPr>
          <w:lang w:eastAsia="zh-CN"/>
        </w:rPr>
        <w:t>b)</w:t>
      </w:r>
      <w:r>
        <w:rPr>
          <w:lang w:eastAsia="zh-CN"/>
        </w:rPr>
        <w:tab/>
      </w:r>
      <w:bookmarkEnd w:id="26"/>
      <w:r w:rsidR="00347240" w:rsidRPr="00347240">
        <w:rPr>
          <w:rFonts w:hint="eastAsia"/>
          <w:lang w:eastAsia="zh-CN"/>
        </w:rPr>
        <w:t>请成员继续通过</w:t>
      </w:r>
      <w:r w:rsidR="00347240" w:rsidRPr="00347240">
        <w:rPr>
          <w:rFonts w:hint="eastAsia"/>
          <w:lang w:eastAsia="zh-CN"/>
        </w:rPr>
        <w:t>TSAG</w:t>
      </w:r>
      <w:r w:rsidR="00347240" w:rsidRPr="00347240">
        <w:rPr>
          <w:rFonts w:hint="eastAsia"/>
          <w:lang w:eastAsia="zh-CN"/>
        </w:rPr>
        <w:t>和区域间会议就</w:t>
      </w:r>
      <w:r w:rsidR="00347240" w:rsidRPr="00347240">
        <w:rPr>
          <w:rFonts w:hint="eastAsia"/>
          <w:lang w:eastAsia="zh-CN"/>
        </w:rPr>
        <w:t>WTSA</w:t>
      </w:r>
      <w:r w:rsidR="001446D6">
        <w:rPr>
          <w:rFonts w:hint="eastAsia"/>
          <w:lang w:eastAsia="zh-CN"/>
        </w:rPr>
        <w:t>的</w:t>
      </w:r>
      <w:r w:rsidR="00347240" w:rsidRPr="00347240">
        <w:rPr>
          <w:rFonts w:hint="eastAsia"/>
          <w:lang w:eastAsia="zh-CN"/>
        </w:rPr>
        <w:t>决议达成共识，为下</w:t>
      </w:r>
      <w:r w:rsidR="00347240">
        <w:rPr>
          <w:rFonts w:hint="eastAsia"/>
          <w:lang w:eastAsia="zh-CN"/>
        </w:rPr>
        <w:t>届</w:t>
      </w:r>
      <w:r w:rsidR="00347240" w:rsidRPr="00347240">
        <w:rPr>
          <w:rFonts w:hint="eastAsia"/>
          <w:lang w:eastAsia="zh-CN"/>
        </w:rPr>
        <w:t>WTSA</w:t>
      </w:r>
      <w:r w:rsidR="00347240" w:rsidRPr="00347240">
        <w:rPr>
          <w:rFonts w:hint="eastAsia"/>
          <w:lang w:eastAsia="zh-CN"/>
        </w:rPr>
        <w:t>做</w:t>
      </w:r>
      <w:r w:rsidR="00347240">
        <w:rPr>
          <w:rFonts w:hint="eastAsia"/>
          <w:lang w:eastAsia="zh-CN"/>
        </w:rPr>
        <w:t>好</w:t>
      </w:r>
      <w:r w:rsidR="00347240" w:rsidRPr="00347240">
        <w:rPr>
          <w:rFonts w:hint="eastAsia"/>
          <w:lang w:eastAsia="zh-CN"/>
        </w:rPr>
        <w:t>准备。</w:t>
      </w:r>
    </w:p>
    <w:p w14:paraId="4198AED7" w14:textId="41A9D0F7" w:rsidR="000F7E27" w:rsidRDefault="000F7E27" w:rsidP="00A90BB4">
      <w:pPr>
        <w:pStyle w:val="enumlev1"/>
        <w:keepNext/>
        <w:keepLines/>
        <w:rPr>
          <w:lang w:eastAsia="zh-CN"/>
        </w:rPr>
      </w:pPr>
      <w:bookmarkStart w:id="27" w:name="lt_pId040"/>
      <w:r>
        <w:rPr>
          <w:lang w:eastAsia="zh-CN"/>
        </w:rPr>
        <w:lastRenderedPageBreak/>
        <w:t>7)</w:t>
      </w:r>
      <w:r>
        <w:rPr>
          <w:lang w:eastAsia="zh-CN"/>
        </w:rPr>
        <w:tab/>
      </w:r>
      <w:bookmarkEnd w:id="27"/>
      <w:r w:rsidR="00347240">
        <w:rPr>
          <w:rFonts w:hint="eastAsia"/>
          <w:lang w:eastAsia="zh-CN"/>
        </w:rPr>
        <w:t>若本届</w:t>
      </w:r>
      <w:r w:rsidR="00347240" w:rsidRPr="00347240">
        <w:rPr>
          <w:rFonts w:hint="eastAsia"/>
          <w:lang w:eastAsia="zh-CN"/>
        </w:rPr>
        <w:t>WTSA</w:t>
      </w:r>
      <w:r w:rsidR="00347240">
        <w:rPr>
          <w:rFonts w:hint="eastAsia"/>
          <w:lang w:eastAsia="zh-CN"/>
        </w:rPr>
        <w:t>于</w:t>
      </w:r>
      <w:r w:rsidR="00347240" w:rsidRPr="00347240">
        <w:rPr>
          <w:rFonts w:hint="eastAsia"/>
          <w:lang w:eastAsia="zh-CN"/>
        </w:rPr>
        <w:t>2022</w:t>
      </w:r>
      <w:r w:rsidR="00347240" w:rsidRPr="00347240">
        <w:rPr>
          <w:rFonts w:hint="eastAsia"/>
          <w:lang w:eastAsia="zh-CN"/>
        </w:rPr>
        <w:t>年</w:t>
      </w:r>
      <w:r w:rsidR="00347240">
        <w:rPr>
          <w:rFonts w:hint="eastAsia"/>
          <w:lang w:eastAsia="zh-CN"/>
        </w:rPr>
        <w:t>第</w:t>
      </w:r>
      <w:r w:rsidR="00347240">
        <w:rPr>
          <w:rFonts w:hint="eastAsia"/>
          <w:lang w:eastAsia="zh-CN"/>
        </w:rPr>
        <w:t>1</w:t>
      </w:r>
      <w:r w:rsidR="00347240">
        <w:rPr>
          <w:rFonts w:hint="eastAsia"/>
          <w:lang w:eastAsia="zh-CN"/>
        </w:rPr>
        <w:t>季度举办</w:t>
      </w:r>
      <w:r w:rsidR="00347240" w:rsidRPr="00347240">
        <w:rPr>
          <w:rFonts w:hint="eastAsia"/>
          <w:lang w:eastAsia="zh-CN"/>
        </w:rPr>
        <w:t>，</w:t>
      </w:r>
      <w:r w:rsidR="00347240">
        <w:rPr>
          <w:rFonts w:hint="eastAsia"/>
          <w:lang w:eastAsia="zh-CN"/>
        </w:rPr>
        <w:t>则下届</w:t>
      </w:r>
      <w:r w:rsidR="00347240" w:rsidRPr="00347240">
        <w:rPr>
          <w:rFonts w:hint="eastAsia"/>
          <w:lang w:eastAsia="zh-CN"/>
        </w:rPr>
        <w:t>WTSA</w:t>
      </w:r>
      <w:r w:rsidR="00347240" w:rsidRPr="00347240">
        <w:rPr>
          <w:rFonts w:hint="eastAsia"/>
          <w:lang w:eastAsia="zh-CN"/>
        </w:rPr>
        <w:t>有望恢复正常周期</w:t>
      </w:r>
      <w:r w:rsidR="00347240">
        <w:rPr>
          <w:rFonts w:hint="eastAsia"/>
          <w:lang w:eastAsia="zh-CN"/>
        </w:rPr>
        <w:t>，于</w:t>
      </w:r>
      <w:r w:rsidR="00347240" w:rsidRPr="00347240">
        <w:rPr>
          <w:rFonts w:hint="eastAsia"/>
          <w:lang w:eastAsia="zh-CN"/>
        </w:rPr>
        <w:t>2024</w:t>
      </w:r>
      <w:r w:rsidR="00347240" w:rsidRPr="00347240">
        <w:rPr>
          <w:rFonts w:hint="eastAsia"/>
          <w:lang w:eastAsia="zh-CN"/>
        </w:rPr>
        <w:t>年</w:t>
      </w:r>
      <w:r w:rsidR="00347240">
        <w:rPr>
          <w:rFonts w:hint="eastAsia"/>
          <w:lang w:eastAsia="zh-CN"/>
        </w:rPr>
        <w:t>召开</w:t>
      </w:r>
      <w:r w:rsidR="00347240" w:rsidRPr="00347240">
        <w:rPr>
          <w:rFonts w:hint="eastAsia"/>
          <w:lang w:eastAsia="zh-CN"/>
        </w:rPr>
        <w:t>。</w:t>
      </w:r>
    </w:p>
    <w:p w14:paraId="0FE753F2" w14:textId="77777777" w:rsidR="000F7E27" w:rsidRDefault="000F7E27" w:rsidP="00A90BB4">
      <w:pPr>
        <w:pStyle w:val="Reasons"/>
        <w:keepNext/>
        <w:keepLines/>
        <w:rPr>
          <w:lang w:eastAsia="zh-CN"/>
        </w:rPr>
      </w:pPr>
    </w:p>
    <w:p w14:paraId="388C1BC5" w14:textId="77777777" w:rsidR="000F7E27" w:rsidRDefault="000F7E27">
      <w:pPr>
        <w:jc w:val="center"/>
      </w:pPr>
      <w:r>
        <w:t>______________</w:t>
      </w:r>
      <w:bookmarkStart w:id="28" w:name="_GoBack"/>
      <w:bookmarkEnd w:id="28"/>
    </w:p>
    <w:sectPr w:rsidR="000F7E27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0658" w14:textId="77777777" w:rsidR="00B13DBC" w:rsidRDefault="00B13DBC">
      <w:r>
        <w:separator/>
      </w:r>
    </w:p>
  </w:endnote>
  <w:endnote w:type="continuationSeparator" w:id="0">
    <w:p w14:paraId="4DE4A247" w14:textId="77777777" w:rsidR="00B13DBC" w:rsidRDefault="00B1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94CE" w14:textId="3E992BC9" w:rsidR="00B40A53" w:rsidRPr="00DC3149" w:rsidRDefault="00AC0799" w:rsidP="00DC314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P:\CHI\SG\CONSEIL\VC-2\000\003C.docx</w:t>
    </w:r>
    <w:r>
      <w:fldChar w:fldCharType="end"/>
    </w:r>
    <w:r w:rsidR="00DC3149">
      <w:t xml:space="preserve"> (479558)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5599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70C7" w14:textId="77777777" w:rsidR="00B13DBC" w:rsidRDefault="00B13DBC">
      <w:r>
        <w:t>____________________</w:t>
      </w:r>
    </w:p>
  </w:footnote>
  <w:footnote w:type="continuationSeparator" w:id="0">
    <w:p w14:paraId="08220A46" w14:textId="77777777" w:rsidR="00B13DBC" w:rsidRDefault="00B1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CC24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3EB35526" w14:textId="1F9E218A" w:rsidR="00AC516F" w:rsidRDefault="00653363" w:rsidP="00D453EE">
    <w:pPr>
      <w:pStyle w:val="Header"/>
      <w:rPr>
        <w:lang w:eastAsia="zh-CN"/>
      </w:rPr>
    </w:pPr>
    <w:r>
      <w:rPr>
        <w:rFonts w:hint="eastAsia"/>
        <w:lang w:eastAsia="zh-CN"/>
      </w:rPr>
      <w:t>V</w:t>
    </w:r>
    <w:r w:rsidR="0098459B">
      <w:t>C</w:t>
    </w:r>
    <w:r w:rsidR="0009409E">
      <w:t>2</w:t>
    </w:r>
    <w:r w:rsidR="004672E6">
      <w:t>/</w:t>
    </w:r>
    <w:r>
      <w:rPr>
        <w:rFonts w:hint="eastAsia"/>
        <w:lang w:eastAsia="zh-CN"/>
      </w:rPr>
      <w:t>3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80D5B"/>
    <w:multiLevelType w:val="hybridMultilevel"/>
    <w:tmpl w:val="8496D19C"/>
    <w:lvl w:ilvl="0" w:tplc="88D84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FA33AE">
      <w:start w:val="1"/>
      <w:numFmt w:val="lowerLetter"/>
      <w:lvlText w:val="%2."/>
      <w:lvlJc w:val="left"/>
      <w:pPr>
        <w:ind w:left="1080" w:hanging="360"/>
      </w:pPr>
    </w:lvl>
    <w:lvl w:ilvl="2" w:tplc="077C787A">
      <w:start w:val="1"/>
      <w:numFmt w:val="lowerRoman"/>
      <w:lvlText w:val="%3."/>
      <w:lvlJc w:val="right"/>
      <w:pPr>
        <w:ind w:left="1800" w:hanging="180"/>
      </w:pPr>
    </w:lvl>
    <w:lvl w:ilvl="3" w:tplc="6BB43860" w:tentative="1">
      <w:start w:val="1"/>
      <w:numFmt w:val="decimal"/>
      <w:lvlText w:val="%4."/>
      <w:lvlJc w:val="left"/>
      <w:pPr>
        <w:ind w:left="2520" w:hanging="360"/>
      </w:pPr>
    </w:lvl>
    <w:lvl w:ilvl="4" w:tplc="271E2992" w:tentative="1">
      <w:start w:val="1"/>
      <w:numFmt w:val="lowerLetter"/>
      <w:lvlText w:val="%5."/>
      <w:lvlJc w:val="left"/>
      <w:pPr>
        <w:ind w:left="3240" w:hanging="360"/>
      </w:pPr>
    </w:lvl>
    <w:lvl w:ilvl="5" w:tplc="27204580" w:tentative="1">
      <w:start w:val="1"/>
      <w:numFmt w:val="lowerRoman"/>
      <w:lvlText w:val="%6."/>
      <w:lvlJc w:val="right"/>
      <w:pPr>
        <w:ind w:left="3960" w:hanging="180"/>
      </w:pPr>
    </w:lvl>
    <w:lvl w:ilvl="6" w:tplc="CC3A825C" w:tentative="1">
      <w:start w:val="1"/>
      <w:numFmt w:val="decimal"/>
      <w:lvlText w:val="%7."/>
      <w:lvlJc w:val="left"/>
      <w:pPr>
        <w:ind w:left="4680" w:hanging="360"/>
      </w:pPr>
    </w:lvl>
    <w:lvl w:ilvl="7" w:tplc="92F098EA" w:tentative="1">
      <w:start w:val="1"/>
      <w:numFmt w:val="lowerLetter"/>
      <w:lvlText w:val="%8."/>
      <w:lvlJc w:val="left"/>
      <w:pPr>
        <w:ind w:left="5400" w:hanging="360"/>
      </w:pPr>
    </w:lvl>
    <w:lvl w:ilvl="8" w:tplc="EA86D5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27"/>
    <w:rsid w:val="00001B77"/>
    <w:rsid w:val="0000517A"/>
    <w:rsid w:val="00031E72"/>
    <w:rsid w:val="000404D2"/>
    <w:rsid w:val="000853C0"/>
    <w:rsid w:val="0009409E"/>
    <w:rsid w:val="000A1C21"/>
    <w:rsid w:val="000D15EA"/>
    <w:rsid w:val="000F7E27"/>
    <w:rsid w:val="00100D84"/>
    <w:rsid w:val="00124C9D"/>
    <w:rsid w:val="001446D6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E4FB7"/>
    <w:rsid w:val="00303502"/>
    <w:rsid w:val="00325C25"/>
    <w:rsid w:val="00347240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E72C6"/>
    <w:rsid w:val="006319D0"/>
    <w:rsid w:val="00653363"/>
    <w:rsid w:val="00654257"/>
    <w:rsid w:val="0065435A"/>
    <w:rsid w:val="006A2DD3"/>
    <w:rsid w:val="006A5AF8"/>
    <w:rsid w:val="006A7EB5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6549C"/>
    <w:rsid w:val="008872C0"/>
    <w:rsid w:val="00890AFB"/>
    <w:rsid w:val="00890FC4"/>
    <w:rsid w:val="00895905"/>
    <w:rsid w:val="008E79C6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81FED"/>
    <w:rsid w:val="00A90BB4"/>
    <w:rsid w:val="00AB42C1"/>
    <w:rsid w:val="00AC0799"/>
    <w:rsid w:val="00AC516F"/>
    <w:rsid w:val="00AE2926"/>
    <w:rsid w:val="00B0184B"/>
    <w:rsid w:val="00B035CD"/>
    <w:rsid w:val="00B0769D"/>
    <w:rsid w:val="00B13DBC"/>
    <w:rsid w:val="00B14D43"/>
    <w:rsid w:val="00B217F8"/>
    <w:rsid w:val="00B332EA"/>
    <w:rsid w:val="00B40A53"/>
    <w:rsid w:val="00B45365"/>
    <w:rsid w:val="00B46A65"/>
    <w:rsid w:val="00B52F8C"/>
    <w:rsid w:val="00B60184"/>
    <w:rsid w:val="00B62D20"/>
    <w:rsid w:val="00B81E75"/>
    <w:rsid w:val="00BA1D28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081A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3149"/>
    <w:rsid w:val="00DC6427"/>
    <w:rsid w:val="00DD66A1"/>
    <w:rsid w:val="00DE196D"/>
    <w:rsid w:val="00DF6B49"/>
    <w:rsid w:val="00E067C5"/>
    <w:rsid w:val="00E265BF"/>
    <w:rsid w:val="00E26EF2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456C0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3107BD81"/>
  <w15:docId w15:val="{0B6EB2ED-8344-44E4-81CF-D28822AE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1,Bullet List,Bullet Points,Bulletr List Paragraph,Dot pt,FooterText,Indicator Text,List Paragraph Char Char Char,List Paragraph1,MAIN CONTENT,No Spacing1,Numbered Para 1,OBC Bullet,Paragraphe de liste1,numbered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aliases w:val="Bullet 1 Char,Bullet List Char,Bullet Points Char,Bulletr List Paragraph Char,Dot pt Char,FooterText Char,Indicator Text Char,List Paragraph Char Char Char Char,List Paragraph1 Char,MAIN CONTENT Char,No Spacing1 Char,OBC Bullet Char"/>
    <w:link w:val="ListParagraph"/>
    <w:uiPriority w:val="34"/>
    <w:locked/>
    <w:rsid w:val="000F7E27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CLVC2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4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4A6C-7BA7-4BAB-AEB8-5B8CEF6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3</Pages>
  <Words>1457</Words>
  <Characters>531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Zheng, Bingyue</dc:creator>
  <cp:keywords>C2018, C18</cp:keywords>
  <dc:description/>
  <cp:lastModifiedBy>Zheng, Bingyue</cp:lastModifiedBy>
  <cp:revision>3</cp:revision>
  <cp:lastPrinted>2015-02-24T13:23:00Z</cp:lastPrinted>
  <dcterms:created xsi:type="dcterms:W3CDTF">2020-11-09T09:39:00Z</dcterms:created>
  <dcterms:modified xsi:type="dcterms:W3CDTF">2020-11-09T09:40:00Z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