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4F28" w:rsidRPr="00A2597A" w14:paraId="6CE733DE" w14:textId="77777777" w:rsidTr="00FA7FCF">
        <w:trPr>
          <w:cantSplit/>
          <w:trHeight w:val="1276"/>
        </w:trPr>
        <w:tc>
          <w:tcPr>
            <w:tcW w:w="6911" w:type="dxa"/>
          </w:tcPr>
          <w:p w14:paraId="352A76DD" w14:textId="0455D50D" w:rsidR="00ED4F28" w:rsidRPr="00A2597A" w:rsidRDefault="009B76E5" w:rsidP="001710CA">
            <w:pPr>
              <w:spacing w:before="360" w:after="48" w:line="240" w:lineRule="auto"/>
              <w:jc w:val="left"/>
              <w:rPr>
                <w:b/>
                <w:bCs/>
                <w:position w:val="6"/>
                <w:sz w:val="26"/>
                <w:szCs w:val="26"/>
              </w:rPr>
            </w:pPr>
            <w:r w:rsidRPr="00A2597A">
              <w:rPr>
                <w:b/>
                <w:bCs/>
                <w:position w:val="6"/>
                <w:sz w:val="26"/>
                <w:szCs w:val="26"/>
              </w:rPr>
              <w:t>Seconde c</w:t>
            </w:r>
            <w:r w:rsidR="00ED4F28" w:rsidRPr="00A2597A">
              <w:rPr>
                <w:b/>
                <w:bCs/>
                <w:position w:val="6"/>
                <w:sz w:val="26"/>
                <w:szCs w:val="26"/>
              </w:rPr>
              <w:t xml:space="preserve">onsultation virtuelle des Conseillers </w:t>
            </w:r>
            <w:r w:rsidR="00ED4F28" w:rsidRPr="00A2597A">
              <w:rPr>
                <w:b/>
                <w:bCs/>
                <w:position w:val="6"/>
                <w:sz w:val="26"/>
                <w:szCs w:val="26"/>
              </w:rPr>
              <w:br/>
            </w:r>
            <w:r w:rsidRPr="00A2597A">
              <w:rPr>
                <w:b/>
                <w:bCs/>
                <w:position w:val="6"/>
                <w:sz w:val="26"/>
                <w:szCs w:val="26"/>
              </w:rPr>
              <w:t>débutant le 16 novembre 2020</w:t>
            </w:r>
          </w:p>
        </w:tc>
        <w:tc>
          <w:tcPr>
            <w:tcW w:w="3120" w:type="dxa"/>
            <w:vAlign w:val="center"/>
          </w:tcPr>
          <w:p w14:paraId="391EC7E3" w14:textId="77777777" w:rsidR="00ED4F28" w:rsidRPr="00A2597A" w:rsidRDefault="00ED4F28" w:rsidP="001710CA">
            <w:pPr>
              <w:spacing w:before="0" w:line="240" w:lineRule="auto"/>
            </w:pPr>
            <w:bookmarkStart w:id="0" w:name="ditulogo"/>
            <w:bookmarkEnd w:id="0"/>
            <w:r w:rsidRPr="00A2597A">
              <w:rPr>
                <w:noProof/>
                <w:lang w:val="en-US"/>
              </w:rPr>
              <w:drawing>
                <wp:inline distT="0" distB="0" distL="0" distR="0" wp14:anchorId="256F0092" wp14:editId="2E75A048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28" w:rsidRPr="00A2597A" w14:paraId="134B06A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CBDB4C5" w14:textId="77777777" w:rsidR="00ED4F28" w:rsidRPr="00A2597A" w:rsidRDefault="00ED4F28" w:rsidP="001710CA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4CCE3C7" w14:textId="77777777" w:rsidR="00ED4F28" w:rsidRPr="00A2597A" w:rsidRDefault="00ED4F28" w:rsidP="001710CA">
            <w:pPr>
              <w:spacing w:before="0" w:line="240" w:lineRule="auto"/>
              <w:rPr>
                <w:szCs w:val="24"/>
              </w:rPr>
            </w:pPr>
          </w:p>
        </w:tc>
      </w:tr>
      <w:tr w:rsidR="00ED4F28" w:rsidRPr="00A2597A" w14:paraId="73092308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4B522B" w14:textId="77777777" w:rsidR="00ED4F28" w:rsidRPr="00A2597A" w:rsidRDefault="00ED4F28" w:rsidP="001710CA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9C0E1F" w14:textId="0E31B509" w:rsidR="00ED4F28" w:rsidRPr="00A2597A" w:rsidRDefault="008453C0" w:rsidP="001710CA">
            <w:pPr>
              <w:spacing w:before="24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ED4F28" w:rsidRPr="00A2597A">
              <w:rPr>
                <w:b/>
                <w:bCs/>
              </w:rPr>
              <w:t>Document VC</w:t>
            </w:r>
            <w:r w:rsidR="009B76E5" w:rsidRPr="00A2597A">
              <w:rPr>
                <w:b/>
                <w:bCs/>
              </w:rPr>
              <w:t>-2</w:t>
            </w:r>
            <w:r w:rsidR="00ED4F28" w:rsidRPr="00A2597A">
              <w:rPr>
                <w:b/>
                <w:bCs/>
              </w:rPr>
              <w:t>/</w:t>
            </w:r>
            <w:r w:rsidR="001632DC" w:rsidRPr="00A2597A">
              <w:rPr>
                <w:b/>
                <w:bCs/>
              </w:rPr>
              <w:t>1</w:t>
            </w:r>
            <w:r w:rsidR="00ED4F28" w:rsidRPr="00A2597A">
              <w:rPr>
                <w:b/>
                <w:bCs/>
              </w:rPr>
              <w:t>-F</w:t>
            </w:r>
          </w:p>
          <w:p w14:paraId="11D66E37" w14:textId="79E2DF73" w:rsidR="00ED4F28" w:rsidRPr="00A2597A" w:rsidRDefault="008453C0" w:rsidP="001710CA">
            <w:pPr>
              <w:spacing w:before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</w:t>
            </w:r>
            <w:r w:rsidR="009B76E5" w:rsidRPr="00A2597A">
              <w:rPr>
                <w:b/>
                <w:bCs/>
              </w:rPr>
              <w:t xml:space="preserve"> novembre</w:t>
            </w:r>
            <w:r w:rsidR="001632DC" w:rsidRPr="00A2597A">
              <w:rPr>
                <w:b/>
                <w:bCs/>
              </w:rPr>
              <w:t xml:space="preserve"> 20</w:t>
            </w:r>
            <w:r w:rsidR="00ED4F28" w:rsidRPr="00A2597A">
              <w:rPr>
                <w:b/>
                <w:bCs/>
              </w:rPr>
              <w:t>20</w:t>
            </w:r>
          </w:p>
          <w:p w14:paraId="6A4EFB3C" w14:textId="77777777" w:rsidR="00ED4F28" w:rsidRPr="00A2597A" w:rsidRDefault="00ED4F28" w:rsidP="001710CA">
            <w:pPr>
              <w:spacing w:before="0" w:line="240" w:lineRule="auto"/>
              <w:rPr>
                <w:szCs w:val="24"/>
              </w:rPr>
            </w:pPr>
            <w:proofErr w:type="gramStart"/>
            <w:r w:rsidRPr="00A2597A">
              <w:rPr>
                <w:b/>
                <w:bCs/>
              </w:rPr>
              <w:t>Original:</w:t>
            </w:r>
            <w:proofErr w:type="gramEnd"/>
            <w:r w:rsidRPr="00A2597A">
              <w:rPr>
                <w:b/>
                <w:bCs/>
              </w:rPr>
              <w:t xml:space="preserve"> anglais</w:t>
            </w:r>
          </w:p>
        </w:tc>
      </w:tr>
    </w:tbl>
    <w:p w14:paraId="4091DBDF" w14:textId="4FF18573" w:rsidR="009C353C" w:rsidRPr="00A2597A" w:rsidRDefault="001632DC" w:rsidP="001710CA">
      <w:pPr>
        <w:pStyle w:val="Title4"/>
        <w:spacing w:before="480"/>
      </w:pPr>
      <w:r w:rsidRPr="00A2597A">
        <w:t>Projet d</w:t>
      </w:r>
      <w:r w:rsidR="0021173B">
        <w:t>'</w:t>
      </w:r>
      <w:r w:rsidRPr="00A2597A">
        <w:t>ordre du jour de la</w:t>
      </w:r>
      <w:r w:rsidR="00C11127" w:rsidRPr="00A2597A">
        <w:t xml:space="preserve"> </w:t>
      </w:r>
      <w:r w:rsidR="00C11127" w:rsidRPr="00A2597A">
        <w:br/>
      </w:r>
      <w:r w:rsidR="000E7703" w:rsidRPr="00655F4D">
        <w:t>seconde</w:t>
      </w:r>
      <w:r w:rsidR="00C11127" w:rsidRPr="00A2597A">
        <w:t xml:space="preserve"> c</w:t>
      </w:r>
      <w:r w:rsidRPr="00A2597A">
        <w:t>onsultation virtuelle des Conseillers</w:t>
      </w:r>
    </w:p>
    <w:p w14:paraId="36ACDE7E" w14:textId="1BF88CD3" w:rsidR="001632DC" w:rsidRPr="00A2597A" w:rsidRDefault="007D5C7F" w:rsidP="001710CA">
      <w:pPr>
        <w:spacing w:after="720" w:line="240" w:lineRule="auto"/>
        <w:jc w:val="center"/>
      </w:pPr>
      <w:r w:rsidRPr="00A2597A">
        <w:t xml:space="preserve">À partir du </w:t>
      </w:r>
      <w:r w:rsidR="00C11127" w:rsidRPr="00A2597A">
        <w:t>lundi 16 novembre</w:t>
      </w:r>
      <w:r w:rsidR="001632DC" w:rsidRPr="00A2597A">
        <w:t xml:space="preserve"> 2020, de 12 h 00 à 15 h 00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7116"/>
        <w:gridCol w:w="1680"/>
      </w:tblGrid>
      <w:tr w:rsidR="00C11127" w:rsidRPr="00A2597A" w14:paraId="2637123C" w14:textId="77777777" w:rsidTr="00B35179">
        <w:trPr>
          <w:cantSplit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A70924" w14:textId="77777777" w:rsidR="00C11127" w:rsidRPr="00A2597A" w:rsidRDefault="00C11127" w:rsidP="001710CA">
            <w:pPr>
              <w:pStyle w:val="Tablehead"/>
              <w:rPr>
                <w:lang w:eastAsia="en-GB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16A58F" w14:textId="2D0C66EC" w:rsidR="00C11127" w:rsidRPr="00A2597A" w:rsidRDefault="00C11127" w:rsidP="001710CA">
            <w:pPr>
              <w:pStyle w:val="Tablehead"/>
              <w:rPr>
                <w:sz w:val="20"/>
                <w:lang w:eastAsia="en-GB"/>
              </w:rPr>
            </w:pPr>
            <w:r w:rsidRPr="00A2597A">
              <w:rPr>
                <w:rFonts w:asciiTheme="minorHAnsi" w:hAnsiTheme="minorHAnsi"/>
                <w:bCs/>
                <w:sz w:val="22"/>
                <w:lang w:eastAsia="en-GB"/>
              </w:rPr>
              <w:t>S</w:t>
            </w:r>
            <w:r w:rsidRPr="00A2597A">
              <w:rPr>
                <w:rFonts w:asciiTheme="minorHAnsi" w:hAnsiTheme="minorHAnsi"/>
                <w:bCs/>
                <w:sz w:val="22"/>
              </w:rPr>
              <w:t>ujet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8BB584B" w14:textId="44BC86E5" w:rsidR="00C11127" w:rsidRPr="00C91854" w:rsidRDefault="00C11127" w:rsidP="001710CA">
            <w:pPr>
              <w:pStyle w:val="Tablehead"/>
              <w:rPr>
                <w:sz w:val="22"/>
                <w:szCs w:val="22"/>
              </w:rPr>
            </w:pPr>
            <w:r w:rsidRPr="00C91854">
              <w:rPr>
                <w:sz w:val="22"/>
                <w:szCs w:val="22"/>
              </w:rPr>
              <w:t>C20/#</w:t>
            </w:r>
            <w:r w:rsidRPr="00C91854">
              <w:rPr>
                <w:sz w:val="22"/>
                <w:szCs w:val="22"/>
              </w:rPr>
              <w:br/>
              <w:t>VC/#</w:t>
            </w:r>
          </w:p>
        </w:tc>
      </w:tr>
      <w:tr w:rsidR="00C11127" w:rsidRPr="00A2597A" w14:paraId="334AE7E2" w14:textId="77777777" w:rsidTr="00B35179">
        <w:trPr>
          <w:cantSplit/>
          <w:jc w:val="center"/>
        </w:trPr>
        <w:tc>
          <w:tcPr>
            <w:tcW w:w="835" w:type="dxa"/>
            <w:tcBorders>
              <w:top w:val="nil"/>
            </w:tcBorders>
          </w:tcPr>
          <w:p w14:paraId="29C34B3C" w14:textId="06CA141B" w:rsidR="00C11127" w:rsidRPr="00A2597A" w:rsidRDefault="00C11127" w:rsidP="001710CA">
            <w:pPr>
              <w:pStyle w:val="Tabletext"/>
              <w:jc w:val="center"/>
              <w:rPr>
                <w:sz w:val="22"/>
                <w:szCs w:val="22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–</w:t>
            </w:r>
          </w:p>
        </w:tc>
        <w:tc>
          <w:tcPr>
            <w:tcW w:w="7116" w:type="dxa"/>
            <w:tcBorders>
              <w:top w:val="nil"/>
            </w:tcBorders>
            <w:shd w:val="clear" w:color="auto" w:fill="auto"/>
          </w:tcPr>
          <w:p w14:paraId="44C61247" w14:textId="3A0B5831" w:rsidR="00C11127" w:rsidRPr="00A2597A" w:rsidRDefault="00C11127" w:rsidP="001710CA">
            <w:pPr>
              <w:pStyle w:val="Tabletext"/>
              <w:rPr>
                <w:rFonts w:eastAsia="MS Mincho" w:cs="Calibri"/>
                <w:bCs/>
                <w:iCs/>
                <w:sz w:val="22"/>
                <w:szCs w:val="22"/>
              </w:rPr>
            </w:pPr>
            <w:r w:rsidRPr="00A2597A">
              <w:rPr>
                <w:sz w:val="22"/>
                <w:szCs w:val="22"/>
              </w:rPr>
              <w:t>Projet d</w:t>
            </w:r>
            <w:r w:rsidR="0021173B">
              <w:rPr>
                <w:sz w:val="22"/>
                <w:szCs w:val="22"/>
              </w:rPr>
              <w:t>'</w:t>
            </w:r>
            <w:r w:rsidRPr="00A2597A">
              <w:rPr>
                <w:sz w:val="22"/>
                <w:szCs w:val="22"/>
              </w:rPr>
              <w:t>ordre du jour de la seconde consultation virtuelle des Conseillers</w:t>
            </w:r>
          </w:p>
          <w:p w14:paraId="1AB0DF8C" w14:textId="669B949E" w:rsidR="00C11127" w:rsidRPr="00A2597A" w:rsidRDefault="00C11127" w:rsidP="001710CA">
            <w:pPr>
              <w:pStyle w:val="Tabletext"/>
              <w:ind w:left="720" w:hanging="720"/>
              <w:rPr>
                <w:bCs/>
                <w:iCs/>
                <w:sz w:val="22"/>
                <w:szCs w:val="22"/>
              </w:rPr>
            </w:pPr>
            <w:r w:rsidRPr="00A2597A">
              <w:rPr>
                <w:sz w:val="22"/>
                <w:szCs w:val="22"/>
                <w:lang w:eastAsia="en-GB"/>
              </w:rPr>
              <w:t>–</w:t>
            </w:r>
            <w:r w:rsidRPr="00A2597A">
              <w:rPr>
                <w:sz w:val="22"/>
                <w:szCs w:val="22"/>
                <w:lang w:eastAsia="en-GB"/>
              </w:rPr>
              <w:tab/>
              <w:t xml:space="preserve">Contribution de la </w:t>
            </w:r>
            <w:r w:rsidRPr="00A2597A">
              <w:rPr>
                <w:bCs/>
                <w:sz w:val="22"/>
                <w:szCs w:val="22"/>
                <w:lang w:eastAsia="en-GB"/>
              </w:rPr>
              <w:t>République d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Pr="00A2597A">
              <w:rPr>
                <w:bCs/>
                <w:sz w:val="22"/>
                <w:szCs w:val="22"/>
                <w:lang w:eastAsia="en-GB"/>
              </w:rPr>
              <w:t>Azerbaïdjan, de la République du Bélarus</w:t>
            </w:r>
            <w:r w:rsidR="008453C0">
              <w:rPr>
                <w:bCs/>
                <w:sz w:val="22"/>
                <w:szCs w:val="22"/>
                <w:lang w:eastAsia="en-GB"/>
              </w:rPr>
              <w:t xml:space="preserve">, de la République de l’Ouzbékistan </w:t>
            </w:r>
            <w:r w:rsidRPr="00A2597A">
              <w:rPr>
                <w:bCs/>
                <w:sz w:val="22"/>
                <w:szCs w:val="22"/>
                <w:lang w:eastAsia="en-GB"/>
              </w:rPr>
              <w:t>et de la Fédération de Russie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E7CCF29" w14:textId="4EE9D772" w:rsidR="00C11127" w:rsidRPr="00A2597A" w:rsidRDefault="008453C0" w:rsidP="001710CA">
            <w:pPr>
              <w:pStyle w:val="Tabletext"/>
              <w:jc w:val="center"/>
              <w:rPr>
                <w:sz w:val="22"/>
                <w:szCs w:val="22"/>
              </w:rPr>
            </w:pPr>
            <w:hyperlink r:id="rId8" w:history="1">
              <w:r w:rsidR="00C11127" w:rsidRPr="00A2597A">
                <w:rPr>
                  <w:rStyle w:val="Hyperlink"/>
                  <w:sz w:val="22"/>
                  <w:szCs w:val="22"/>
                </w:rPr>
                <w:t>VC-2/</w:t>
              </w:r>
              <w:r>
                <w:rPr>
                  <w:rStyle w:val="Hyperlink"/>
                  <w:sz w:val="22"/>
                  <w:szCs w:val="22"/>
                </w:rPr>
                <w:t>1</w:t>
              </w:r>
              <w:r>
                <w:rPr>
                  <w:rStyle w:val="Hyperlink"/>
                </w:rPr>
                <w:t>(Rev.1)</w:t>
              </w:r>
            </w:hyperlink>
          </w:p>
          <w:p w14:paraId="65240E71" w14:textId="7274BFE7" w:rsidR="00C11127" w:rsidRPr="00A2597A" w:rsidRDefault="008453C0" w:rsidP="00B35179">
            <w:pPr>
              <w:pStyle w:val="Tabletext"/>
              <w:spacing w:before="80"/>
              <w:jc w:val="center"/>
              <w:rPr>
                <w:sz w:val="22"/>
                <w:szCs w:val="22"/>
              </w:rPr>
            </w:pPr>
            <w:hyperlink r:id="rId9" w:history="1">
              <w:r w:rsidR="00C11127" w:rsidRPr="00A2597A">
                <w:rPr>
                  <w:rStyle w:val="Hyperlink"/>
                  <w:sz w:val="22"/>
                  <w:szCs w:val="22"/>
                </w:rPr>
                <w:t>VC-2/</w:t>
              </w:r>
              <w:r>
                <w:rPr>
                  <w:rStyle w:val="Hyperlink"/>
                  <w:sz w:val="22"/>
                  <w:szCs w:val="22"/>
                </w:rPr>
                <w:t>5</w:t>
              </w:r>
              <w:r>
                <w:rPr>
                  <w:rStyle w:val="Hyperlink"/>
                </w:rPr>
                <w:t>(Cor.1)</w:t>
              </w:r>
            </w:hyperlink>
          </w:p>
        </w:tc>
      </w:tr>
    </w:tbl>
    <w:p w14:paraId="5BAE92FB" w14:textId="30C58353" w:rsidR="00C11127" w:rsidRPr="00C91854" w:rsidRDefault="00DD3372" w:rsidP="001710CA">
      <w:pPr>
        <w:pStyle w:val="Heading1"/>
        <w:spacing w:after="240"/>
        <w:rPr>
          <w:rFonts w:eastAsia="MS Mincho" w:cs="Calibri"/>
          <w:bCs/>
          <w:szCs w:val="28"/>
        </w:rPr>
      </w:pPr>
      <w:r w:rsidRPr="00C91854">
        <w:rPr>
          <w:szCs w:val="28"/>
        </w:rPr>
        <w:t>1</w:t>
      </w:r>
      <w:r w:rsidRPr="00C91854">
        <w:rPr>
          <w:szCs w:val="28"/>
        </w:rPr>
        <w:tab/>
      </w:r>
      <w:r w:rsidRPr="00C91854">
        <w:rPr>
          <w:rFonts w:eastAsia="MS Mincho" w:cs="Calibri"/>
          <w:bCs/>
          <w:szCs w:val="28"/>
        </w:rPr>
        <w:t>POINTS URGENTS pour lesquels une décision doit être prise avant la fin de 2020 et qu</w:t>
      </w:r>
      <w:r w:rsidR="0021173B">
        <w:rPr>
          <w:rFonts w:eastAsia="MS Mincho" w:cs="Calibri"/>
          <w:bCs/>
          <w:szCs w:val="28"/>
        </w:rPr>
        <w:t>'</w:t>
      </w:r>
      <w:r w:rsidRPr="00C91854">
        <w:rPr>
          <w:rFonts w:eastAsia="MS Mincho" w:cs="Calibri"/>
          <w:bCs/>
          <w:szCs w:val="28"/>
        </w:rPr>
        <w:t>il est proposé d</w:t>
      </w:r>
      <w:r w:rsidR="0021173B">
        <w:rPr>
          <w:rFonts w:eastAsia="MS Mincho" w:cs="Calibri"/>
          <w:bCs/>
          <w:szCs w:val="28"/>
        </w:rPr>
        <w:t>'</w:t>
      </w:r>
      <w:r w:rsidRPr="00C91854">
        <w:rPr>
          <w:rFonts w:eastAsia="MS Mincho" w:cs="Calibri"/>
          <w:bCs/>
          <w:szCs w:val="28"/>
        </w:rPr>
        <w:t>inscrire à l</w:t>
      </w:r>
      <w:r w:rsidR="0021173B">
        <w:rPr>
          <w:rFonts w:eastAsia="MS Mincho" w:cs="Calibri"/>
          <w:bCs/>
          <w:szCs w:val="28"/>
        </w:rPr>
        <w:t>'</w:t>
      </w:r>
      <w:r w:rsidRPr="00C91854">
        <w:rPr>
          <w:rFonts w:eastAsia="MS Mincho" w:cs="Calibri"/>
          <w:bCs/>
          <w:szCs w:val="28"/>
        </w:rPr>
        <w:t>ordre du jour de la VCC-2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6724"/>
        <w:gridCol w:w="2107"/>
      </w:tblGrid>
      <w:tr w:rsidR="00DD3372" w:rsidRPr="00A2597A" w14:paraId="4F35E0E1" w14:textId="77777777" w:rsidTr="008453C0">
        <w:trPr>
          <w:cantSplit/>
          <w:trHeight w:val="752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46774E63" w14:textId="77777777" w:rsidR="00DD3372" w:rsidRPr="00A2597A" w:rsidRDefault="00DD3372" w:rsidP="001710CA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14:paraId="6A06F71E" w14:textId="2606EDCD" w:rsidR="00DD3372" w:rsidRPr="00A2597A" w:rsidRDefault="00DD3372" w:rsidP="001710CA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b/>
                <w:bCs/>
                <w:sz w:val="22"/>
                <w:lang w:eastAsia="en-GB"/>
              </w:rPr>
              <w:t>S</w:t>
            </w:r>
            <w:r w:rsidRPr="00A2597A">
              <w:rPr>
                <w:rFonts w:asciiTheme="minorHAnsi" w:hAnsiTheme="minorHAnsi"/>
                <w:b/>
                <w:bCs/>
                <w:sz w:val="22"/>
              </w:rPr>
              <w:t>ujet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16A1F0C" w14:textId="3CAE917C" w:rsidR="00DD3372" w:rsidRPr="00C91854" w:rsidRDefault="00DD3372" w:rsidP="001710CA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2"/>
                <w:lang w:eastAsia="en-GB"/>
              </w:rPr>
            </w:pPr>
            <w:r w:rsidRPr="00C91854">
              <w:rPr>
                <w:b/>
                <w:sz w:val="22"/>
              </w:rPr>
              <w:t>C20/#</w:t>
            </w:r>
            <w:r w:rsidRPr="00C91854">
              <w:rPr>
                <w:sz w:val="22"/>
              </w:rPr>
              <w:br/>
            </w:r>
            <w:r w:rsidRPr="00C91854">
              <w:rPr>
                <w:b/>
                <w:sz w:val="22"/>
              </w:rPr>
              <w:t>VC/#</w:t>
            </w:r>
          </w:p>
        </w:tc>
      </w:tr>
      <w:tr w:rsidR="00DD3372" w:rsidRPr="00A2597A" w14:paraId="244DD474" w14:textId="77777777" w:rsidTr="008453C0">
        <w:trPr>
          <w:cantSplit/>
          <w:jc w:val="center"/>
        </w:trPr>
        <w:tc>
          <w:tcPr>
            <w:tcW w:w="809" w:type="dxa"/>
          </w:tcPr>
          <w:p w14:paraId="6101098D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7FD8630D" w14:textId="3BD3CB07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Liste des candidats aux fonctions de Président et Vice-Président des GTC, GE et GEI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(PL 1.8)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14:paraId="2B5CDB17" w14:textId="4301FC55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0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C20/21(Rév.</w:t>
              </w:r>
              <w:proofErr w:type="gramStart"/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3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)</w:t>
              </w:r>
              <w:r>
                <w:rPr>
                  <w:rStyle w:val="Hyperlink"/>
                  <w:rFonts w:asciiTheme="minorHAnsi" w:hAnsiTheme="minorHAnsi" w:cstheme="minorHAnsi"/>
                </w:rPr>
                <w:t>(</w:t>
              </w:r>
              <w:proofErr w:type="gramEnd"/>
              <w:r>
                <w:rPr>
                  <w:rStyle w:val="Hyperlink"/>
                  <w:rFonts w:asciiTheme="minorHAnsi" w:hAnsiTheme="minorHAnsi" w:cstheme="minorHAnsi"/>
                </w:rPr>
                <w:t>Cor.1</w:t>
              </w:r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)</w:t>
              </w:r>
            </w:hyperlink>
          </w:p>
        </w:tc>
      </w:tr>
      <w:tr w:rsidR="00DD3372" w:rsidRPr="00A2597A" w14:paraId="6D34823A" w14:textId="77777777" w:rsidTr="008453C0">
        <w:trPr>
          <w:cantSplit/>
          <w:jc w:val="center"/>
        </w:trPr>
        <w:tc>
          <w:tcPr>
            <w:tcW w:w="809" w:type="dxa"/>
          </w:tcPr>
          <w:p w14:paraId="58DC2A79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569D4A9D" w14:textId="24C1F68A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Journée mondiale des télécommunications et de la société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information (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Résolution 68 de la PP) (PL 2.2)</w:t>
            </w:r>
          </w:p>
          <w:p w14:paraId="38536154" w14:textId="6B443B61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  <w:t>Contribution de la Fédération de Russie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14:paraId="71C9A94E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1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C20/17</w:t>
              </w:r>
            </w:hyperlink>
          </w:p>
          <w:p w14:paraId="607114B6" w14:textId="77777777" w:rsidR="00DD3372" w:rsidRPr="00A2597A" w:rsidRDefault="008453C0" w:rsidP="001710CA">
            <w:pPr>
              <w:pStyle w:val="Tabletext"/>
              <w:spacing w:before="300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2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C20/68</w:t>
              </w:r>
            </w:hyperlink>
          </w:p>
        </w:tc>
      </w:tr>
      <w:tr w:rsidR="00DD3372" w:rsidRPr="00A2597A" w14:paraId="1FD23193" w14:textId="77777777" w:rsidTr="008453C0">
        <w:trPr>
          <w:cantSplit/>
          <w:jc w:val="center"/>
        </w:trPr>
        <w:tc>
          <w:tcPr>
            <w:tcW w:w="809" w:type="dxa"/>
          </w:tcPr>
          <w:p w14:paraId="1274CB6E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25AD0538" w14:textId="03792A13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Rapport du Président du Groupe de travail du Conseil sur les ressources financières et les ressources humai</w:t>
            </w:r>
            <w:r w:rsidR="00C91854">
              <w:rPr>
                <w:rFonts w:asciiTheme="minorHAnsi" w:hAnsiTheme="minorHAnsi"/>
                <w:sz w:val="22"/>
                <w:szCs w:val="22"/>
                <w:lang w:eastAsia="en-GB"/>
              </w:rPr>
              <w:t>nes (GTC-FHR) (Décisions 558 et 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563(MOD))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(Résolutions 151, 152, 158, 169 et 170 de la PP, Décisions 558 et 563 (MOD)) (ADM 4)</w:t>
            </w:r>
          </w:p>
        </w:tc>
        <w:tc>
          <w:tcPr>
            <w:tcW w:w="2107" w:type="dxa"/>
            <w:shd w:val="clear" w:color="auto" w:fill="auto"/>
            <w:hideMark/>
          </w:tcPr>
          <w:p w14:paraId="79ADE90B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3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C20/50</w:t>
              </w:r>
            </w:hyperlink>
          </w:p>
        </w:tc>
      </w:tr>
      <w:tr w:rsidR="00DD3372" w:rsidRPr="00A2597A" w14:paraId="2791D058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181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82E" w14:textId="3BAFBA75" w:rsidR="00DD3372" w:rsidRPr="00A2597A" w:rsidRDefault="00DD3372" w:rsidP="001710CA">
            <w:pPr>
              <w:pStyle w:val="Tabletext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Rapport du Comité consultatif indépendant pour les questions de gestion (CCIG) (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Résolution 162 de la PP, Décision 565 du Conseil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13)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D025" w14:textId="195B9098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C20/22(Rév.1)</w:t>
              </w:r>
            </w:hyperlink>
          </w:p>
        </w:tc>
      </w:tr>
      <w:tr w:rsidR="00DD3372" w:rsidRPr="00A2597A" w14:paraId="716EC590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7C97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E4F" w14:textId="0413EF87" w:rsidR="00DD3372" w:rsidRPr="00A2597A" w:rsidRDefault="00DD3372" w:rsidP="001710CA">
            <w:pPr>
              <w:pStyle w:val="Tabletext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Nomination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un nouveau Vérificateur extérieur des comptes (</w:t>
            </w:r>
            <w:r w:rsidR="00C91854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Résolution 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94 de la PP, Décision 614 du Conseil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14)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D20B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C20/49</w:t>
              </w:r>
            </w:hyperlink>
          </w:p>
        </w:tc>
      </w:tr>
      <w:tr w:rsidR="00DD3372" w:rsidRPr="00A2597A" w14:paraId="7932A643" w14:textId="77777777" w:rsidTr="008453C0">
        <w:trPr>
          <w:cantSplit/>
          <w:jc w:val="center"/>
        </w:trPr>
        <w:tc>
          <w:tcPr>
            <w:tcW w:w="809" w:type="dxa"/>
          </w:tcPr>
          <w:p w14:paraId="419E0FC9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lastRenderedPageBreak/>
              <w:t>6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67D07034" w14:textId="4E258FD3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Comptes </w:t>
            </w:r>
            <w:proofErr w:type="gramStart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vérifiés:</w:t>
            </w:r>
            <w:proofErr w:type="gramEnd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Rapport de gestion financière vérifié pour 2019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15)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14:paraId="426D6118" w14:textId="410BF7E1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6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C20/42(Rév.1)</w:t>
              </w:r>
            </w:hyperlink>
          </w:p>
        </w:tc>
      </w:tr>
      <w:tr w:rsidR="00DD3372" w:rsidRPr="00A2597A" w14:paraId="3F5CAD78" w14:textId="77777777" w:rsidTr="008453C0">
        <w:trPr>
          <w:cantSplit/>
          <w:jc w:val="center"/>
        </w:trPr>
        <w:tc>
          <w:tcPr>
            <w:tcW w:w="809" w:type="dxa"/>
          </w:tcPr>
          <w:p w14:paraId="272162A9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46D2ACDC" w14:textId="1667F2C6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 xml:space="preserve">Rapport du Vérificateur extérieur des </w:t>
            </w:r>
            <w:proofErr w:type="gramStart"/>
            <w:r w:rsidRPr="00A2597A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c</w:t>
            </w:r>
            <w:r w:rsidR="00C91854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omptes:</w:t>
            </w:r>
            <w:proofErr w:type="gramEnd"/>
            <w:r w:rsidR="00C91854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 xml:space="preserve"> Comptes de l</w:t>
            </w:r>
            <w:r w:rsidR="0021173B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'</w:t>
            </w:r>
            <w:r w:rsidR="00C91854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Union pour </w:t>
            </w:r>
            <w:r w:rsidRPr="00A2597A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 xml:space="preserve">2019 </w:t>
            </w:r>
            <w:r w:rsidRPr="00A2597A">
              <w:rPr>
                <w:rFonts w:asciiTheme="minorHAnsi" w:hAnsiTheme="minorHAnsi"/>
                <w:bCs/>
                <w:i/>
                <w:iCs/>
                <w:sz w:val="22"/>
                <w:szCs w:val="22"/>
                <w:lang w:eastAsia="en-GB"/>
              </w:rPr>
              <w:t>(ADM 16)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14:paraId="1B3E47FE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7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C20/40</w:t>
              </w:r>
            </w:hyperlink>
          </w:p>
        </w:tc>
      </w:tr>
      <w:tr w:rsidR="00DD3372" w:rsidRPr="00A2597A" w14:paraId="58D4B852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B866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8CC" w14:textId="29C4AB38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Rapport sur les progrès réalisés concernant le projet de locaux du siège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Union (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Résolution 212 de la PP, Décision 619 du Conseil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20)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787C" w14:textId="0945CC23" w:rsidR="00DD3372" w:rsidRPr="00A2597A" w:rsidRDefault="00DD3372" w:rsidP="001710CA">
            <w:pPr>
              <w:pStyle w:val="Tabletext"/>
              <w:spacing w:after="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A2597A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>C</w:t>
            </w:r>
            <w:r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20/7(Rév.1)</w:t>
            </w:r>
          </w:p>
          <w:p w14:paraId="6DED06BC" w14:textId="77777777" w:rsidR="00DD3372" w:rsidRPr="00A2597A" w:rsidRDefault="008453C0" w:rsidP="001710CA">
            <w:pPr>
              <w:pStyle w:val="Tabletext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C20/77</w:t>
              </w:r>
            </w:hyperlink>
          </w:p>
          <w:p w14:paraId="39284465" w14:textId="77777777" w:rsidR="00DD3372" w:rsidRPr="00A2597A" w:rsidRDefault="008453C0" w:rsidP="001710CA">
            <w:pPr>
              <w:pStyle w:val="Tabletext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19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INF/20</w:t>
              </w:r>
            </w:hyperlink>
            <w:r w:rsidR="00DD3372" w:rsidRPr="00A2597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20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INF/21</w:t>
              </w:r>
            </w:hyperlink>
          </w:p>
        </w:tc>
      </w:tr>
      <w:tr w:rsidR="00DD3372" w:rsidRPr="00A2597A" w14:paraId="7F5983F9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15A0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449" w14:textId="046EE617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Stratégie et plan de mise en œuvre pour les conditions de travail du personnel (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Décision 619 du Conseil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20)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836B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21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20/2</w:t>
              </w:r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9</w:t>
              </w:r>
            </w:hyperlink>
          </w:p>
        </w:tc>
      </w:tr>
      <w:tr w:rsidR="00DD3372" w:rsidRPr="00A2597A" w14:paraId="347291BA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DB13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5DE" w14:textId="6FC9551C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Compte rendu des travaux du Groupe consultatif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États Membres concernant le projet de locaux du siège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Union</w:t>
            </w:r>
            <w:r w:rsidRPr="00A2597A">
              <w:rPr>
                <w:rFonts w:asciiTheme="minorHAnsi" w:hAnsiTheme="minorHAnsi"/>
                <w:bCs/>
                <w:i/>
                <w:iCs/>
                <w:sz w:val="22"/>
                <w:szCs w:val="22"/>
                <w:lang w:eastAsia="en-GB"/>
              </w:rPr>
              <w:t xml:space="preserve"> (Résolution 212 de la PP) (ADM 20)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97CE" w14:textId="0638C6DC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>C20/48(Rév.1)</w:t>
            </w:r>
          </w:p>
        </w:tc>
      </w:tr>
      <w:tr w:rsidR="00DD3372" w:rsidRPr="00A2597A" w14:paraId="545253E8" w14:textId="77777777" w:rsidTr="008453C0">
        <w:trPr>
          <w:cantSplit/>
          <w:jc w:val="center"/>
        </w:trPr>
        <w:tc>
          <w:tcPr>
            <w:tcW w:w="809" w:type="dxa"/>
          </w:tcPr>
          <w:p w14:paraId="2A4D68E2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724" w:type="dxa"/>
            <w:shd w:val="clear" w:color="auto" w:fill="auto"/>
            <w:hideMark/>
          </w:tcPr>
          <w:p w14:paraId="5FED7222" w14:textId="4F733474" w:rsidR="00DD3372" w:rsidRPr="00A2597A" w:rsidRDefault="00DD3372" w:rsidP="001710CA">
            <w:pPr>
              <w:pStyle w:val="Tabletext"/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Nouvelle fonction et nouveau processus en matière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enquête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 27)</w:t>
            </w:r>
          </w:p>
          <w:p w14:paraId="5DA020B5" w14:textId="2B99DF70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  <w:t>Contribution des États-Unis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Amérique</w:t>
            </w:r>
          </w:p>
        </w:tc>
        <w:tc>
          <w:tcPr>
            <w:tcW w:w="2107" w:type="dxa"/>
            <w:shd w:val="clear" w:color="auto" w:fill="auto"/>
            <w:hideMark/>
          </w:tcPr>
          <w:p w14:paraId="63139A7E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22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20/60</w:t>
              </w:r>
            </w:hyperlink>
            <w:r w:rsidR="00DD3372" w:rsidRPr="00A2597A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hyperlink r:id="rId23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C20/78</w:t>
              </w:r>
            </w:hyperlink>
          </w:p>
          <w:p w14:paraId="021AAC58" w14:textId="77777777" w:rsidR="00DD3372" w:rsidRPr="00A2597A" w:rsidRDefault="008453C0" w:rsidP="00C91854">
            <w:pPr>
              <w:pStyle w:val="Tabletext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24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VC/8</w:t>
              </w:r>
            </w:hyperlink>
          </w:p>
        </w:tc>
      </w:tr>
      <w:tr w:rsidR="00DD3372" w:rsidRPr="00A2597A" w14:paraId="34F04632" w14:textId="77777777" w:rsidTr="008453C0">
        <w:trPr>
          <w:cantSplit/>
          <w:jc w:val="center"/>
        </w:trPr>
        <w:tc>
          <w:tcPr>
            <w:tcW w:w="809" w:type="dxa"/>
          </w:tcPr>
          <w:p w14:paraId="7569BE00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74AB0B38" w14:textId="5A8E7333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Décisions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Assemblée générale </w:t>
            </w:r>
            <w:r w:rsidR="000F6B0D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des Nations Unies relatives aux 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conditions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emploi dans le cadre du régime commun des Nations Unies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(ADM 28)</w:t>
            </w:r>
          </w:p>
        </w:tc>
        <w:tc>
          <w:tcPr>
            <w:tcW w:w="2107" w:type="dxa"/>
            <w:shd w:val="clear" w:color="auto" w:fill="auto"/>
            <w:hideMark/>
          </w:tcPr>
          <w:p w14:paraId="60DA620C" w14:textId="77777777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25" w:history="1">
              <w:r w:rsidR="00DD3372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C20/23</w:t>
              </w:r>
            </w:hyperlink>
          </w:p>
        </w:tc>
      </w:tr>
      <w:tr w:rsidR="00DD3372" w:rsidRPr="00A2597A" w14:paraId="7C70965A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ABDB" w14:textId="77777777" w:rsidR="00DD3372" w:rsidRPr="00A2597A" w:rsidRDefault="00DD3372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B32C" w14:textId="0E535513" w:rsidR="00DD3372" w:rsidRPr="00A2597A" w:rsidRDefault="00DD3372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Calendrier des futures conférences, assemblées et réunions de </w:t>
            </w:r>
            <w:proofErr w:type="gramStart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Union:</w:t>
            </w:r>
            <w:proofErr w:type="gramEnd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2020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noBreakHyphen/>
              <w:t>2023 (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Résolutions 77 et 111 de la PP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(PL 2.7)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64D1" w14:textId="2CA7C10A" w:rsidR="00DD3372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DD3372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C20/37</w:t>
              </w:r>
            </w:hyperlink>
            <w:r w:rsidR="00DD3372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</w:t>
            </w:r>
            <w:r w:rsidR="000F6B0D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é</w:t>
            </w:r>
            <w:r w:rsidR="00DD3372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v.1)</w:t>
            </w:r>
          </w:p>
        </w:tc>
      </w:tr>
      <w:tr w:rsidR="00C11127" w:rsidRPr="00A2597A" w14:paraId="71D7EF88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4FCED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20E" w14:textId="6DFD1C50" w:rsidR="00DD3372" w:rsidRPr="00A2597A" w:rsidRDefault="00DD3372" w:rsidP="001710CA">
            <w:pPr>
              <w:pStyle w:val="Tabletext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Travaux préparatoires en vue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AMNT-21 </w:t>
            </w:r>
            <w:r w:rsidRPr="00A2597A">
              <w:rPr>
                <w:rFonts w:asciiTheme="minorHAnsi" w:hAnsiTheme="minorHAnsi"/>
                <w:i/>
                <w:iCs/>
                <w:sz w:val="22"/>
                <w:szCs w:val="22"/>
                <w:lang w:eastAsia="en-GB"/>
              </w:rPr>
              <w:t>(PL 2.8)</w:t>
            </w:r>
          </w:p>
          <w:p w14:paraId="00464441" w14:textId="3223B9BD" w:rsidR="00C11127" w:rsidRPr="00A2597A" w:rsidRDefault="00DD3372" w:rsidP="001710CA">
            <w:pPr>
              <w:pStyle w:val="Tabletext"/>
              <w:rPr>
                <w:rFonts w:asciiTheme="minorHAnsi" w:hAnsiTheme="minorHAnsi"/>
                <w:color w:val="800000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Décision modifiée 608 (</w:t>
            </w:r>
            <w:proofErr w:type="gramStart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suite à</w:t>
            </w:r>
            <w:proofErr w:type="gramEnd"/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la consultation)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51B5A" w14:textId="792CAE25" w:rsidR="00C11127" w:rsidRPr="00A2597A" w:rsidRDefault="008453C0" w:rsidP="001710CA">
            <w:pPr>
              <w:pStyle w:val="Tabletext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C20/24</w:t>
              </w:r>
            </w:hyperlink>
            <w:r w:rsidR="00C11127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</w:t>
            </w:r>
            <w:r w:rsidR="000F6B0D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é</w:t>
            </w:r>
            <w:r w:rsidR="00C11127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v.1)</w:t>
            </w:r>
          </w:p>
          <w:p w14:paraId="18E705D8" w14:textId="77777777" w:rsidR="00C11127" w:rsidRPr="00A2597A" w:rsidRDefault="008453C0" w:rsidP="001710CA">
            <w:pPr>
              <w:pStyle w:val="Tabletext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C20/72</w:t>
              </w:r>
            </w:hyperlink>
          </w:p>
        </w:tc>
      </w:tr>
      <w:tr w:rsidR="00C11127" w:rsidRPr="00A2597A" w14:paraId="2B3E1E0B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D19DD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bookmarkStart w:id="1" w:name="_Hlk55226192"/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5E4AB" w14:textId="45F4C951" w:rsidR="00C11127" w:rsidRPr="00A2597A" w:rsidRDefault="000F6B0D" w:rsidP="001710CA">
            <w:pPr>
              <w:pStyle w:val="Tabletex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Contribution 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</w:t>
            </w:r>
            <w:r w:rsidR="00BC3D51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e la République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Inde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421C22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VC-2/2</w:t>
              </w:r>
            </w:hyperlink>
          </w:p>
        </w:tc>
      </w:tr>
      <w:tr w:rsidR="00C11127" w:rsidRPr="00A2597A" w14:paraId="558EFCF6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34FBC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69A91" w14:textId="3E3A22DE" w:rsidR="00C11127" w:rsidRPr="00A2597A" w:rsidRDefault="000F6B0D" w:rsidP="001710CA">
            <w:pPr>
              <w:pStyle w:val="Tabletext"/>
              <w:ind w:left="720" w:hanging="720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BC3D51" w:rsidRPr="00A2597A">
              <w:rPr>
                <w:sz w:val="22"/>
                <w:szCs w:val="22"/>
                <w:lang w:eastAsia="en-GB"/>
              </w:rPr>
              <w:t xml:space="preserve">Contribution de la </w:t>
            </w:r>
            <w:r w:rsidR="00BC3D51" w:rsidRPr="00A2597A">
              <w:rPr>
                <w:bCs/>
                <w:sz w:val="22"/>
                <w:szCs w:val="22"/>
                <w:lang w:eastAsia="en-GB"/>
              </w:rPr>
              <w:t>République d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="00BC3D51" w:rsidRPr="00A2597A">
              <w:rPr>
                <w:bCs/>
                <w:sz w:val="22"/>
                <w:szCs w:val="22"/>
                <w:lang w:eastAsia="en-GB"/>
              </w:rPr>
              <w:t>Azerbaïdjan, de la République du Bélarus</w:t>
            </w:r>
            <w:r w:rsidR="008453C0">
              <w:rPr>
                <w:bCs/>
                <w:sz w:val="22"/>
                <w:szCs w:val="22"/>
                <w:lang w:eastAsia="en-GB"/>
              </w:rPr>
              <w:t>, de la République de l’Ouzbékistan</w:t>
            </w:r>
            <w:r w:rsidR="00BC3D51" w:rsidRPr="00A2597A">
              <w:rPr>
                <w:bCs/>
                <w:sz w:val="22"/>
                <w:szCs w:val="22"/>
                <w:lang w:eastAsia="en-GB"/>
              </w:rPr>
              <w:t xml:space="preserve"> et de la Fédération de Russie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47A26" w14:textId="6D8AA748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4</w:t>
              </w:r>
              <w:r>
                <w:rPr>
                  <w:rStyle w:val="Hyperlink"/>
                  <w:rFonts w:asciiTheme="minorHAnsi" w:hAnsiTheme="minorHAnsi"/>
                </w:rPr>
                <w:t>(Cor.1)</w:t>
              </w:r>
            </w:hyperlink>
          </w:p>
        </w:tc>
      </w:tr>
      <w:tr w:rsidR="00C11127" w:rsidRPr="00A2597A" w14:paraId="46E44DA5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8B5E8E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74AB9" w14:textId="1D9946BB" w:rsidR="00C11127" w:rsidRPr="00A2597A" w:rsidRDefault="000F6B0D" w:rsidP="001710CA">
            <w:pPr>
              <w:pStyle w:val="Tabletex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Contribution </w:t>
            </w:r>
            <w:r w:rsidR="00BC3D51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du</w:t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Canada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A6C94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VC-2/7</w:t>
              </w:r>
            </w:hyperlink>
          </w:p>
        </w:tc>
      </w:tr>
      <w:tr w:rsidR="00C11127" w:rsidRPr="00A2597A" w14:paraId="1C3FE8E4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391BA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A5DCB" w14:textId="682E2D5C" w:rsidR="00C11127" w:rsidRPr="00A2597A" w:rsidRDefault="00181C1D" w:rsidP="001710CA">
            <w:pPr>
              <w:pStyle w:val="Tabletex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="000F6B0D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Contribution </w:t>
            </w:r>
            <w:r w:rsidR="00BC3D51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des </w:t>
            </w:r>
            <w:r w:rsidR="00BC3D51" w:rsidRPr="00A2597A">
              <w:rPr>
                <w:rFonts w:asciiTheme="minorHAnsi" w:hAnsiTheme="minorHAnsi"/>
                <w:caps/>
                <w:sz w:val="22"/>
                <w:szCs w:val="22"/>
                <w:lang w:eastAsia="en-GB"/>
              </w:rPr>
              <w:t>é</w:t>
            </w:r>
            <w:r w:rsidR="00BC3D51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tats-Unis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="00BC3D51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Amérique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D0AB1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VC-2/8</w:t>
              </w:r>
            </w:hyperlink>
          </w:p>
        </w:tc>
      </w:tr>
      <w:tr w:rsidR="00C11127" w:rsidRPr="00A2597A" w14:paraId="6E3706BC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63C55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569FC" w14:textId="65CD126B" w:rsidR="00C11127" w:rsidRPr="00A2597A" w:rsidRDefault="00181C1D" w:rsidP="001710CA">
            <w:pPr>
              <w:pStyle w:val="Tabletext"/>
              <w:ind w:left="720" w:hanging="720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Contribution 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de la République fédérale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Allemagne, de la République de Bulgarie, de la République de Chypre, de la République de Croatie, du Danemark,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Espagne, de la Finlande, de la France, de la Grèce, de la Hongrie, de la République de Lituanie, de Malte, de la Norvège, du Royaume des Pays-Bas, de la République de Pologne, de la République slovaque, de la République tchèque, de la Roumanie, du Royaume-Uni de Grande-Bretagne et d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Irlande du Nord et de la Suède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FD1FA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VC-2/9</w:t>
              </w:r>
            </w:hyperlink>
          </w:p>
        </w:tc>
      </w:tr>
      <w:tr w:rsidR="00C11127" w:rsidRPr="00A2597A" w14:paraId="00F61841" w14:textId="77777777" w:rsidTr="008453C0">
        <w:trPr>
          <w:cantSplit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4CDD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553" w14:textId="6F10AA9E" w:rsidR="00C11127" w:rsidRPr="00A2597A" w:rsidRDefault="00A2597A" w:rsidP="001710CA">
            <w:pPr>
              <w:pStyle w:val="Tabletex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Plan pour</w:t>
            </w:r>
            <w:r w:rsidR="00C91854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la continuité des travaux de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="00C91854">
              <w:rPr>
                <w:rFonts w:asciiTheme="minorHAnsi" w:hAnsiTheme="minorHAnsi"/>
                <w:sz w:val="22"/>
                <w:szCs w:val="22"/>
                <w:lang w:eastAsia="en-GB"/>
              </w:rPr>
              <w:t>UIT-T jusqu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="00C91854">
              <w:rPr>
                <w:rFonts w:asciiTheme="minorHAnsi" w:hAnsiTheme="minorHAnsi"/>
                <w:sz w:val="22"/>
                <w:szCs w:val="22"/>
                <w:lang w:eastAsia="en-GB"/>
              </w:rPr>
              <w:t>à l</w:t>
            </w:r>
            <w:r w:rsidR="0021173B">
              <w:rPr>
                <w:rFonts w:asciiTheme="minorHAnsi" w:hAnsiTheme="minorHAnsi"/>
                <w:sz w:val="22"/>
                <w:szCs w:val="22"/>
                <w:lang w:eastAsia="en-GB"/>
              </w:rPr>
              <w:t>'</w:t>
            </w:r>
            <w:r w:rsidR="00C91854">
              <w:rPr>
                <w:rFonts w:asciiTheme="minorHAnsi" w:hAnsiTheme="minorHAnsi"/>
                <w:sz w:val="22"/>
                <w:szCs w:val="22"/>
                <w:lang w:eastAsia="en-GB"/>
              </w:rPr>
              <w:t>AMNT prévue en 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février</w:t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/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mars</w:t>
            </w:r>
            <w:r w:rsidR="00C11127"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2022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5F3A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VC-2/3</w:t>
              </w:r>
            </w:hyperlink>
          </w:p>
        </w:tc>
      </w:tr>
      <w:bookmarkEnd w:id="1"/>
      <w:tr w:rsidR="00181C1D" w:rsidRPr="00A2597A" w14:paraId="0A297E22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38A" w14:textId="77777777" w:rsidR="00181C1D" w:rsidRPr="00A2597A" w:rsidRDefault="00181C1D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29A" w14:textId="35ABCA6A" w:rsidR="00181C1D" w:rsidRPr="00A2597A" w:rsidRDefault="00181C1D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Travaux préparatoires en vue du FMPT-21 (</w:t>
            </w:r>
            <w:r w:rsidR="00C91854">
              <w:rPr>
                <w:i/>
                <w:iCs/>
                <w:sz w:val="22"/>
                <w:szCs w:val="22"/>
                <w:lang w:eastAsia="en-GB"/>
              </w:rPr>
              <w:t>Résolution 2 de la PP, Décision 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611 du Conseil</w:t>
            </w:r>
            <w:r w:rsidRPr="00A2597A">
              <w:rPr>
                <w:sz w:val="22"/>
                <w:szCs w:val="22"/>
                <w:lang w:eastAsia="en-GB"/>
              </w:rPr>
              <w:t>)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 xml:space="preserve"> (PL 2.9)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3A90" w14:textId="44BACFF4" w:rsidR="00181C1D" w:rsidRPr="00A2597A" w:rsidRDefault="00181C1D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C20/5(Rév.1)</w:t>
            </w:r>
          </w:p>
        </w:tc>
      </w:tr>
      <w:tr w:rsidR="00181C1D" w:rsidRPr="00A2597A" w14:paraId="2C34A851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D54" w14:textId="77777777" w:rsidR="00181C1D" w:rsidRPr="00A2597A" w:rsidRDefault="00181C1D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lastRenderedPageBreak/>
              <w:t>16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CB73" w14:textId="11C6BBE6" w:rsidR="00181C1D" w:rsidRPr="00A2597A" w:rsidRDefault="00181C1D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 xml:space="preserve">Travaux préparatoires en vue de la CMDT-21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(PL 2.10)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F0A" w14:textId="3DBF4CD6" w:rsidR="00181C1D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181C1D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C20/30</w:t>
              </w:r>
            </w:hyperlink>
            <w:r w:rsidR="00181C1D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</w:tr>
      <w:tr w:rsidR="00181C1D" w:rsidRPr="00A2597A" w14:paraId="1BD48E3A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026A" w14:textId="77777777" w:rsidR="00181C1D" w:rsidRPr="00A2597A" w:rsidRDefault="00181C1D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84B" w14:textId="079DBAD1" w:rsidR="00181C1D" w:rsidRPr="00A2597A" w:rsidRDefault="00181C1D" w:rsidP="001710CA">
            <w:pPr>
              <w:pStyle w:val="Tabletext"/>
              <w:rPr>
                <w:rFonts w:asciiTheme="minorHAnsi" w:hAnsiTheme="minorHAnsi"/>
                <w:color w:val="800000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de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auditeur interne sur les activités d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 xml:space="preserve">audit interne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(ADM 18)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2B6B" w14:textId="77777777" w:rsidR="00181C1D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181C1D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C20/44</w:t>
              </w:r>
            </w:hyperlink>
          </w:p>
        </w:tc>
      </w:tr>
      <w:tr w:rsidR="008453C0" w:rsidRPr="00A2597A" w14:paraId="5EBF5917" w14:textId="77777777" w:rsidTr="008453C0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C388" w14:textId="31655CF3" w:rsidR="008453C0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E3DD" w14:textId="6FD6AF02" w:rsidR="008453C0" w:rsidRPr="00A2597A" w:rsidRDefault="008453C0" w:rsidP="001710CA">
            <w:pPr>
              <w:pStyle w:val="Tabletext"/>
              <w:rPr>
                <w:sz w:val="22"/>
                <w:szCs w:val="22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 xml:space="preserve">Rapport du Groupe de travail sur les contrôles internes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(ADM 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C9D" w14:textId="172FDE1E" w:rsidR="008453C0" w:rsidRDefault="008453C0" w:rsidP="001710CA">
            <w:pPr>
              <w:pStyle w:val="Tabletext"/>
              <w:jc w:val="center"/>
            </w:pPr>
            <w:hyperlink r:id="rId37" w:history="1">
              <w:r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C20/63</w:t>
              </w:r>
            </w:hyperlink>
            <w:r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</w:t>
            </w: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Style w:val="Hyperlink"/>
                <w:rFonts w:asciiTheme="minorHAnsi" w:hAnsiTheme="minorHAnsi"/>
              </w:rPr>
              <w:t>)</w:t>
            </w:r>
          </w:p>
        </w:tc>
      </w:tr>
    </w:tbl>
    <w:p w14:paraId="753CD64D" w14:textId="77777777" w:rsidR="007F62C8" w:rsidRPr="001710CA" w:rsidRDefault="007F62C8" w:rsidP="001710CA">
      <w:pPr>
        <w:pStyle w:val="Heading1"/>
        <w:spacing w:after="240"/>
        <w:rPr>
          <w:szCs w:val="28"/>
        </w:rPr>
      </w:pPr>
      <w:r w:rsidRPr="001710CA">
        <w:rPr>
          <w:szCs w:val="28"/>
        </w:rPr>
        <w:t>2</w:t>
      </w:r>
      <w:r w:rsidRPr="001710CA">
        <w:rPr>
          <w:szCs w:val="28"/>
        </w:rPr>
        <w:tab/>
      </w:r>
      <w:r w:rsidRPr="00C91854">
        <w:rPr>
          <w:rFonts w:eastAsia="MS Mincho" w:cs="Calibri"/>
          <w:bCs/>
          <w:szCs w:val="28"/>
        </w:rPr>
        <w:t>Documents qui pourraient être examinés lors de la VCC-2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100"/>
        <w:gridCol w:w="1710"/>
      </w:tblGrid>
      <w:tr w:rsidR="00181C1D" w:rsidRPr="00A2597A" w14:paraId="24C949CE" w14:textId="77777777" w:rsidTr="00C91854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B0119CC" w14:textId="77777777" w:rsidR="00181C1D" w:rsidRPr="00A2597A" w:rsidRDefault="00181C1D" w:rsidP="001710CA">
            <w:pPr>
              <w:pStyle w:val="Tablehead"/>
              <w:rPr>
                <w:sz w:val="22"/>
                <w:szCs w:val="22"/>
                <w:lang w:eastAsia="en-GB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4478D50" w14:textId="51744518" w:rsidR="00181C1D" w:rsidRPr="00A2597A" w:rsidRDefault="00181C1D" w:rsidP="001710CA">
            <w:pPr>
              <w:pStyle w:val="Tablehead"/>
              <w:rPr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  <w:t>S</w:t>
            </w:r>
            <w:r w:rsidRPr="00A2597A">
              <w:rPr>
                <w:rFonts w:asciiTheme="minorHAnsi" w:hAnsiTheme="minorHAnsi"/>
                <w:bCs/>
                <w:sz w:val="22"/>
                <w:szCs w:val="22"/>
              </w:rPr>
              <w:t>ujet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3DB72A0" w14:textId="276DF4AF" w:rsidR="00181C1D" w:rsidRPr="00A2597A" w:rsidRDefault="00181C1D" w:rsidP="001710CA">
            <w:pPr>
              <w:pStyle w:val="Tablehead"/>
              <w:rPr>
                <w:sz w:val="22"/>
                <w:szCs w:val="22"/>
              </w:rPr>
            </w:pPr>
            <w:r w:rsidRPr="00A2597A">
              <w:rPr>
                <w:sz w:val="22"/>
                <w:szCs w:val="22"/>
              </w:rPr>
              <w:t>C20/#</w:t>
            </w:r>
            <w:r w:rsidRPr="00A2597A">
              <w:rPr>
                <w:sz w:val="22"/>
                <w:szCs w:val="22"/>
              </w:rPr>
              <w:br/>
              <w:t>VC/#</w:t>
            </w:r>
          </w:p>
        </w:tc>
      </w:tr>
      <w:tr w:rsidR="007F62C8" w:rsidRPr="00A2597A" w14:paraId="1A3332A7" w14:textId="77777777" w:rsidTr="00035267">
        <w:trPr>
          <w:cantSplit/>
          <w:jc w:val="center"/>
        </w:trPr>
        <w:tc>
          <w:tcPr>
            <w:tcW w:w="846" w:type="dxa"/>
          </w:tcPr>
          <w:p w14:paraId="592129F8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00" w:type="dxa"/>
            <w:shd w:val="clear" w:color="auto" w:fill="auto"/>
            <w:hideMark/>
          </w:tcPr>
          <w:p w14:paraId="6853E988" w14:textId="3280F2F2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 xml:space="preserve">Appui au TSB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(ADM 4)</w:t>
            </w:r>
          </w:p>
        </w:tc>
        <w:tc>
          <w:tcPr>
            <w:tcW w:w="1710" w:type="dxa"/>
            <w:shd w:val="clear" w:color="auto" w:fill="auto"/>
            <w:hideMark/>
          </w:tcPr>
          <w:p w14:paraId="7632E975" w14:textId="0293F909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38" w:history="1">
              <w:r w:rsidR="007F62C8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C20/14(Rév.1)</w:t>
              </w:r>
            </w:hyperlink>
          </w:p>
        </w:tc>
      </w:tr>
      <w:tr w:rsidR="007F62C8" w:rsidRPr="00A2597A" w14:paraId="4EBE5C05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bottom w:val="nil"/>
            </w:tcBorders>
          </w:tcPr>
          <w:p w14:paraId="392B01F7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100" w:type="dxa"/>
            <w:tcBorders>
              <w:bottom w:val="nil"/>
            </w:tcBorders>
            <w:shd w:val="clear" w:color="auto" w:fill="auto"/>
          </w:tcPr>
          <w:p w14:paraId="2E31890C" w14:textId="35EFDCDE" w:rsidR="007F62C8" w:rsidRPr="00A2597A" w:rsidRDefault="007F62C8" w:rsidP="001710CA">
            <w:pPr>
              <w:pStyle w:val="Tabletext"/>
              <w:rPr>
                <w:bCs/>
                <w:iCs/>
                <w:sz w:val="22"/>
                <w:szCs w:val="22"/>
                <w:lang w:eastAsia="en-GB"/>
              </w:rPr>
            </w:pPr>
            <w:r w:rsidRPr="00A2597A">
              <w:rPr>
                <w:color w:val="000000"/>
                <w:sz w:val="22"/>
                <w:szCs w:val="22"/>
                <w:lang w:eastAsia="zh-CN"/>
              </w:rPr>
              <w:t>Incidences de la pandémie de COVID-19 sur le fonctionnement et les activités de l</w:t>
            </w:r>
            <w:r w:rsidR="0021173B">
              <w:rPr>
                <w:color w:val="000000"/>
                <w:sz w:val="22"/>
                <w:szCs w:val="22"/>
                <w:lang w:eastAsia="zh-CN"/>
              </w:rPr>
              <w:t>'</w:t>
            </w:r>
            <w:r w:rsidRPr="00A2597A">
              <w:rPr>
                <w:color w:val="000000"/>
                <w:sz w:val="22"/>
                <w:szCs w:val="22"/>
                <w:lang w:eastAsia="zh-CN"/>
              </w:rPr>
              <w:t>UIT</w:t>
            </w:r>
            <w:r w:rsidRPr="00A2597A">
              <w:rPr>
                <w:bCs/>
                <w:iCs/>
                <w:sz w:val="22"/>
                <w:szCs w:val="22"/>
                <w:lang w:eastAsia="en-GB"/>
              </w:rPr>
              <w:t xml:space="preserve"> </w:t>
            </w:r>
          </w:p>
          <w:p w14:paraId="3D634CA1" w14:textId="77777777" w:rsidR="007F62C8" w:rsidRPr="00A2597A" w:rsidRDefault="007F62C8" w:rsidP="001710CA">
            <w:pPr>
              <w:pStyle w:val="Tabletext"/>
              <w:rPr>
                <w:bCs/>
                <w:iCs/>
                <w:sz w:val="22"/>
                <w:szCs w:val="22"/>
                <w:lang w:eastAsia="en-GB"/>
              </w:rPr>
            </w:pPr>
            <w:r w:rsidRPr="00A2597A">
              <w:rPr>
                <w:bCs/>
                <w:iCs/>
                <w:sz w:val="22"/>
                <w:szCs w:val="22"/>
                <w:lang w:eastAsia="en-GB"/>
              </w:rPr>
              <w:t>–</w:t>
            </w:r>
            <w:r w:rsidRPr="00A2597A">
              <w:rPr>
                <w:bCs/>
                <w:iCs/>
                <w:sz w:val="22"/>
                <w:szCs w:val="22"/>
                <w:lang w:eastAsia="en-GB"/>
              </w:rPr>
              <w:tab/>
              <w:t>Contributions de la Fédération de Russie</w:t>
            </w:r>
          </w:p>
          <w:p w14:paraId="5D644906" w14:textId="257F89F7" w:rsidR="007F62C8" w:rsidRPr="00A2597A" w:rsidRDefault="007F62C8" w:rsidP="001710CA">
            <w:pPr>
              <w:pStyle w:val="Tabletext"/>
              <w:rPr>
                <w:rFonts w:asciiTheme="minorHAnsi" w:hAnsiTheme="minorHAnsi"/>
                <w:bCs/>
                <w:iCs/>
                <w:sz w:val="22"/>
                <w:szCs w:val="22"/>
                <w:highlight w:val="yellow"/>
              </w:rPr>
            </w:pPr>
            <w:r w:rsidRPr="00A2597A">
              <w:rPr>
                <w:bCs/>
                <w:iCs/>
                <w:sz w:val="22"/>
                <w:szCs w:val="22"/>
                <w:lang w:eastAsia="en-GB"/>
              </w:rPr>
              <w:t>–</w:t>
            </w:r>
            <w:r w:rsidRPr="00A2597A">
              <w:rPr>
                <w:bCs/>
                <w:iCs/>
                <w:sz w:val="22"/>
                <w:szCs w:val="22"/>
                <w:lang w:eastAsia="en-GB"/>
              </w:rPr>
              <w:tab/>
              <w:t>Contribution de la Chine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noWrap/>
          </w:tcPr>
          <w:p w14:paraId="0C511F1E" w14:textId="77777777" w:rsidR="00035267" w:rsidRDefault="008453C0" w:rsidP="00035267">
            <w:pPr>
              <w:pStyle w:val="Tabletext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VC/13</w:t>
              </w:r>
            </w:hyperlink>
            <w:r w:rsidR="007F62C8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  <w:p w14:paraId="4EB01647" w14:textId="77777777" w:rsidR="00035267" w:rsidRDefault="008453C0" w:rsidP="00035267">
            <w:pPr>
              <w:pStyle w:val="Tabletext"/>
              <w:spacing w:before="30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VC/2</w:t>
              </w:r>
            </w:hyperlink>
          </w:p>
          <w:p w14:paraId="6B5248C3" w14:textId="30F1FE28" w:rsidR="007F62C8" w:rsidRPr="00A2597A" w:rsidRDefault="008453C0" w:rsidP="00035267">
            <w:pPr>
              <w:pStyle w:val="Tabletext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VC/10</w:t>
              </w:r>
            </w:hyperlink>
          </w:p>
        </w:tc>
      </w:tr>
      <w:tr w:rsidR="00C11127" w:rsidRPr="00A2597A" w14:paraId="759A57C5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</w:tcBorders>
          </w:tcPr>
          <w:p w14:paraId="77DD1D54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7100" w:type="dxa"/>
            <w:tcBorders>
              <w:top w:val="nil"/>
              <w:bottom w:val="nil"/>
            </w:tcBorders>
            <w:shd w:val="clear" w:color="auto" w:fill="auto"/>
          </w:tcPr>
          <w:p w14:paraId="78BB26D5" w14:textId="7B4062A0" w:rsidR="00C11127" w:rsidRPr="00A2597A" w:rsidRDefault="007F62C8" w:rsidP="001710CA">
            <w:pPr>
              <w:pStyle w:val="Tabletext"/>
              <w:ind w:left="720" w:hanging="720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>–</w:t>
            </w:r>
            <w:r w:rsidRPr="00A2597A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Pr="00A2597A">
              <w:rPr>
                <w:sz w:val="22"/>
                <w:szCs w:val="22"/>
                <w:lang w:eastAsia="en-GB"/>
              </w:rPr>
              <w:t xml:space="preserve">Contribution de la </w:t>
            </w:r>
            <w:r w:rsidRPr="00A2597A">
              <w:rPr>
                <w:bCs/>
                <w:sz w:val="22"/>
                <w:szCs w:val="22"/>
                <w:lang w:eastAsia="en-GB"/>
              </w:rPr>
              <w:t>République d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Azerbaïdjan, de la </w:t>
            </w:r>
            <w:r w:rsidR="00035267">
              <w:rPr>
                <w:bCs/>
                <w:sz w:val="22"/>
                <w:szCs w:val="22"/>
                <w:lang w:eastAsia="en-GB"/>
              </w:rPr>
              <w:t>République du </w:t>
            </w:r>
            <w:r w:rsidRPr="00A2597A">
              <w:rPr>
                <w:bCs/>
                <w:sz w:val="22"/>
                <w:szCs w:val="22"/>
                <w:lang w:eastAsia="en-GB"/>
              </w:rPr>
              <w:t>Bélarus</w:t>
            </w:r>
            <w:r w:rsidR="008453C0">
              <w:rPr>
                <w:bCs/>
                <w:sz w:val="22"/>
                <w:szCs w:val="22"/>
                <w:lang w:eastAsia="en-GB"/>
              </w:rPr>
              <w:t>, de la République de l’Ouzbékistan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 et de la Fédération de Russie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CDBB61" w14:textId="0818C67F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C11127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VC-2/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6</w:t>
              </w:r>
              <w:r>
                <w:rPr>
                  <w:rStyle w:val="Hyperlink"/>
                  <w:rFonts w:asciiTheme="minorHAnsi" w:hAnsiTheme="minorHAnsi"/>
                </w:rPr>
                <w:t>(Cor.1)</w:t>
              </w:r>
            </w:hyperlink>
          </w:p>
        </w:tc>
      </w:tr>
      <w:tr w:rsidR="00C11127" w:rsidRPr="00A2597A" w14:paraId="3B242100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nil"/>
            </w:tcBorders>
          </w:tcPr>
          <w:p w14:paraId="3D26111C" w14:textId="77777777" w:rsidR="00C11127" w:rsidRPr="00A2597A" w:rsidRDefault="00C11127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bookmarkStart w:id="2" w:name="_Hlk55226355"/>
          </w:p>
        </w:tc>
        <w:tc>
          <w:tcPr>
            <w:tcW w:w="7100" w:type="dxa"/>
            <w:tcBorders>
              <w:top w:val="nil"/>
            </w:tcBorders>
            <w:shd w:val="clear" w:color="auto" w:fill="auto"/>
          </w:tcPr>
          <w:p w14:paraId="786B326A" w14:textId="013831ED" w:rsidR="00C11127" w:rsidRPr="00A2597A" w:rsidRDefault="00570BE5" w:rsidP="00C91854">
            <w:pPr>
              <w:pStyle w:val="Tabletex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État</w:t>
            </w:r>
            <w:r w:rsidR="0082524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de la s</w:t>
            </w:r>
            <w:r w:rsidR="00A2597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ituation </w:t>
            </w:r>
            <w:r w:rsidR="00825244">
              <w:rPr>
                <w:rFonts w:asciiTheme="minorHAnsi" w:hAnsiTheme="minorHAnsi"/>
                <w:bCs/>
                <w:iCs/>
                <w:sz w:val="22"/>
                <w:szCs w:val="22"/>
              </w:rPr>
              <w:t>concernant les</w:t>
            </w:r>
            <w:r w:rsidR="00A2597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plate</w:t>
            </w:r>
            <w:r w:rsidR="00C91854">
              <w:rPr>
                <w:rFonts w:asciiTheme="minorHAnsi" w:hAnsiTheme="minorHAnsi"/>
                <w:bCs/>
                <w:iCs/>
                <w:sz w:val="22"/>
                <w:szCs w:val="22"/>
              </w:rPr>
              <w:t>s-</w:t>
            </w:r>
            <w:r w:rsidR="00A2597A">
              <w:rPr>
                <w:rFonts w:asciiTheme="minorHAnsi" w:hAnsiTheme="minorHAnsi"/>
                <w:bCs/>
                <w:iCs/>
                <w:sz w:val="22"/>
                <w:szCs w:val="22"/>
              </w:rPr>
              <w:t>formes</w:t>
            </w:r>
            <w:r w:rsidR="0082524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et</w:t>
            </w:r>
            <w:r w:rsidR="00A2597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="00825244">
              <w:rPr>
                <w:rFonts w:asciiTheme="minorHAnsi" w:hAnsiTheme="minorHAnsi"/>
                <w:bCs/>
                <w:iCs/>
                <w:sz w:val="22"/>
                <w:szCs w:val="22"/>
              </w:rPr>
              <w:t>les services d</w:t>
            </w:r>
            <w:r w:rsidR="0021173B">
              <w:rPr>
                <w:rFonts w:asciiTheme="minorHAnsi" w:hAnsiTheme="minorHAnsi"/>
                <w:bCs/>
                <w:iCs/>
                <w:sz w:val="22"/>
                <w:szCs w:val="22"/>
              </w:rPr>
              <w:t>'</w:t>
            </w:r>
            <w:r w:rsidR="00825244">
              <w:rPr>
                <w:rFonts w:asciiTheme="minorHAnsi" w:hAnsiTheme="minorHAnsi"/>
                <w:bCs/>
                <w:iCs/>
                <w:sz w:val="22"/>
                <w:szCs w:val="22"/>
              </w:rPr>
              <w:t>appui pour les réunions virtuelles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noWrap/>
          </w:tcPr>
          <w:p w14:paraId="437A0524" w14:textId="77777777" w:rsidR="00C11127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C11127" w:rsidRPr="00A2597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INF/22</w:t>
              </w:r>
            </w:hyperlink>
          </w:p>
        </w:tc>
      </w:tr>
      <w:bookmarkEnd w:id="2"/>
      <w:tr w:rsidR="007F62C8" w:rsidRPr="00A2597A" w14:paraId="4D4F8A8E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7412DE8E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F0DA76" w14:textId="1B143D9F" w:rsidR="007F62C8" w:rsidRPr="00A2597A" w:rsidRDefault="007F62C8" w:rsidP="001710CA">
            <w:pPr>
              <w:pStyle w:val="Tabletext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sur les résultats des activités du GTC-SMSI/ODD (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Résolution 140 de la PP et Résolutions 1281, 1332 (MOD) et 1334 (MOD) du Conseil</w:t>
            </w:r>
            <w:r w:rsidRPr="00A2597A">
              <w:rPr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(PL 1.1)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F9917F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44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C20/8</w:t>
              </w:r>
            </w:hyperlink>
          </w:p>
        </w:tc>
      </w:tr>
      <w:tr w:rsidR="007F62C8" w:rsidRPr="00A2597A" w14:paraId="0602BBC6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461E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F99D" w14:textId="3F4F6B54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du Président du Groupe de travail du Conseil sur les questions de politiques publiques internationales relatives à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Internet (GTC-Internet) (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Résolutions 1305 et 1336 (MOD) du Conseil) (PL 1.2)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DAAB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C20/51</w:t>
              </w:r>
            </w:hyperlink>
          </w:p>
        </w:tc>
      </w:tr>
      <w:tr w:rsidR="007F62C8" w:rsidRPr="00A2597A" w14:paraId="1C042F65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52C1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75F5" w14:textId="48B9464E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bCs/>
                <w:sz w:val="22"/>
                <w:szCs w:val="22"/>
                <w:lang w:eastAsia="en-GB"/>
              </w:rPr>
              <w:t>Rapport du Groupe de travail du Conseil sur la protection en ligne des enfants (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Résolution 179 de la PP, Résolution 1306 (MOD) du Conseil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(PL 1.5)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E231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C20/57</w:t>
              </w:r>
            </w:hyperlink>
          </w:p>
        </w:tc>
      </w:tr>
      <w:tr w:rsidR="007F62C8" w:rsidRPr="00A2597A" w14:paraId="63C1E41A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501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13DC" w14:textId="6843715B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du Groupe de travail du Conseil sur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utilisation des langues (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Résolution 154 de la PP, Résolution 1372 (MOD) du Conseil</w:t>
            </w:r>
            <w:r w:rsidRPr="00A2597A">
              <w:rPr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(PL 1.6)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B95C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C20/12</w:t>
              </w:r>
            </w:hyperlink>
          </w:p>
          <w:p w14:paraId="1DE7E17B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C20/67</w:t>
              </w:r>
            </w:hyperlink>
          </w:p>
        </w:tc>
      </w:tr>
      <w:tr w:rsidR="007F62C8" w:rsidRPr="00A2597A" w14:paraId="197C8487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B108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55DA" w14:textId="5AEA1374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bCs/>
                <w:sz w:val="22"/>
                <w:szCs w:val="22"/>
                <w:lang w:eastAsia="en-GB"/>
              </w:rPr>
              <w:t>Rapport sur le recrutement d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un cabinet de conseil en gestion externe indépendant, comprenant des recommandations et diverses stratégies 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(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Résolution 11 de la PP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) (PL 2.1)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4CC8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C20/10</w:t>
              </w:r>
            </w:hyperlink>
          </w:p>
        </w:tc>
      </w:tr>
      <w:tr w:rsidR="007F62C8" w:rsidRPr="00A2597A" w14:paraId="16C34412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E9DC" w14:textId="77777777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8D50" w14:textId="5AC73776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color w:val="000000"/>
                <w:sz w:val="22"/>
                <w:szCs w:val="22"/>
                <w:lang w:eastAsia="zh-CN"/>
              </w:rPr>
              <w:t>Rapport sur les manifestations ITU Telecom World</w:t>
            </w:r>
            <w:r w:rsidRPr="00A2597A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2597A">
              <w:rPr>
                <w:color w:val="000000"/>
                <w:sz w:val="22"/>
                <w:szCs w:val="22"/>
                <w:lang w:eastAsia="zh-CN"/>
              </w:rPr>
              <w:t>(Résolution 11 de la PP, Résolution 1292 du Conseil)</w:t>
            </w:r>
            <w:r w:rsidRPr="00A2597A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2597A">
              <w:rPr>
                <w:i/>
                <w:iCs/>
                <w:color w:val="000000"/>
                <w:sz w:val="22"/>
                <w:szCs w:val="22"/>
                <w:lang w:eastAsia="en-GB"/>
              </w:rPr>
              <w:t>(PL 2.1)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2196" w14:textId="5DDE9204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C20/19</w:t>
              </w:r>
            </w:hyperlink>
            <w:r w:rsidR="007F62C8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</w:tr>
      <w:tr w:rsidR="007F62C8" w:rsidRPr="00A2597A" w14:paraId="7F14D7E6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75C2" w14:textId="59D61852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6A5A" w14:textId="551556EF" w:rsidR="007F62C8" w:rsidRPr="00A2597A" w:rsidRDefault="007F62C8" w:rsidP="001710CA">
            <w:pPr>
              <w:pStyle w:val="Tabletext"/>
              <w:rPr>
                <w:rFonts w:asciiTheme="minorHAnsi" w:hAnsiTheme="minorHAnsi"/>
                <w:b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cstheme="minorHAnsi"/>
                <w:sz w:val="22"/>
                <w:szCs w:val="22"/>
                <w:lang w:eastAsia="en-GB"/>
              </w:rPr>
              <w:t>Arriérés et comptes spéciaux d</w:t>
            </w:r>
            <w:r w:rsidR="0021173B">
              <w:rPr>
                <w:rFonts w:cs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cstheme="minorHAnsi"/>
                <w:sz w:val="22"/>
                <w:szCs w:val="22"/>
                <w:lang w:eastAsia="en-GB"/>
              </w:rPr>
              <w:t>arriérés (</w:t>
            </w:r>
            <w:r w:rsidRPr="00A2597A">
              <w:rPr>
                <w:rFonts w:cstheme="minorHAnsi"/>
                <w:i/>
                <w:iCs/>
                <w:sz w:val="22"/>
                <w:szCs w:val="22"/>
                <w:lang w:eastAsia="en-GB"/>
              </w:rPr>
              <w:t>Résolution 41 de la PP</w:t>
            </w:r>
            <w:r w:rsidRPr="00A2597A">
              <w:rPr>
                <w:rFonts w:cstheme="minorHAnsi"/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rFonts w:cstheme="minorHAnsi"/>
                <w:i/>
                <w:iCs/>
                <w:sz w:val="22"/>
                <w:szCs w:val="22"/>
                <w:lang w:eastAsia="en-GB"/>
              </w:rPr>
              <w:t>(ADM 10)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0334" w14:textId="41B9D991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C20/11(Rév.1)</w:t>
              </w:r>
            </w:hyperlink>
          </w:p>
        </w:tc>
      </w:tr>
      <w:tr w:rsidR="007F62C8" w:rsidRPr="00A2597A" w14:paraId="4278DC34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960D" w14:textId="32713CD2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6889" w14:textId="7050F0C5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rFonts w:cstheme="minorHAnsi"/>
                <w:sz w:val="22"/>
                <w:szCs w:val="22"/>
                <w:lang w:eastAsia="en-GB"/>
              </w:rPr>
              <w:t>Demandes d</w:t>
            </w:r>
            <w:r w:rsidR="0021173B">
              <w:rPr>
                <w:rFonts w:cstheme="minorHAnsi"/>
                <w:sz w:val="22"/>
                <w:szCs w:val="22"/>
                <w:lang w:eastAsia="en-GB"/>
              </w:rPr>
              <w:t>'</w:t>
            </w:r>
            <w:r w:rsidRPr="00A2597A">
              <w:rPr>
                <w:rFonts w:cstheme="minorHAnsi"/>
                <w:sz w:val="22"/>
                <w:szCs w:val="22"/>
                <w:lang w:eastAsia="en-GB"/>
              </w:rPr>
              <w:t xml:space="preserve">exonération </w:t>
            </w:r>
            <w:r w:rsidRPr="00A2597A">
              <w:rPr>
                <w:rFonts w:cstheme="minorHAnsi"/>
                <w:i/>
                <w:iCs/>
                <w:sz w:val="22"/>
                <w:szCs w:val="22"/>
                <w:lang w:eastAsia="en-GB"/>
              </w:rPr>
              <w:t>(ADM 11)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1441" w14:textId="750F3A40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C20/39</w:t>
              </w:r>
            </w:hyperlink>
            <w:r w:rsidR="007F62C8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</w:tr>
      <w:tr w:rsidR="007F62C8" w:rsidRPr="00A2597A" w14:paraId="50138E17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31A48185" w14:textId="056956BA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00" w:type="dxa"/>
            <w:shd w:val="clear" w:color="auto" w:fill="auto"/>
            <w:hideMark/>
          </w:tcPr>
          <w:p w14:paraId="0F09A1DD" w14:textId="6B8A70B9" w:rsidR="007F62C8" w:rsidRPr="00A2597A" w:rsidRDefault="007F62C8" w:rsidP="001710CA">
            <w:pPr>
              <w:pStyle w:val="Tabletext"/>
              <w:rPr>
                <w:rFonts w:asciiTheme="minorHAnsi" w:hAnsiTheme="minorHAnsi"/>
                <w:b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Renforcement de la présence régionale (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Résolution 25 de la PP</w:t>
            </w:r>
            <w:r w:rsidRPr="00A2597A">
              <w:rPr>
                <w:sz w:val="22"/>
                <w:szCs w:val="22"/>
                <w:lang w:eastAsia="en-GB"/>
              </w:rPr>
              <w:t xml:space="preserve">)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(ADM 23)</w:t>
            </w:r>
          </w:p>
        </w:tc>
        <w:tc>
          <w:tcPr>
            <w:tcW w:w="1710" w:type="dxa"/>
            <w:shd w:val="clear" w:color="auto" w:fill="auto"/>
            <w:hideMark/>
          </w:tcPr>
          <w:p w14:paraId="7F9346E4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53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C20/25</w:t>
              </w:r>
            </w:hyperlink>
          </w:p>
        </w:tc>
      </w:tr>
      <w:tr w:rsidR="007F62C8" w:rsidRPr="00A2597A" w14:paraId="2BA13071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</w:tcPr>
          <w:p w14:paraId="193EEC8A" w14:textId="2BE1F5C4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lastRenderedPageBreak/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100" w:type="dxa"/>
            <w:shd w:val="clear" w:color="auto" w:fill="auto"/>
            <w:hideMark/>
          </w:tcPr>
          <w:p w14:paraId="1E0517FE" w14:textId="483C7261" w:rsidR="007F62C8" w:rsidRPr="00A2597A" w:rsidRDefault="007F62C8" w:rsidP="001710CA">
            <w:pPr>
              <w:pStyle w:val="Tabletext"/>
              <w:rPr>
                <w:rFonts w:asciiTheme="minorHAnsi" w:hAnsiTheme="minorHAnsi"/>
                <w:bCs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sur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examen global de la présence régionale de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UIT, comprenant des suggestions sur les mesures propres à continuer d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assurer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efficacité et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efficience de la présence régionale de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>UIT, y compris les recommandations formulées dans le cadre de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 xml:space="preserve">étude menée par le consultant extérieur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(Résolution 25 de la PP, Décision 616 du Conseil) (ADM 24)</w:t>
            </w:r>
          </w:p>
        </w:tc>
        <w:tc>
          <w:tcPr>
            <w:tcW w:w="1710" w:type="dxa"/>
            <w:shd w:val="clear" w:color="auto" w:fill="auto"/>
            <w:hideMark/>
          </w:tcPr>
          <w:p w14:paraId="4476250B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54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C20/74</w:t>
              </w:r>
            </w:hyperlink>
          </w:p>
          <w:p w14:paraId="0377F290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hyperlink r:id="rId55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C20/75</w:t>
              </w:r>
            </w:hyperlink>
          </w:p>
        </w:tc>
      </w:tr>
      <w:tr w:rsidR="007F62C8" w:rsidRPr="00A2597A" w14:paraId="30E7161F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2661" w14:textId="4E98B001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5471" w14:textId="6C25F4FC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sz w:val="22"/>
                <w:szCs w:val="22"/>
                <w:lang w:eastAsia="en-GB"/>
              </w:rPr>
              <w:t>Rapport du Bureau de l</w:t>
            </w:r>
            <w:r w:rsidR="0021173B">
              <w:rPr>
                <w:sz w:val="22"/>
                <w:szCs w:val="22"/>
                <w:lang w:eastAsia="en-GB"/>
              </w:rPr>
              <w:t>'</w:t>
            </w:r>
            <w:r w:rsidRPr="00A2597A">
              <w:rPr>
                <w:sz w:val="22"/>
                <w:szCs w:val="22"/>
                <w:lang w:eastAsia="en-GB"/>
              </w:rPr>
              <w:t xml:space="preserve">éthique </w:t>
            </w:r>
            <w:r w:rsidRPr="00A2597A">
              <w:rPr>
                <w:i/>
                <w:iCs/>
                <w:sz w:val="22"/>
                <w:szCs w:val="22"/>
                <w:lang w:eastAsia="en-GB"/>
              </w:rPr>
              <w:t>(ADM 31)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0E5" w14:textId="7777777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C20/59</w:t>
              </w:r>
            </w:hyperlink>
          </w:p>
        </w:tc>
      </w:tr>
      <w:tr w:rsidR="007F62C8" w:rsidRPr="00A2597A" w14:paraId="7C610AD6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7070" w14:textId="1E129BE2" w:rsidR="007F62C8" w:rsidRPr="00A2597A" w:rsidRDefault="007F62C8" w:rsidP="001710CA">
            <w:pPr>
              <w:pStyle w:val="Tabletext"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55F8" w14:textId="7E1B9DE9" w:rsidR="007F62C8" w:rsidRPr="00A2597A" w:rsidRDefault="007F62C8" w:rsidP="001710CA">
            <w:pPr>
              <w:pStyle w:val="Tabletext"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bCs/>
                <w:sz w:val="22"/>
                <w:szCs w:val="22"/>
                <w:lang w:eastAsia="en-GB"/>
              </w:rPr>
              <w:t>Rapport sur la mise en œuvre du plan d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action pour la gestion des risques 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(ADM 32)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10C4" w14:textId="34338D37" w:rsidR="007F62C8" w:rsidRPr="00A2597A" w:rsidRDefault="008453C0" w:rsidP="001710CA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C20/61</w:t>
              </w:r>
            </w:hyperlink>
            <w:r w:rsidR="007F62C8" w:rsidRPr="00A2597A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</w:tr>
      <w:tr w:rsidR="007F62C8" w:rsidRPr="00A2597A" w14:paraId="60B12277" w14:textId="77777777" w:rsidTr="0003526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B991" w14:textId="635EF6C5" w:rsidR="007F62C8" w:rsidRPr="00A2597A" w:rsidRDefault="007F62C8" w:rsidP="00035267">
            <w:pPr>
              <w:pStyle w:val="Tabletext"/>
              <w:keepNext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B309" w14:textId="21954168" w:rsidR="007F62C8" w:rsidRPr="00A2597A" w:rsidRDefault="007F62C8" w:rsidP="00035267">
            <w:pPr>
              <w:pStyle w:val="Tabletext"/>
              <w:keepNext/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bCs/>
                <w:sz w:val="22"/>
                <w:szCs w:val="22"/>
                <w:lang w:eastAsia="en-GB"/>
              </w:rPr>
              <w:t xml:space="preserve">Continuité des </w:t>
            </w:r>
            <w:proofErr w:type="gramStart"/>
            <w:r w:rsidRPr="00A2597A">
              <w:rPr>
                <w:bCs/>
                <w:sz w:val="22"/>
                <w:szCs w:val="22"/>
                <w:lang w:eastAsia="en-GB"/>
              </w:rPr>
              <w:t>activités:</w:t>
            </w:r>
            <w:proofErr w:type="gramEnd"/>
            <w:r w:rsidRPr="00A2597A">
              <w:rPr>
                <w:bCs/>
                <w:sz w:val="22"/>
                <w:szCs w:val="22"/>
                <w:lang w:eastAsia="en-GB"/>
              </w:rPr>
              <w:t xml:space="preserve"> analyse de cas concernant la gestion de l</w:t>
            </w:r>
            <w:r w:rsidR="0021173B">
              <w:rPr>
                <w:bCs/>
                <w:sz w:val="22"/>
                <w:szCs w:val="22"/>
                <w:lang w:eastAsia="en-GB"/>
              </w:rPr>
              <w:t>'</w:t>
            </w:r>
            <w:r w:rsidRPr="00A2597A">
              <w:rPr>
                <w:bCs/>
                <w:sz w:val="22"/>
                <w:szCs w:val="22"/>
                <w:lang w:eastAsia="en-GB"/>
              </w:rPr>
              <w:t xml:space="preserve">information </w:t>
            </w:r>
            <w:r w:rsidRPr="00A2597A">
              <w:rPr>
                <w:bCs/>
                <w:i/>
                <w:iCs/>
                <w:sz w:val="22"/>
                <w:szCs w:val="22"/>
                <w:lang w:eastAsia="en-GB"/>
              </w:rPr>
              <w:t>(ADM 33)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456C" w14:textId="77777777" w:rsidR="007F62C8" w:rsidRPr="00A2597A" w:rsidRDefault="008453C0" w:rsidP="00035267">
            <w:pPr>
              <w:pStyle w:val="Tabletext"/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C20/53</w:t>
              </w:r>
            </w:hyperlink>
          </w:p>
        </w:tc>
      </w:tr>
      <w:tr w:rsidR="007F62C8" w:rsidRPr="00A2597A" w14:paraId="4CA67689" w14:textId="77777777" w:rsidTr="0003526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E18" w14:textId="73543C13" w:rsidR="007F62C8" w:rsidRPr="00A2597A" w:rsidRDefault="007F62C8" w:rsidP="00035267">
            <w:pPr>
              <w:pStyle w:val="Tabletext"/>
              <w:keepNext/>
              <w:jc w:val="center"/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2597A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1</w:t>
            </w:r>
            <w:r w:rsidR="008453C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608D" w14:textId="380F44BE" w:rsidR="007F62C8" w:rsidRPr="00A2597A" w:rsidRDefault="007F62C8" w:rsidP="00035267">
            <w:pPr>
              <w:pStyle w:val="Tabletext"/>
              <w:keepNext/>
              <w:rPr>
                <w:rFonts w:asciiTheme="minorHAnsi" w:hAnsiTheme="minorHAnsi"/>
                <w:b/>
                <w:color w:val="800000"/>
                <w:sz w:val="22"/>
                <w:szCs w:val="22"/>
                <w:highlight w:val="yellow"/>
                <w:lang w:eastAsia="en-GB"/>
              </w:rPr>
            </w:pPr>
            <w:r w:rsidRPr="00A2597A">
              <w:rPr>
                <w:color w:val="000000"/>
                <w:sz w:val="22"/>
                <w:szCs w:val="22"/>
                <w:lang w:eastAsia="zh-CN"/>
              </w:rPr>
              <w:t>Parts contributives de la République islamique du Pakistan aux dépenses de l</w:t>
            </w:r>
            <w:r w:rsidR="0021173B">
              <w:rPr>
                <w:color w:val="000000"/>
                <w:sz w:val="22"/>
                <w:szCs w:val="22"/>
                <w:lang w:eastAsia="zh-CN"/>
              </w:rPr>
              <w:t>'</w:t>
            </w:r>
            <w:r w:rsidRPr="00A2597A">
              <w:rPr>
                <w:color w:val="000000"/>
                <w:sz w:val="22"/>
                <w:szCs w:val="22"/>
                <w:lang w:eastAsia="zh-CN"/>
              </w:rPr>
              <w:t xml:space="preserve">Union </w:t>
            </w:r>
            <w:r w:rsidRPr="00A2597A">
              <w:rPr>
                <w:i/>
                <w:iCs/>
                <w:color w:val="000000"/>
                <w:sz w:val="22"/>
                <w:szCs w:val="22"/>
                <w:lang w:eastAsia="en-GB"/>
              </w:rPr>
              <w:t>(nouveau)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ACAE" w14:textId="77777777" w:rsidR="007F62C8" w:rsidRPr="00A2597A" w:rsidRDefault="008453C0" w:rsidP="00035267">
            <w:pPr>
              <w:pStyle w:val="Tabletext"/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7F62C8" w:rsidRPr="00A2597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C20/73</w:t>
              </w:r>
            </w:hyperlink>
          </w:p>
        </w:tc>
      </w:tr>
    </w:tbl>
    <w:p w14:paraId="22407263" w14:textId="77777777" w:rsidR="007F62C8" w:rsidRPr="00A2597A" w:rsidRDefault="007F62C8" w:rsidP="001710CA">
      <w:pPr>
        <w:pStyle w:val="Reasons"/>
      </w:pPr>
    </w:p>
    <w:p w14:paraId="1D710414" w14:textId="77777777" w:rsidR="007F62C8" w:rsidRPr="00A2597A" w:rsidRDefault="007F62C8" w:rsidP="001710CA">
      <w:pPr>
        <w:spacing w:line="240" w:lineRule="auto"/>
        <w:jc w:val="center"/>
      </w:pPr>
      <w:r w:rsidRPr="00A2597A">
        <w:t>______________</w:t>
      </w:r>
    </w:p>
    <w:sectPr w:rsidR="007F62C8" w:rsidRPr="00A2597A" w:rsidSect="005C3890">
      <w:headerReference w:type="even" r:id="rId60"/>
      <w:headerReference w:type="default" r:id="rId61"/>
      <w:footerReference w:type="even" r:id="rId62"/>
      <w:footerReference w:type="first" r:id="rId6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41CB" w14:textId="77777777" w:rsidR="00ED1F5C" w:rsidRDefault="00ED1F5C">
      <w:r>
        <w:separator/>
      </w:r>
    </w:p>
  </w:endnote>
  <w:endnote w:type="continuationSeparator" w:id="0">
    <w:p w14:paraId="7AF5FF82" w14:textId="77777777" w:rsidR="00ED1F5C" w:rsidRDefault="00E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E4F2" w14:textId="6F847800" w:rsidR="00732045" w:rsidRPr="00B35179" w:rsidRDefault="0052736C">
    <w:pPr>
      <w:pStyle w:val="Footer"/>
    </w:pPr>
    <w:r>
      <w:fldChar w:fldCharType="begin"/>
    </w:r>
    <w:r w:rsidRPr="00B35179">
      <w:instrText xml:space="preserve"> FILENAME \p  \* MERGEFORMAT </w:instrText>
    </w:r>
    <w:r>
      <w:fldChar w:fldCharType="separate"/>
    </w:r>
    <w:r w:rsidR="00B35179">
      <w:t>P:\FRA\SG\CONSEIL\VC-2\000\001F.docx</w:t>
    </w:r>
    <w:r>
      <w:fldChar w:fldCharType="end"/>
    </w:r>
    <w:r w:rsidR="00611B36" w:rsidRPr="00B35179"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0F25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8D5A" w14:textId="77777777" w:rsidR="00ED1F5C" w:rsidRDefault="00ED1F5C">
      <w:r>
        <w:t>____________________</w:t>
      </w:r>
    </w:p>
  </w:footnote>
  <w:footnote w:type="continuationSeparator" w:id="0">
    <w:p w14:paraId="203D7F24" w14:textId="77777777" w:rsidR="00ED1F5C" w:rsidRDefault="00ED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309B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42A747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E9A3" w14:textId="0AAFFE7B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35179">
      <w:rPr>
        <w:noProof/>
      </w:rPr>
      <w:t>3</w:t>
    </w:r>
    <w:r>
      <w:rPr>
        <w:noProof/>
      </w:rPr>
      <w:fldChar w:fldCharType="end"/>
    </w:r>
  </w:p>
  <w:p w14:paraId="5446E5D5" w14:textId="1FB528B8" w:rsidR="00732045" w:rsidRDefault="00ED4F28" w:rsidP="00106B19">
    <w:pPr>
      <w:pStyle w:val="Header"/>
    </w:pPr>
    <w:r>
      <w:t>VC</w:t>
    </w:r>
    <w:r w:rsidR="00D87293">
      <w:t>-2</w:t>
    </w:r>
    <w:r w:rsidR="00A36931">
      <w:t>/1</w:t>
    </w:r>
    <w:r w:rsidR="008453C0">
      <w:t>(Rév.</w:t>
    </w:r>
    <w:proofErr w:type="gramStart"/>
    <w:r w:rsidR="008453C0">
      <w:t>1)</w:t>
    </w:r>
    <w:r w:rsidR="00732045">
      <w:t>-</w:t>
    </w:r>
    <w:proofErr w:type="gramEnd"/>
    <w:r w:rsidR="00732045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66E"/>
    <w:multiLevelType w:val="hybridMultilevel"/>
    <w:tmpl w:val="527AA754"/>
    <w:lvl w:ilvl="0" w:tplc="EB860A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5D1E"/>
    <w:multiLevelType w:val="hybridMultilevel"/>
    <w:tmpl w:val="C6FA0348"/>
    <w:lvl w:ilvl="0" w:tplc="C4E4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28"/>
    <w:rsid w:val="00035267"/>
    <w:rsid w:val="000D0D0A"/>
    <w:rsid w:val="000E7703"/>
    <w:rsid w:val="000F6B0D"/>
    <w:rsid w:val="00103163"/>
    <w:rsid w:val="00106B19"/>
    <w:rsid w:val="00115D93"/>
    <w:rsid w:val="001247A8"/>
    <w:rsid w:val="00135C4A"/>
    <w:rsid w:val="001378C0"/>
    <w:rsid w:val="001632DC"/>
    <w:rsid w:val="001710CA"/>
    <w:rsid w:val="00181C1D"/>
    <w:rsid w:val="0018694A"/>
    <w:rsid w:val="001A3287"/>
    <w:rsid w:val="001A6508"/>
    <w:rsid w:val="001D4C31"/>
    <w:rsid w:val="001E4D21"/>
    <w:rsid w:val="0020094F"/>
    <w:rsid w:val="002066F4"/>
    <w:rsid w:val="00207CD1"/>
    <w:rsid w:val="0021173B"/>
    <w:rsid w:val="00241FF2"/>
    <w:rsid w:val="002477A2"/>
    <w:rsid w:val="00263A51"/>
    <w:rsid w:val="00267E02"/>
    <w:rsid w:val="002A5D44"/>
    <w:rsid w:val="002E0BC4"/>
    <w:rsid w:val="002E64F4"/>
    <w:rsid w:val="002F1B76"/>
    <w:rsid w:val="003239F6"/>
    <w:rsid w:val="0033568E"/>
    <w:rsid w:val="00355FF5"/>
    <w:rsid w:val="00361350"/>
    <w:rsid w:val="0036269C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36C"/>
    <w:rsid w:val="00540615"/>
    <w:rsid w:val="00540A6D"/>
    <w:rsid w:val="00570BE5"/>
    <w:rsid w:val="00571EEA"/>
    <w:rsid w:val="00575417"/>
    <w:rsid w:val="005768E1"/>
    <w:rsid w:val="005B1938"/>
    <w:rsid w:val="005C3890"/>
    <w:rsid w:val="005F7BFE"/>
    <w:rsid w:val="00600017"/>
    <w:rsid w:val="00611B36"/>
    <w:rsid w:val="006235CA"/>
    <w:rsid w:val="00655F4D"/>
    <w:rsid w:val="006643AB"/>
    <w:rsid w:val="007210CD"/>
    <w:rsid w:val="00732045"/>
    <w:rsid w:val="007369DB"/>
    <w:rsid w:val="0078172C"/>
    <w:rsid w:val="007956C2"/>
    <w:rsid w:val="007A187E"/>
    <w:rsid w:val="007C72C2"/>
    <w:rsid w:val="007D4436"/>
    <w:rsid w:val="007D5C7F"/>
    <w:rsid w:val="007F257A"/>
    <w:rsid w:val="007F3665"/>
    <w:rsid w:val="007F62C8"/>
    <w:rsid w:val="00800037"/>
    <w:rsid w:val="00825244"/>
    <w:rsid w:val="008453C0"/>
    <w:rsid w:val="00861D73"/>
    <w:rsid w:val="008A4E87"/>
    <w:rsid w:val="008D76E6"/>
    <w:rsid w:val="0092392D"/>
    <w:rsid w:val="0093234A"/>
    <w:rsid w:val="009B76E5"/>
    <w:rsid w:val="009C307F"/>
    <w:rsid w:val="009C353C"/>
    <w:rsid w:val="009C3CFA"/>
    <w:rsid w:val="00A02521"/>
    <w:rsid w:val="00A2113E"/>
    <w:rsid w:val="00A23A51"/>
    <w:rsid w:val="00A2432C"/>
    <w:rsid w:val="00A24607"/>
    <w:rsid w:val="00A2597A"/>
    <w:rsid w:val="00A25CD3"/>
    <w:rsid w:val="00A36931"/>
    <w:rsid w:val="00A82767"/>
    <w:rsid w:val="00AA332F"/>
    <w:rsid w:val="00AA7BBB"/>
    <w:rsid w:val="00AB64A8"/>
    <w:rsid w:val="00AC0266"/>
    <w:rsid w:val="00AD24EC"/>
    <w:rsid w:val="00B27B09"/>
    <w:rsid w:val="00B309F9"/>
    <w:rsid w:val="00B32B60"/>
    <w:rsid w:val="00B35179"/>
    <w:rsid w:val="00B61619"/>
    <w:rsid w:val="00BB4545"/>
    <w:rsid w:val="00BC3D51"/>
    <w:rsid w:val="00BD5873"/>
    <w:rsid w:val="00C04BE3"/>
    <w:rsid w:val="00C11127"/>
    <w:rsid w:val="00C25D29"/>
    <w:rsid w:val="00C27A7C"/>
    <w:rsid w:val="00C4505A"/>
    <w:rsid w:val="00C91854"/>
    <w:rsid w:val="00CA08ED"/>
    <w:rsid w:val="00CF183B"/>
    <w:rsid w:val="00D375CD"/>
    <w:rsid w:val="00D4459C"/>
    <w:rsid w:val="00D553A2"/>
    <w:rsid w:val="00D774D3"/>
    <w:rsid w:val="00D87293"/>
    <w:rsid w:val="00D904E8"/>
    <w:rsid w:val="00DA08C3"/>
    <w:rsid w:val="00DB5A3E"/>
    <w:rsid w:val="00DC22AA"/>
    <w:rsid w:val="00DD3372"/>
    <w:rsid w:val="00DF74DD"/>
    <w:rsid w:val="00E25AD0"/>
    <w:rsid w:val="00EB6350"/>
    <w:rsid w:val="00EC7136"/>
    <w:rsid w:val="00ED1F5C"/>
    <w:rsid w:val="00ED4F28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2CD973"/>
  <w15:docId w15:val="{3BE36841-2244-4556-96CD-09CFBCC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ind w:left="567" w:hanging="567"/>
      <w:jc w:val="left"/>
      <w:outlineLvl w:val="0"/>
    </w:pPr>
    <w:rPr>
      <w:rFonts w:cs="Times New Roman"/>
      <w:b/>
      <w:sz w:val="28"/>
      <w:szCs w:val="20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3">
    <w:name w:val="toc 3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2">
    <w:name w:val="toc 2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1">
    <w:name w:val="toc 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964" w:hanging="964"/>
      <w:jc w:val="left"/>
    </w:pPr>
    <w:rPr>
      <w:rFonts w:cs="Times New Roman"/>
      <w:szCs w:val="20"/>
    </w:rPr>
  </w:style>
  <w:style w:type="paragraph" w:styleId="TOC7">
    <w:name w:val="toc 7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6">
    <w:name w:val="toc 6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5">
    <w:name w:val="toc 5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4">
    <w:name w:val="toc 4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Index7">
    <w:name w:val="index 7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698"/>
      <w:jc w:val="left"/>
    </w:pPr>
    <w:rPr>
      <w:rFonts w:cs="Times New Roman"/>
      <w:szCs w:val="20"/>
    </w:rPr>
  </w:style>
  <w:style w:type="paragraph" w:styleId="Index6">
    <w:name w:val="index 6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415"/>
      <w:jc w:val="left"/>
    </w:pPr>
    <w:rPr>
      <w:rFonts w:cs="Times New Roman"/>
      <w:szCs w:val="20"/>
    </w:rPr>
  </w:style>
  <w:style w:type="paragraph" w:styleId="Index5">
    <w:name w:val="index 5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132"/>
      <w:jc w:val="left"/>
    </w:pPr>
    <w:rPr>
      <w:rFonts w:cs="Times New Roman"/>
      <w:szCs w:val="20"/>
    </w:rPr>
  </w:style>
  <w:style w:type="paragraph" w:styleId="Index4">
    <w:name w:val="index 4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849"/>
      <w:jc w:val="left"/>
    </w:pPr>
    <w:rPr>
      <w:rFonts w:cs="Times New Roman"/>
      <w:szCs w:val="20"/>
    </w:rPr>
  </w:style>
  <w:style w:type="paragraph" w:styleId="Index3">
    <w:name w:val="index 3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6"/>
      <w:jc w:val="left"/>
    </w:pPr>
    <w:rPr>
      <w:rFonts w:cs="Times New Roman"/>
      <w:szCs w:val="20"/>
    </w:rPr>
  </w:style>
  <w:style w:type="paragraph" w:styleId="Index2">
    <w:name w:val="index 2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83"/>
      <w:jc w:val="left"/>
    </w:pPr>
    <w:rPr>
      <w:rFonts w:cs="Times New Roman"/>
      <w:szCs w:val="20"/>
    </w:rPr>
  </w:style>
  <w:style w:type="paragraph" w:styleId="Index1">
    <w:name w:val="index 1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cs="Times New Roman"/>
      <w:caps/>
      <w:noProof/>
      <w:sz w:val="16"/>
      <w:szCs w:val="20"/>
    </w:rPr>
  </w:style>
  <w:style w:type="paragraph" w:styleId="Header">
    <w:name w:val="head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cs="Times New Roman"/>
      <w:sz w:val="18"/>
      <w:szCs w:val="20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clear" w:pos="794"/>
        <w:tab w:val="clear" w:pos="1191"/>
        <w:tab w:val="clear" w:pos="1588"/>
        <w:tab w:val="clear" w:pos="1985"/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56" w:hanging="256"/>
      <w:jc w:val="left"/>
    </w:pPr>
    <w:rPr>
      <w:rFonts w:cs="Times New Roman"/>
      <w:szCs w:val="20"/>
    </w:rPr>
  </w:style>
  <w:style w:type="paragraph" w:styleId="NormalIndent">
    <w:name w:val="Normal Inden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/>
      <w:jc w:val="left"/>
    </w:pPr>
    <w:rPr>
      <w:rFonts w:cs="Times New Roman"/>
      <w:szCs w:val="20"/>
    </w:rPr>
  </w:style>
  <w:style w:type="paragraph" w:customStyle="1" w:styleId="enumlev1">
    <w:name w:val="enumlev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6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Head">
    <w:name w:val="Head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cs="Times New Roman"/>
      <w:szCs w:val="20"/>
    </w:rPr>
  </w:style>
  <w:style w:type="paragraph" w:customStyle="1" w:styleId="Normalaftertitle">
    <w:name w:val="Normal after 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left"/>
    </w:pPr>
    <w:rPr>
      <w:rFonts w:cs="Times New Roman"/>
      <w:szCs w:val="20"/>
    </w:r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spacing w:line="240" w:lineRule="auto"/>
      <w:ind w:left="567"/>
      <w:jc w:val="left"/>
    </w:pPr>
    <w:rPr>
      <w:rFonts w:cs="Times New Roman"/>
      <w:i/>
      <w:szCs w:val="20"/>
    </w:rPr>
  </w:style>
  <w:style w:type="paragraph" w:customStyle="1" w:styleId="toc0">
    <w:name w:val="toc 0"/>
    <w:basedOn w:val="Normal"/>
    <w:next w:val="TOC1"/>
    <w:rsid w:val="00732045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cs="Times New Roman"/>
      <w:b/>
      <w:szCs w:val="20"/>
    </w:rPr>
  </w:style>
  <w:style w:type="paragraph" w:styleId="List">
    <w:name w:val="Lis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spacing w:before="120" w:line="240" w:lineRule="auto"/>
      <w:ind w:left="2127" w:hanging="2127"/>
      <w:jc w:val="left"/>
    </w:pPr>
    <w:rPr>
      <w:rFonts w:cs="Times New Roman"/>
      <w:szCs w:val="20"/>
    </w:rPr>
  </w:style>
  <w:style w:type="paragraph" w:customStyle="1" w:styleId="Part">
    <w:name w:val="Par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spacing w:before="199" w:line="240" w:lineRule="auto"/>
      <w:ind w:left="1701" w:hanging="1701"/>
      <w:jc w:val="left"/>
    </w:pPr>
    <w:rPr>
      <w:rFonts w:cs="Times New Roman"/>
      <w:caps/>
      <w:szCs w:val="20"/>
    </w:rPr>
  </w:style>
  <w:style w:type="paragraph" w:customStyle="1" w:styleId="Reasons">
    <w:name w:val="Reasons"/>
    <w:basedOn w:val="Normal"/>
    <w:qFormat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 w:line="240" w:lineRule="auto"/>
      <w:ind w:left="709" w:hanging="709"/>
      <w:jc w:val="left"/>
    </w:pPr>
    <w:rPr>
      <w:rFonts w:cs="Times New Roman"/>
      <w:szCs w:val="20"/>
    </w:rPr>
  </w:style>
  <w:style w:type="paragraph" w:customStyle="1" w:styleId="Source">
    <w:name w:val="Source"/>
    <w:basedOn w:val="Normal"/>
    <w:next w:val="Title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120" w:line="240" w:lineRule="auto"/>
      <w:jc w:val="left"/>
    </w:pPr>
    <w:rPr>
      <w:rFonts w:cs="Times New Roman"/>
      <w:b/>
      <w:bCs/>
      <w:szCs w:val="20"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0" w:line="240" w:lineRule="auto"/>
      <w:jc w:val="left"/>
    </w:pPr>
    <w:rPr>
      <w:rFonts w:cs="Times New Roman"/>
      <w:szCs w:val="20"/>
    </w:rPr>
  </w:style>
  <w:style w:type="paragraph" w:styleId="TOC9">
    <w:name w:val="toc 9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right" w:leader="dot" w:pos="9645"/>
      </w:tabs>
      <w:spacing w:before="120" w:line="240" w:lineRule="auto"/>
      <w:ind w:left="1920"/>
      <w:jc w:val="left"/>
    </w:pPr>
    <w:rPr>
      <w:rFonts w:cs="Times New Roman"/>
      <w:szCs w:val="20"/>
    </w:r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ref">
    <w:name w:val="Annex_ref"/>
    <w:basedOn w:val="Normal"/>
    <w:next w:val="Annex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center"/>
    </w:pPr>
    <w:rPr>
      <w:rFonts w:cs="Times New Roman"/>
      <w:sz w:val="28"/>
      <w:szCs w:val="20"/>
    </w:rPr>
  </w:style>
  <w:style w:type="paragraph" w:customStyle="1" w:styleId="Annextitle">
    <w:name w:val="Annex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480" w:line="240" w:lineRule="auto"/>
      <w:jc w:val="center"/>
    </w:pPr>
    <w:rPr>
      <w:rFonts w:cs="Times New Roman"/>
      <w:b/>
      <w:szCs w:val="20"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  <w:jc w:val="center"/>
    </w:pPr>
    <w:rPr>
      <w:rFonts w:cs="Times New Roman"/>
      <w:szCs w:val="20"/>
    </w:rPr>
  </w:style>
  <w:style w:type="paragraph" w:customStyle="1" w:styleId="Figurelegend">
    <w:name w:val="Figure_legend"/>
    <w:basedOn w:val="Normal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" w:after="20" w:line="240" w:lineRule="auto"/>
      <w:jc w:val="left"/>
    </w:pPr>
    <w:rPr>
      <w:rFonts w:cs="Times New Roman"/>
      <w:sz w:val="18"/>
      <w:szCs w:val="20"/>
    </w:rPr>
  </w:style>
  <w:style w:type="paragraph" w:customStyle="1" w:styleId="TableNo">
    <w:name w:val="Table_No"/>
    <w:basedOn w:val="Normal"/>
    <w:next w:val="Tabletitle"/>
    <w:rsid w:val="00732045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 w:line="240" w:lineRule="auto"/>
      <w:jc w:val="center"/>
    </w:pPr>
    <w:rPr>
      <w:rFonts w:cs="Times New Roman"/>
      <w:caps/>
      <w:szCs w:val="20"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ctitle">
    <w:name w:val="Rec_title"/>
    <w:basedOn w:val="Normal"/>
    <w:next w:val="Heading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Reftitle">
    <w:name w:val="Ref_title"/>
    <w:basedOn w:val="Normal"/>
    <w:next w:val="Reftext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 w:val="28"/>
      <w:szCs w:val="20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left"/>
    </w:pPr>
    <w:rPr>
      <w:rFonts w:cs="Times New Roman"/>
      <w:szCs w:val="2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7" w:line="240" w:lineRule="auto"/>
      <w:jc w:val="center"/>
    </w:pPr>
    <w:rPr>
      <w:rFonts w:cs="Times New Roman"/>
      <w:szCs w:val="20"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 w:line="240" w:lineRule="auto"/>
      <w:jc w:val="center"/>
    </w:pPr>
    <w:rPr>
      <w:rFonts w:cs="Times New Roman"/>
      <w:caps/>
      <w:szCs w:val="20"/>
    </w:rPr>
  </w:style>
  <w:style w:type="paragraph" w:customStyle="1" w:styleId="firstfooter0">
    <w:name w:val="first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NoTitle">
    <w:name w:val="Annex_NoTitle"/>
    <w:basedOn w:val="Normal"/>
    <w:next w:val="Normal"/>
    <w:rsid w:val="00ED4F28"/>
    <w:pPr>
      <w:keepNext/>
      <w:keepLines/>
      <w:spacing w:before="720" w:after="120"/>
      <w:jc w:val="center"/>
    </w:pPr>
    <w:rPr>
      <w:b/>
    </w:rPr>
  </w:style>
  <w:style w:type="table" w:styleId="TableGrid">
    <w:name w:val="Table Grid"/>
    <w:basedOn w:val="TableNormal"/>
    <w:uiPriority w:val="39"/>
    <w:rsid w:val="00ED4F28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32DC"/>
    <w:pPr>
      <w:ind w:left="720"/>
      <w:contextualSpacing/>
    </w:pPr>
    <w:rPr>
      <w:rFonts w:eastAsia="MS Mincho"/>
      <w:sz w:val="22"/>
      <w:lang w:val="en-US"/>
    </w:rPr>
  </w:style>
  <w:style w:type="paragraph" w:customStyle="1" w:styleId="Default">
    <w:name w:val="Default"/>
    <w:rsid w:val="00A369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D5C7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5C7F"/>
    <w:rPr>
      <w:rFonts w:ascii="Segoe UI" w:hAnsi="Segoe UI" w:cs="Segoe UI"/>
      <w:sz w:val="18"/>
      <w:szCs w:val="18"/>
      <w:lang w:val="fr-FR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1127"/>
    <w:rPr>
      <w:rFonts w:ascii="Calibri" w:eastAsia="MS Mincho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55F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5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5F4D"/>
    <w:rPr>
      <w:rFonts w:ascii="Calibri" w:hAnsi="Calibri" w:cs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5F4D"/>
    <w:rPr>
      <w:rFonts w:ascii="Calibri" w:hAnsi="Calibri" w:cs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655F4D"/>
    <w:rPr>
      <w:rFonts w:ascii="Calibri" w:hAnsi="Calibri" w:cs="Calibri"/>
      <w:sz w:val="24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0-CL-C-0037/en" TargetMode="External"/><Relationship Id="rId21" Type="http://schemas.openxmlformats.org/officeDocument/2006/relationships/hyperlink" Target="https://www.itu.int/md/S20-CL-C-0029/en" TargetMode="External"/><Relationship Id="rId34" Type="http://schemas.openxmlformats.org/officeDocument/2006/relationships/hyperlink" Target="https://www.itu.int/md/S20-CLVC2-C-0003/en" TargetMode="External"/><Relationship Id="rId42" Type="http://schemas.openxmlformats.org/officeDocument/2006/relationships/hyperlink" Target="https://www.itu.int/md/S20-CLVC2-C-0006/en" TargetMode="External"/><Relationship Id="rId47" Type="http://schemas.openxmlformats.org/officeDocument/2006/relationships/hyperlink" Target="https://www.itu.int/md/S20-CL-C-0012/en" TargetMode="External"/><Relationship Id="rId50" Type="http://schemas.openxmlformats.org/officeDocument/2006/relationships/hyperlink" Target="https://www.itu.int/md/S20-CL-C-0019/en" TargetMode="External"/><Relationship Id="rId55" Type="http://schemas.openxmlformats.org/officeDocument/2006/relationships/hyperlink" Target="https://www.itu.int/md/S20-CL-C-0075/en" TargetMode="External"/><Relationship Id="rId63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2/en" TargetMode="External"/><Relationship Id="rId29" Type="http://schemas.openxmlformats.org/officeDocument/2006/relationships/hyperlink" Target="https://www.itu.int/md/S20-CLVC2-C-0002/en" TargetMode="External"/><Relationship Id="rId11" Type="http://schemas.openxmlformats.org/officeDocument/2006/relationships/hyperlink" Target="https://www.itu.int/md/S20-CL-C-0017/en" TargetMode="External"/><Relationship Id="rId24" Type="http://schemas.openxmlformats.org/officeDocument/2006/relationships/hyperlink" Target="https://www.itu.int/md/S20-CLVC-C-0008/en" TargetMode="External"/><Relationship Id="rId32" Type="http://schemas.openxmlformats.org/officeDocument/2006/relationships/hyperlink" Target="https://www.itu.int/md/S20-CLVC2-C-0008/en" TargetMode="External"/><Relationship Id="rId37" Type="http://schemas.openxmlformats.org/officeDocument/2006/relationships/hyperlink" Target="https://www.itu.int/md/S20-CL-C-0063/en" TargetMode="External"/><Relationship Id="rId40" Type="http://schemas.openxmlformats.org/officeDocument/2006/relationships/hyperlink" Target="https://www.itu.int/md/S20-CLVC-C-0002/en" TargetMode="External"/><Relationship Id="rId45" Type="http://schemas.openxmlformats.org/officeDocument/2006/relationships/hyperlink" Target="https://www.itu.int/md/S20-CL-C-0051/en" TargetMode="External"/><Relationship Id="rId53" Type="http://schemas.openxmlformats.org/officeDocument/2006/relationships/hyperlink" Target="https://www.itu.int/md/S20-CL-C-0025/en" TargetMode="External"/><Relationship Id="rId58" Type="http://schemas.openxmlformats.org/officeDocument/2006/relationships/hyperlink" Target="https://www.itu.int/md/S20-CL-C-0053/en" TargetMode="External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https://www.itu.int/md/S20-CL-INF-0020/en" TargetMode="External"/><Relationship Id="rId14" Type="http://schemas.openxmlformats.org/officeDocument/2006/relationships/hyperlink" Target="https://www.itu.int/md/S20-CL-C-0022/en" TargetMode="External"/><Relationship Id="rId22" Type="http://schemas.openxmlformats.org/officeDocument/2006/relationships/hyperlink" Target="https://www.itu.int/md/S20-CL-C-0060/en" TargetMode="External"/><Relationship Id="rId27" Type="http://schemas.openxmlformats.org/officeDocument/2006/relationships/hyperlink" Target="https://www.itu.int/md/S20-CL-C-0024/en" TargetMode="External"/><Relationship Id="rId30" Type="http://schemas.openxmlformats.org/officeDocument/2006/relationships/hyperlink" Target="https://www.itu.int/md/S20-CLVC2-C-0004/en" TargetMode="External"/><Relationship Id="rId35" Type="http://schemas.openxmlformats.org/officeDocument/2006/relationships/hyperlink" Target="https://www.itu.int/md/S20-CL-C-0030/en" TargetMode="External"/><Relationship Id="rId43" Type="http://schemas.openxmlformats.org/officeDocument/2006/relationships/hyperlink" Target="https://www.itu.int/md/S20-CL-INF-0022/en" TargetMode="External"/><Relationship Id="rId48" Type="http://schemas.openxmlformats.org/officeDocument/2006/relationships/hyperlink" Target="https://www.itu.int/md/S20-CL-C-0067/en" TargetMode="External"/><Relationship Id="rId56" Type="http://schemas.openxmlformats.org/officeDocument/2006/relationships/hyperlink" Target="https://www.itu.int/md/S20-CL-C-0059/e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itu.int/md/S20-CLVC2-C-0001/en" TargetMode="External"/><Relationship Id="rId51" Type="http://schemas.openxmlformats.org/officeDocument/2006/relationships/hyperlink" Target="https://www.itu.int/md/S20-CL-C-0011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68/en" TargetMode="External"/><Relationship Id="rId17" Type="http://schemas.openxmlformats.org/officeDocument/2006/relationships/hyperlink" Target="https://www.itu.int/md/S20-CL-C-0040/en" TargetMode="External"/><Relationship Id="rId25" Type="http://schemas.openxmlformats.org/officeDocument/2006/relationships/hyperlink" Target="https://www.itu.int/md/S20-CL-C-0023/en" TargetMode="External"/><Relationship Id="rId33" Type="http://schemas.openxmlformats.org/officeDocument/2006/relationships/hyperlink" Target="https://www.itu.int/md/S20-CLVC2-C-0009/en" TargetMode="External"/><Relationship Id="rId38" Type="http://schemas.openxmlformats.org/officeDocument/2006/relationships/hyperlink" Target="https://www.itu.int/md/S20-CL-C-0014/en" TargetMode="External"/><Relationship Id="rId46" Type="http://schemas.openxmlformats.org/officeDocument/2006/relationships/hyperlink" Target="https://www.itu.int/md/S20-CL-C-0057/en" TargetMode="External"/><Relationship Id="rId59" Type="http://schemas.openxmlformats.org/officeDocument/2006/relationships/hyperlink" Target="https://www.itu.int/md/S20-CL-C-0073/en" TargetMode="External"/><Relationship Id="rId20" Type="http://schemas.openxmlformats.org/officeDocument/2006/relationships/hyperlink" Target="https://www.itu.int/md/S20-CL-INF-0021/en" TargetMode="External"/><Relationship Id="rId41" Type="http://schemas.openxmlformats.org/officeDocument/2006/relationships/hyperlink" Target="https://www.itu.int/md/S20-CLVC-C-0010/en" TargetMode="External"/><Relationship Id="rId54" Type="http://schemas.openxmlformats.org/officeDocument/2006/relationships/hyperlink" Target="https://www.itu.int/md/S20-CL-C-0074/en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0-CL-C-0049/en" TargetMode="External"/><Relationship Id="rId23" Type="http://schemas.openxmlformats.org/officeDocument/2006/relationships/hyperlink" Target="https://www.itu.int/md/S20-CL-C-0078/en" TargetMode="External"/><Relationship Id="rId28" Type="http://schemas.openxmlformats.org/officeDocument/2006/relationships/hyperlink" Target="https://www.itu.int/md/S20-CL-C-0072/en" TargetMode="External"/><Relationship Id="rId36" Type="http://schemas.openxmlformats.org/officeDocument/2006/relationships/hyperlink" Target="https://www.itu.int/md/S20-CL-C-0044/en" TargetMode="External"/><Relationship Id="rId49" Type="http://schemas.openxmlformats.org/officeDocument/2006/relationships/hyperlink" Target="https://www.itu.int/md/S20-CL-C-0010/en" TargetMode="External"/><Relationship Id="rId57" Type="http://schemas.openxmlformats.org/officeDocument/2006/relationships/hyperlink" Target="https://www.itu.int/md/S20-CL-C-0061/en" TargetMode="External"/><Relationship Id="rId10" Type="http://schemas.openxmlformats.org/officeDocument/2006/relationships/hyperlink" Target="https://www.itu.int/md/S20-CL-C-0021/en" TargetMode="External"/><Relationship Id="rId31" Type="http://schemas.openxmlformats.org/officeDocument/2006/relationships/hyperlink" Target="https://www.itu.int/md/S20-CLVC2-C-0007/en" TargetMode="External"/><Relationship Id="rId44" Type="http://schemas.openxmlformats.org/officeDocument/2006/relationships/hyperlink" Target="https://www.itu.int/md/S20-CL-C-0008/en" TargetMode="External"/><Relationship Id="rId52" Type="http://schemas.openxmlformats.org/officeDocument/2006/relationships/hyperlink" Target="https://www.itu.int/md/S20-CL-C-0039/en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2-C-0005/en" TargetMode="External"/><Relationship Id="rId13" Type="http://schemas.openxmlformats.org/officeDocument/2006/relationships/hyperlink" Target="https://www.itu.int/md/S20-CL-C-0050/en" TargetMode="External"/><Relationship Id="rId18" Type="http://schemas.openxmlformats.org/officeDocument/2006/relationships/hyperlink" Target="https://www.itu.int/md/S20-CL-C-0077/en" TargetMode="External"/><Relationship Id="rId39" Type="http://schemas.openxmlformats.org/officeDocument/2006/relationships/hyperlink" Target="https://www.itu.int/md/S20-CLVC-C-001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3</TotalTime>
  <Pages>4</Pages>
  <Words>1014</Words>
  <Characters>8435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9431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VC 2020</dc:subject>
  <dc:creator>Royer, Veronique</dc:creator>
  <cp:keywords>VC</cp:keywords>
  <dc:description/>
  <cp:lastModifiedBy>Janin, Patricia</cp:lastModifiedBy>
  <cp:revision>3</cp:revision>
  <cp:lastPrinted>2020-11-10T09:43:00Z</cp:lastPrinted>
  <dcterms:created xsi:type="dcterms:W3CDTF">2020-11-17T06:42:00Z</dcterms:created>
  <dcterms:modified xsi:type="dcterms:W3CDTF">2020-11-17T06:45:00Z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