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834BD" w:rsidRPr="005D2F70" w14:paraId="3977C64C" w14:textId="77777777" w:rsidTr="00FA7FCF">
        <w:trPr>
          <w:cantSplit/>
          <w:trHeight w:val="1276"/>
        </w:trPr>
        <w:tc>
          <w:tcPr>
            <w:tcW w:w="6911" w:type="dxa"/>
          </w:tcPr>
          <w:p w14:paraId="3B714F32" w14:textId="77777777" w:rsidR="001834BD" w:rsidRPr="005D2F70" w:rsidRDefault="001834BD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</w:rPr>
            </w:pPr>
            <w:bookmarkStart w:id="0" w:name="lt_pId446"/>
            <w:r w:rsidRPr="005D2F70">
              <w:rPr>
                <w:b/>
                <w:bCs/>
                <w:position w:val="6"/>
                <w:sz w:val="26"/>
                <w:szCs w:val="26"/>
              </w:rPr>
              <w:t xml:space="preserve">Consulta virtual de los consejeros </w:t>
            </w:r>
            <w:bookmarkEnd w:id="0"/>
            <w:r w:rsidRPr="005D2F70">
              <w:rPr>
                <w:b/>
                <w:bCs/>
                <w:position w:val="6"/>
                <w:sz w:val="26"/>
                <w:szCs w:val="26"/>
              </w:rPr>
              <w:br/>
            </w:r>
            <w:bookmarkStart w:id="1" w:name="lt_pId447"/>
            <w:r w:rsidRPr="005D2F70">
              <w:rPr>
                <w:b/>
                <w:bCs/>
                <w:position w:val="6"/>
                <w:sz w:val="26"/>
                <w:szCs w:val="26"/>
              </w:rPr>
              <w:t>que comienza el 9 de junio de 2020</w:t>
            </w:r>
            <w:bookmarkEnd w:id="1"/>
          </w:p>
        </w:tc>
        <w:tc>
          <w:tcPr>
            <w:tcW w:w="3120" w:type="dxa"/>
            <w:vAlign w:val="center"/>
          </w:tcPr>
          <w:p w14:paraId="04F8022A" w14:textId="77777777" w:rsidR="001834BD" w:rsidRPr="005D2F70" w:rsidRDefault="001834BD" w:rsidP="00FA7FCF">
            <w:pPr>
              <w:spacing w:before="0"/>
            </w:pPr>
            <w:r w:rsidRPr="005D2F70">
              <w:rPr>
                <w:noProof/>
                <w:lang w:val="en-US"/>
              </w:rPr>
              <w:drawing>
                <wp:inline distT="0" distB="0" distL="0" distR="0" wp14:anchorId="7574244E" wp14:editId="03A1CC1C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4BD" w:rsidRPr="005D2F70" w14:paraId="65BF6BF9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2FF1E90" w14:textId="77777777" w:rsidR="001834BD" w:rsidRPr="005D2F70" w:rsidRDefault="001834BD" w:rsidP="00FA7FC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4442B1" w14:textId="77777777" w:rsidR="001834BD" w:rsidRPr="005D2F70" w:rsidRDefault="001834BD" w:rsidP="00FA7FCF">
            <w:pPr>
              <w:spacing w:before="0"/>
              <w:rPr>
                <w:szCs w:val="24"/>
              </w:rPr>
            </w:pPr>
          </w:p>
        </w:tc>
      </w:tr>
      <w:tr w:rsidR="001834BD" w:rsidRPr="005D2F70" w14:paraId="5DF4AEA3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B9E09F8" w14:textId="77777777" w:rsidR="001834BD" w:rsidRPr="005D2F70" w:rsidRDefault="001834BD" w:rsidP="00FA7FC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8F1591D" w14:textId="08CA1BCF" w:rsidR="001834BD" w:rsidRPr="005D2F70" w:rsidRDefault="001834BD" w:rsidP="00DB2999">
            <w:pPr>
              <w:spacing w:before="240"/>
              <w:rPr>
                <w:szCs w:val="24"/>
              </w:rPr>
            </w:pPr>
            <w:r w:rsidRPr="005D2F70">
              <w:rPr>
                <w:b/>
                <w:bCs/>
                <w:szCs w:val="24"/>
              </w:rPr>
              <w:t xml:space="preserve">Documento </w:t>
            </w:r>
            <w:r w:rsidR="00491AC1" w:rsidRPr="005D2F70">
              <w:rPr>
                <w:b/>
                <w:bCs/>
                <w:szCs w:val="24"/>
              </w:rPr>
              <w:t>VC</w:t>
            </w:r>
            <w:r w:rsidR="00DB2999" w:rsidRPr="005D2F70">
              <w:rPr>
                <w:b/>
                <w:bCs/>
                <w:szCs w:val="24"/>
              </w:rPr>
              <w:t>/</w:t>
            </w:r>
            <w:r w:rsidR="002D5D9A">
              <w:rPr>
                <w:b/>
                <w:bCs/>
                <w:szCs w:val="24"/>
              </w:rPr>
              <w:t>14</w:t>
            </w:r>
            <w:r w:rsidRPr="005D2F70">
              <w:rPr>
                <w:b/>
                <w:bCs/>
                <w:szCs w:val="24"/>
              </w:rPr>
              <w:t>-S</w:t>
            </w:r>
            <w:r w:rsidRPr="005D2F70">
              <w:rPr>
                <w:b/>
                <w:bCs/>
                <w:szCs w:val="24"/>
              </w:rPr>
              <w:br/>
            </w:r>
            <w:r w:rsidR="002D5D9A">
              <w:rPr>
                <w:b/>
                <w:bCs/>
                <w:szCs w:val="24"/>
              </w:rPr>
              <w:t>7</w:t>
            </w:r>
            <w:r w:rsidR="00DB2999" w:rsidRPr="005D2F70">
              <w:rPr>
                <w:b/>
                <w:bCs/>
                <w:szCs w:val="24"/>
              </w:rPr>
              <w:t xml:space="preserve"> de </w:t>
            </w:r>
            <w:r w:rsidR="002D5D9A">
              <w:rPr>
                <w:b/>
                <w:bCs/>
                <w:szCs w:val="24"/>
              </w:rPr>
              <w:t>junio</w:t>
            </w:r>
            <w:r w:rsidR="00DB2999" w:rsidRPr="005D2F70">
              <w:rPr>
                <w:b/>
                <w:bCs/>
                <w:szCs w:val="24"/>
              </w:rPr>
              <w:t xml:space="preserve"> </w:t>
            </w:r>
            <w:r w:rsidRPr="005D2F70">
              <w:rPr>
                <w:b/>
                <w:bCs/>
                <w:szCs w:val="24"/>
              </w:rPr>
              <w:t>de 2020</w:t>
            </w:r>
            <w:r w:rsidRPr="005D2F70">
              <w:rPr>
                <w:b/>
                <w:bCs/>
                <w:szCs w:val="24"/>
              </w:rPr>
              <w:br/>
              <w:t xml:space="preserve">Original: </w:t>
            </w:r>
            <w:r w:rsidR="000731A9" w:rsidRPr="005D2F70">
              <w:rPr>
                <w:b/>
                <w:bCs/>
                <w:szCs w:val="24"/>
              </w:rPr>
              <w:t>inglés</w:t>
            </w:r>
          </w:p>
        </w:tc>
      </w:tr>
    </w:tbl>
    <w:p w14:paraId="0EDC7BDC" w14:textId="77777777" w:rsidR="001834BD" w:rsidRPr="005D2F70" w:rsidRDefault="001834BD" w:rsidP="001834BD">
      <w:pPr>
        <w:spacing w:before="0"/>
        <w:rPr>
          <w:b/>
          <w:bCs/>
          <w:sz w:val="28"/>
        </w:rPr>
      </w:pPr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1834BD" w:rsidRPr="005D2F70" w14:paraId="67F399A1" w14:textId="77777777" w:rsidTr="006E06C0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B8855D4" w14:textId="77777777" w:rsidR="001834BD" w:rsidRPr="005D2F70" w:rsidRDefault="001834BD" w:rsidP="00FA7FCF">
            <w:pPr>
              <w:spacing w:before="0"/>
              <w:rPr>
                <w:b/>
                <w:bCs/>
              </w:rPr>
            </w:pPr>
            <w:bookmarkStart w:id="2" w:name="lt_pId450"/>
            <w:r w:rsidRPr="005D2F70">
              <w:rPr>
                <w:b/>
                <w:bCs/>
              </w:rPr>
              <w:t>Nombre del/de los Estado(s) Miembro(s) que la presenta(n):</w:t>
            </w:r>
            <w:bookmarkEnd w:id="2"/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1749D" w14:textId="6DF19879" w:rsidR="001834BD" w:rsidRPr="005D2F70" w:rsidRDefault="002D5D9A" w:rsidP="00DF2FE6">
            <w:pPr>
              <w:spacing w:before="0"/>
            </w:pPr>
            <w:r>
              <w:rPr>
                <w:b/>
                <w:bCs/>
              </w:rPr>
              <w:t>Reino de Arabia Saudita</w:t>
            </w:r>
          </w:p>
        </w:tc>
      </w:tr>
      <w:tr w:rsidR="001834BD" w:rsidRPr="005D2F70" w14:paraId="33F09C24" w14:textId="77777777" w:rsidTr="006E06C0">
        <w:trPr>
          <w:cantSplit/>
        </w:trPr>
        <w:tc>
          <w:tcPr>
            <w:tcW w:w="2835" w:type="dxa"/>
          </w:tcPr>
          <w:p w14:paraId="0759933A" w14:textId="77777777" w:rsidR="001834BD" w:rsidRPr="005D2F70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1271D477" w14:textId="77777777" w:rsidR="001834BD" w:rsidRPr="005D2F70" w:rsidRDefault="001834BD" w:rsidP="00DF2FE6">
            <w:pPr>
              <w:spacing w:before="0"/>
              <w:rPr>
                <w:sz w:val="16"/>
                <w:szCs w:val="16"/>
              </w:rPr>
            </w:pPr>
          </w:p>
        </w:tc>
      </w:tr>
      <w:tr w:rsidR="001834BD" w:rsidRPr="005D2F70" w14:paraId="6464ECE7" w14:textId="77777777" w:rsidTr="006E06C0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30A2F2C9" w14:textId="77777777" w:rsidR="001834BD" w:rsidRPr="005D2F70" w:rsidRDefault="001834BD" w:rsidP="00FA7FCF">
            <w:pPr>
              <w:spacing w:after="120"/>
              <w:rPr>
                <w:b/>
                <w:bCs/>
              </w:rPr>
            </w:pPr>
            <w:bookmarkStart w:id="3" w:name="lt_pId451"/>
            <w:r w:rsidRPr="005D2F70">
              <w:rPr>
                <w:b/>
                <w:bCs/>
              </w:rPr>
              <w:t>Título del documento:</w:t>
            </w:r>
            <w:bookmarkEnd w:id="3"/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8DD76" w14:textId="6EFFC640" w:rsidR="001834BD" w:rsidRPr="002D5D9A" w:rsidRDefault="00DF2FE6" w:rsidP="002D5D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Implementación de la Resolución </w:t>
            </w:r>
            <w:r w:rsidR="002D5D9A">
              <w:rPr>
                <w:b/>
                <w:bCs/>
              </w:rPr>
              <w:t>131</w:t>
            </w:r>
            <w:r>
              <w:rPr>
                <w:b/>
                <w:bCs/>
              </w:rPr>
              <w:t xml:space="preserve"> (</w:t>
            </w:r>
            <w:r w:rsidR="002D5D9A">
              <w:rPr>
                <w:b/>
                <w:bCs/>
              </w:rPr>
              <w:t>Rev. Dubái, 2018</w:t>
            </w:r>
            <w:r>
              <w:rPr>
                <w:b/>
                <w:bCs/>
              </w:rPr>
              <w:t>)</w:t>
            </w:r>
          </w:p>
        </w:tc>
      </w:tr>
      <w:tr w:rsidR="001834BD" w:rsidRPr="005D2F70" w14:paraId="6DEC4985" w14:textId="77777777" w:rsidTr="006E06C0">
        <w:trPr>
          <w:cantSplit/>
          <w:trHeight w:val="269"/>
        </w:trPr>
        <w:tc>
          <w:tcPr>
            <w:tcW w:w="2835" w:type="dxa"/>
          </w:tcPr>
          <w:p w14:paraId="0EE14FA2" w14:textId="77777777" w:rsidR="001834BD" w:rsidRPr="005D2F70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74B8BB09" w14:textId="77777777" w:rsidR="001834BD" w:rsidRPr="005D2F70" w:rsidRDefault="001834BD" w:rsidP="00DF2FE6">
            <w:pPr>
              <w:spacing w:before="0"/>
              <w:rPr>
                <w:sz w:val="16"/>
                <w:szCs w:val="16"/>
              </w:rPr>
            </w:pPr>
          </w:p>
        </w:tc>
      </w:tr>
      <w:tr w:rsidR="001834BD" w:rsidRPr="005D2F70" w14:paraId="1899DA91" w14:textId="77777777" w:rsidTr="006E06C0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1CCD59E5" w14:textId="77777777" w:rsidR="001834BD" w:rsidRPr="005D2F70" w:rsidRDefault="001834BD" w:rsidP="00FA7FCF">
            <w:pPr>
              <w:spacing w:before="0"/>
              <w:rPr>
                <w:b/>
                <w:bCs/>
              </w:rPr>
            </w:pPr>
            <w:bookmarkStart w:id="4" w:name="lt_pId452"/>
            <w:r w:rsidRPr="005D2F70">
              <w:rPr>
                <w:b/>
                <w:bCs/>
              </w:rPr>
              <w:t>Referencia al proyecto de orden del día de la consulta virtual:</w:t>
            </w:r>
            <w:bookmarkEnd w:id="4"/>
          </w:p>
        </w:tc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E734C" w14:textId="24AD8205" w:rsidR="001834BD" w:rsidRPr="005D2F70" w:rsidRDefault="00BF1808" w:rsidP="00CE2A18">
            <w:pPr>
              <w:spacing w:before="240" w:after="120"/>
              <w:rPr>
                <w:b/>
                <w:bCs/>
              </w:rPr>
            </w:pPr>
            <w:hyperlink r:id="rId8" w:history="1">
              <w:r w:rsidR="000731A9" w:rsidRPr="002D5D9A">
                <w:rPr>
                  <w:rStyle w:val="Hyperlink"/>
                  <w:b/>
                  <w:bCs/>
                </w:rPr>
                <w:t>Document</w:t>
              </w:r>
              <w:r w:rsidR="000731A9" w:rsidRPr="002D5D9A">
                <w:rPr>
                  <w:rStyle w:val="Hyperlink"/>
                  <w:b/>
                  <w:bCs/>
                </w:rPr>
                <w:t>o</w:t>
              </w:r>
              <w:r w:rsidR="000731A9" w:rsidRPr="002D5D9A">
                <w:rPr>
                  <w:rStyle w:val="Hyperlink"/>
                  <w:b/>
                  <w:bCs/>
                </w:rPr>
                <w:t xml:space="preserve"> C20/</w:t>
              </w:r>
              <w:r w:rsidR="002D5D9A" w:rsidRPr="002D5D9A">
                <w:rPr>
                  <w:rStyle w:val="Hyperlink"/>
                  <w:b/>
                  <w:bCs/>
                </w:rPr>
                <w:t>62</w:t>
              </w:r>
            </w:hyperlink>
          </w:p>
        </w:tc>
      </w:tr>
      <w:tr w:rsidR="001834BD" w:rsidRPr="005D2F70" w14:paraId="7FCF087F" w14:textId="77777777" w:rsidTr="006E06C0">
        <w:trPr>
          <w:cantSplit/>
          <w:trHeight w:val="156"/>
        </w:trPr>
        <w:tc>
          <w:tcPr>
            <w:tcW w:w="2835" w:type="dxa"/>
          </w:tcPr>
          <w:p w14:paraId="6162A9BE" w14:textId="77777777" w:rsidR="001834BD" w:rsidRPr="005D2F70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2116B94A" w14:textId="77777777" w:rsidR="001834BD" w:rsidRPr="005D2F70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</w:tr>
      <w:tr w:rsidR="001834BD" w:rsidRPr="005D2F70" w14:paraId="0E88D658" w14:textId="77777777" w:rsidTr="006E06C0">
        <w:trPr>
          <w:cantSplit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46EC4" w14:textId="7689BCA7" w:rsidR="00DB2999" w:rsidRPr="006E06C0" w:rsidRDefault="001834BD" w:rsidP="00491438">
            <w:pPr>
              <w:pStyle w:val="Headingb"/>
              <w:keepNext w:val="0"/>
              <w:keepLines w:val="0"/>
              <w:widowControl w:val="0"/>
            </w:pPr>
            <w:r w:rsidRPr="006E06C0">
              <w:lastRenderedPageBreak/>
              <w:t xml:space="preserve">Comentarios relativos al Documento </w:t>
            </w:r>
            <w:r w:rsidR="005D2F70" w:rsidRPr="006E06C0">
              <w:t>C20/</w:t>
            </w:r>
            <w:r w:rsidR="002D5D9A" w:rsidRPr="006E06C0">
              <w:t>62</w:t>
            </w:r>
          </w:p>
          <w:p w14:paraId="53948911" w14:textId="11061096" w:rsidR="002D5D9A" w:rsidRPr="002D5D9A" w:rsidRDefault="002D5D9A" w:rsidP="006E06C0">
            <w:pPr>
              <w:pStyle w:val="Headingb"/>
              <w:rPr>
                <w:rFonts w:eastAsia="Calibri"/>
              </w:rPr>
            </w:pPr>
            <w:bookmarkStart w:id="5" w:name="lt_pId014"/>
            <w:r w:rsidRPr="002D5D9A">
              <w:rPr>
                <w:rFonts w:eastAsia="Calibri"/>
              </w:rPr>
              <w:t>Antecedentes</w:t>
            </w:r>
          </w:p>
          <w:p w14:paraId="077C319C" w14:textId="05D1E6B1" w:rsidR="005D2F70" w:rsidRPr="005D2F70" w:rsidRDefault="002D5D9A" w:rsidP="006E06C0">
            <w:pPr>
              <w:rPr>
                <w:rFonts w:eastAsia="Calibri"/>
              </w:rPr>
            </w:pPr>
            <w:r w:rsidRPr="002D5D9A">
              <w:rPr>
                <w:rFonts w:eastAsia="Calibri"/>
              </w:rPr>
              <w:t xml:space="preserve">De 2009 a 2017, la Unión Internacional de Telecomunicaciones publicó el Índice de Desarrollo de las </w:t>
            </w:r>
            <w:r>
              <w:rPr>
                <w:rFonts w:eastAsia="Calibri"/>
              </w:rPr>
              <w:t>tecnologías de la información y la comunicación</w:t>
            </w:r>
            <w:r w:rsidRPr="002D5D9A">
              <w:rPr>
                <w:rFonts w:eastAsia="Calibri"/>
              </w:rPr>
              <w:t xml:space="preserve"> (ID</w:t>
            </w:r>
            <w:r>
              <w:rPr>
                <w:rFonts w:eastAsia="Calibri"/>
              </w:rPr>
              <w:t>T</w:t>
            </w:r>
            <w:r w:rsidRPr="002D5D9A">
              <w:rPr>
                <w:rFonts w:eastAsia="Calibri"/>
              </w:rPr>
              <w:t>I), que se considera un índice integrado para medir y comparar el crecimiento y el desarrollo de las TIC entre los Estados Miembros.</w:t>
            </w:r>
            <w:bookmarkEnd w:id="5"/>
          </w:p>
          <w:p w14:paraId="20568399" w14:textId="1A530419" w:rsidR="00DF2FE6" w:rsidRDefault="002D5D9A" w:rsidP="006E06C0">
            <w:pPr>
              <w:rPr>
                <w:rFonts w:eastAsia="Calibri"/>
              </w:rPr>
            </w:pPr>
            <w:bookmarkStart w:id="6" w:name="lt_pId456"/>
            <w:r w:rsidRPr="002D5D9A">
              <w:rPr>
                <w:rFonts w:eastAsia="Calibri"/>
              </w:rPr>
              <w:t>Sobre la base del desarrollo de la tecnología, el aumento de la cobertura de las redes de comunicación de banda ancha y su repercusión en muchos otros servicios, los Estados Miembros han considerado necesario y conveniente actualizar el índice para examinar el subconjunto de indicadores de manera que se ajuste a la evolución de la época actual</w:t>
            </w:r>
            <w:r w:rsidR="00DF2FE6" w:rsidRPr="00DF2FE6">
              <w:rPr>
                <w:rFonts w:eastAsia="Calibri"/>
              </w:rPr>
              <w:t>.</w:t>
            </w:r>
          </w:p>
          <w:p w14:paraId="05B748E7" w14:textId="1B524381" w:rsidR="002D5D9A" w:rsidRDefault="002D5D9A" w:rsidP="006E06C0">
            <w:pPr>
              <w:rPr>
                <w:rFonts w:eastAsia="Calibri"/>
              </w:rPr>
            </w:pPr>
            <w:r w:rsidRPr="002D5D9A">
              <w:rPr>
                <w:rFonts w:eastAsia="Calibri"/>
              </w:rPr>
              <w:t xml:space="preserve">Por conducto de los equipos de expertos que se ocupan de los indicadores de </w:t>
            </w:r>
            <w:r>
              <w:rPr>
                <w:rFonts w:eastAsia="Calibri"/>
              </w:rPr>
              <w:t>las tecnologías de la información y la comunicación</w:t>
            </w:r>
            <w:r w:rsidRPr="002D5D9A">
              <w:rPr>
                <w:rFonts w:eastAsia="Calibri"/>
              </w:rPr>
              <w:t xml:space="preserve"> y a lo largo de dos años (2016-2018), se convino en adoptar un nuevo conjunto de subindicadores para el cálculo del índice que se </w:t>
            </w:r>
            <w:r>
              <w:rPr>
                <w:rFonts w:eastAsia="Calibri"/>
              </w:rPr>
              <w:t>preveía</w:t>
            </w:r>
            <w:r w:rsidRPr="002D5D9A">
              <w:rPr>
                <w:rFonts w:eastAsia="Calibri"/>
              </w:rPr>
              <w:t xml:space="preserve"> publicar en 2018</w:t>
            </w:r>
            <w:r>
              <w:rPr>
                <w:rFonts w:eastAsia="Calibri"/>
              </w:rPr>
              <w:t>.</w:t>
            </w:r>
          </w:p>
          <w:p w14:paraId="02B9BC70" w14:textId="77777777" w:rsidR="002D5D9A" w:rsidRPr="002D5D9A" w:rsidRDefault="002D5D9A" w:rsidP="006E06C0">
            <w:pPr>
              <w:pStyle w:val="Headingb"/>
              <w:rPr>
                <w:rFonts w:eastAsia="Calibri"/>
              </w:rPr>
            </w:pPr>
            <w:r w:rsidRPr="002D5D9A">
              <w:rPr>
                <w:rFonts w:eastAsia="Calibri"/>
              </w:rPr>
              <w:t>Discusión</w:t>
            </w:r>
          </w:p>
          <w:p w14:paraId="2B2D9420" w14:textId="18D625BB" w:rsidR="00EC1AE8" w:rsidRDefault="002D5D9A" w:rsidP="006E06C0">
            <w:pPr>
              <w:rPr>
                <w:rFonts w:eastAsia="Calibri"/>
              </w:rPr>
            </w:pPr>
            <w:r>
              <w:rPr>
                <w:rFonts w:eastAsia="Calibri"/>
              </w:rPr>
              <w:t>Pese a que en la Resolución 131 (Rev. Dubái, 2018) de la PP de la UIT se en</w:t>
            </w:r>
            <w:r w:rsidR="00491438">
              <w:rPr>
                <w:rFonts w:eastAsia="Calibri"/>
              </w:rPr>
              <w:t xml:space="preserve">carga a la Directora de la BDT "4 </w:t>
            </w:r>
            <w:r w:rsidRPr="002D5D9A">
              <w:rPr>
                <w:rFonts w:eastAsia="Calibri"/>
              </w:rPr>
              <w:t>que publique anualmente la CPT y el IDT, incluidos clasificaciones, estudios, gráficos, valores comparativos y análisis en profundidad de las prácticas idóneas exitosas, para revelar el progreso o la falta de progreso en el acceso, el uso y la asequibilidad de las TIC</w:t>
            </w:r>
            <w:r w:rsidR="00491438">
              <w:rPr>
                <w:rFonts w:eastAsia="Calibri"/>
              </w:rPr>
              <w:t>"</w:t>
            </w:r>
            <w:r w:rsidR="00EC1AE8">
              <w:rPr>
                <w:rFonts w:eastAsia="Calibri"/>
              </w:rPr>
              <w:t xml:space="preserve">, </w:t>
            </w:r>
            <w:r w:rsidR="00070389">
              <w:rPr>
                <w:rFonts w:eastAsia="Calibri"/>
              </w:rPr>
              <w:t xml:space="preserve">no se publicó </w:t>
            </w:r>
            <w:r w:rsidR="00491438">
              <w:rPr>
                <w:rFonts w:eastAsia="Calibri"/>
              </w:rPr>
              <w:t>el índice IDT para </w:t>
            </w:r>
            <w:r w:rsidR="00EC1AE8">
              <w:rPr>
                <w:rFonts w:eastAsia="Calibri"/>
              </w:rPr>
              <w:t xml:space="preserve">2018 ni para 2019. Además, la UIT propuso un nuevo índice, debatido por los Estados Miembros en dos reuniones, la última de las cuales se </w:t>
            </w:r>
            <w:r w:rsidR="00491438">
              <w:rPr>
                <w:rFonts w:eastAsia="Calibri"/>
              </w:rPr>
              <w:t>celebró el 17 de abril de 2020.</w:t>
            </w:r>
          </w:p>
          <w:p w14:paraId="18F53D92" w14:textId="72CDB084" w:rsidR="009120F9" w:rsidRDefault="00070389" w:rsidP="006E06C0">
            <w:pPr>
              <w:rPr>
                <w:rFonts w:eastAsia="Calibri"/>
              </w:rPr>
            </w:pPr>
            <w:r w:rsidRPr="00070389">
              <w:rPr>
                <w:rFonts w:eastAsia="Calibri"/>
              </w:rPr>
              <w:t xml:space="preserve">Si bien la idea del nuevo índice es buena </w:t>
            </w:r>
            <w:r w:rsidR="00C91511" w:rsidRPr="00070389">
              <w:rPr>
                <w:rFonts w:eastAsia="Calibri"/>
              </w:rPr>
              <w:t>en</w:t>
            </w:r>
            <w:r w:rsidR="00C91511">
              <w:rPr>
                <w:rFonts w:eastAsia="Calibri"/>
              </w:rPr>
              <w:t xml:space="preserve"> términos</w:t>
            </w:r>
            <w:r w:rsidR="00C91511" w:rsidRPr="00070389">
              <w:rPr>
                <w:rFonts w:eastAsia="Calibri"/>
              </w:rPr>
              <w:t xml:space="preserve"> general</w:t>
            </w:r>
            <w:r w:rsidR="00C91511">
              <w:rPr>
                <w:rFonts w:eastAsia="Calibri"/>
              </w:rPr>
              <w:t>es</w:t>
            </w:r>
            <w:r w:rsidR="00C91511" w:rsidRPr="00070389">
              <w:rPr>
                <w:rFonts w:eastAsia="Calibri"/>
              </w:rPr>
              <w:t xml:space="preserve"> </w:t>
            </w:r>
            <w:r w:rsidRPr="00070389">
              <w:rPr>
                <w:rFonts w:eastAsia="Calibri"/>
              </w:rPr>
              <w:t xml:space="preserve">y contribuye </w:t>
            </w:r>
            <w:r w:rsidR="00C91511">
              <w:rPr>
                <w:rFonts w:eastAsia="Calibri"/>
              </w:rPr>
              <w:t>a la medición de</w:t>
            </w:r>
            <w:r w:rsidRPr="00070389">
              <w:rPr>
                <w:rFonts w:eastAsia="Calibri"/>
              </w:rPr>
              <w:t xml:space="preserve"> los efectos de las TIC y a comparar los esfuerzos de los países por alcanzar los objetivos de desarrollo sostenible, los Estados Miembros han planteado inquietudes con respecto al nuevo índice de la UIT que abarca</w:t>
            </w:r>
            <w:r w:rsidR="00C91511">
              <w:rPr>
                <w:rFonts w:eastAsia="Calibri"/>
              </w:rPr>
              <w:t>n</w:t>
            </w:r>
            <w:r w:rsidRPr="00070389">
              <w:rPr>
                <w:rFonts w:eastAsia="Calibri"/>
              </w:rPr>
              <w:t xml:space="preserve"> muchos ángulos importantes y fundamentales (procedimiento, exhaustividad de la metodología, datos y sus fuentes). Todos han visto claramente que se necesita más </w:t>
            </w:r>
            <w:r w:rsidR="00C91511">
              <w:rPr>
                <w:rFonts w:eastAsia="Calibri"/>
              </w:rPr>
              <w:t>tiempo</w:t>
            </w:r>
            <w:r w:rsidRPr="00070389">
              <w:rPr>
                <w:rFonts w:eastAsia="Calibri"/>
              </w:rPr>
              <w:t xml:space="preserve"> para madurar el nuevo índice y </w:t>
            </w:r>
            <w:r w:rsidR="00C91511">
              <w:rPr>
                <w:rFonts w:eastAsia="Calibri"/>
              </w:rPr>
              <w:t>prepararlo</w:t>
            </w:r>
            <w:r w:rsidRPr="00070389">
              <w:rPr>
                <w:rFonts w:eastAsia="Calibri"/>
              </w:rPr>
              <w:t xml:space="preserve"> para </w:t>
            </w:r>
            <w:r w:rsidR="00C91511">
              <w:rPr>
                <w:rFonts w:eastAsia="Calibri"/>
              </w:rPr>
              <w:t>la</w:t>
            </w:r>
            <w:r w:rsidRPr="00070389">
              <w:rPr>
                <w:rFonts w:eastAsia="Calibri"/>
              </w:rPr>
              <w:t xml:space="preserve"> publicación</w:t>
            </w:r>
            <w:r w:rsidR="00491438">
              <w:rPr>
                <w:rFonts w:eastAsia="Calibri"/>
              </w:rPr>
              <w:t>.</w:t>
            </w:r>
          </w:p>
          <w:p w14:paraId="54B2D22C" w14:textId="77777777" w:rsidR="00C91511" w:rsidRPr="00C91511" w:rsidRDefault="00C91511" w:rsidP="006E06C0">
            <w:pPr>
              <w:pStyle w:val="Headingb"/>
              <w:rPr>
                <w:rFonts w:eastAsia="Calibri"/>
              </w:rPr>
            </w:pPr>
            <w:r w:rsidRPr="00C91511">
              <w:rPr>
                <w:rFonts w:eastAsia="Calibri"/>
              </w:rPr>
              <w:t>Propue</w:t>
            </w:r>
            <w:bookmarkStart w:id="7" w:name="_GoBack"/>
            <w:bookmarkEnd w:id="7"/>
            <w:r w:rsidRPr="00C91511">
              <w:rPr>
                <w:rFonts w:eastAsia="Calibri"/>
              </w:rPr>
              <w:t>sta</w:t>
            </w:r>
          </w:p>
          <w:p w14:paraId="7DF080C4" w14:textId="170FD588" w:rsidR="001834BD" w:rsidRPr="00C91511" w:rsidRDefault="00C91511" w:rsidP="006E06C0">
            <w:pPr>
              <w:rPr>
                <w:rFonts w:eastAsia="Calibri"/>
              </w:rPr>
            </w:pPr>
            <w:r>
              <w:rPr>
                <w:rFonts w:eastAsia="Calibri"/>
              </w:rPr>
              <w:t>Habida cuenta que la UIT no ha publicado el IDT correspondiente a dos años, y teniendo en cuenta la Resolución 131 de la PP de la UIT, la UIT debería reanudar la emisión y publicación del IDT y proseguir los trabajos con miras a un nuevo índice a través del GEIT y del GEH.</w:t>
            </w:r>
            <w:bookmarkEnd w:id="6"/>
          </w:p>
        </w:tc>
      </w:tr>
    </w:tbl>
    <w:p w14:paraId="1820B7F6" w14:textId="2DF10ADA" w:rsidR="00CE2A18" w:rsidRDefault="00CE2A18" w:rsidP="00411C49">
      <w:pPr>
        <w:pStyle w:val="Reasons"/>
      </w:pPr>
    </w:p>
    <w:p w14:paraId="3A3E05C6" w14:textId="77777777" w:rsidR="00CE2A18" w:rsidRDefault="00CE2A18">
      <w:pPr>
        <w:jc w:val="center"/>
      </w:pPr>
      <w:r>
        <w:t>______________</w:t>
      </w:r>
    </w:p>
    <w:sectPr w:rsidR="00CE2A18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859F8" w14:textId="77777777" w:rsidR="00DB2999" w:rsidRDefault="00DB2999">
      <w:r>
        <w:separator/>
      </w:r>
    </w:p>
  </w:endnote>
  <w:endnote w:type="continuationSeparator" w:id="0">
    <w:p w14:paraId="1E991AE7" w14:textId="77777777" w:rsidR="00DB2999" w:rsidRDefault="00DB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CE51" w14:textId="4FC1CE46" w:rsidR="00760F1C" w:rsidRPr="004370E7" w:rsidRDefault="00CE2A18" w:rsidP="00174331">
    <w:pPr>
      <w:pStyle w:val="Footer"/>
      <w:rPr>
        <w:lang w:val="en-US"/>
      </w:rPr>
    </w:pPr>
    <w:fldSimple w:instr=" FILENAME \p  \* MERGEFORMAT ">
      <w:r>
        <w:t>P:\ESP\SG\CONSEIL\VC\000\014S.docx</w:t>
      </w:r>
    </w:fldSimple>
    <w:r>
      <w:t xml:space="preserve"> </w:t>
    </w:r>
    <w:r w:rsidR="00174331" w:rsidRPr="00B5193C">
      <w:rPr>
        <w:lang w:val="en-US"/>
      </w:rPr>
      <w:t>(</w:t>
    </w:r>
    <w:r w:rsidR="00C91511">
      <w:rPr>
        <w:lang w:val="en-US"/>
      </w:rPr>
      <w:t>472013</w:t>
    </w:r>
    <w:r w:rsidR="00174331" w:rsidRPr="00B5193C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41CD" w14:textId="368CC99C" w:rsidR="00DB2999" w:rsidRPr="00CE2A18" w:rsidRDefault="00760F1C" w:rsidP="00CE2A1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06BD" w14:textId="77777777" w:rsidR="00DB2999" w:rsidRDefault="00DB2999">
      <w:r>
        <w:t>____________________</w:t>
      </w:r>
    </w:p>
  </w:footnote>
  <w:footnote w:type="continuationSeparator" w:id="0">
    <w:p w14:paraId="0CBB86EE" w14:textId="77777777" w:rsidR="00DB2999" w:rsidRDefault="00DB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2AB4A" w14:textId="15EF14B2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1808">
      <w:rPr>
        <w:noProof/>
      </w:rPr>
      <w:t>2</w:t>
    </w:r>
    <w:r>
      <w:rPr>
        <w:noProof/>
      </w:rPr>
      <w:fldChar w:fldCharType="end"/>
    </w:r>
  </w:p>
  <w:p w14:paraId="47F21D35" w14:textId="7A635A10" w:rsidR="00760F1C" w:rsidRDefault="001834BD" w:rsidP="00C2727F">
    <w:pPr>
      <w:pStyle w:val="Header"/>
    </w:pPr>
    <w:r>
      <w:t>VC</w:t>
    </w:r>
    <w:r w:rsidR="00542B11">
      <w:t>/</w:t>
    </w:r>
    <w:r w:rsidR="00822280">
      <w:t>9</w:t>
    </w:r>
    <w:r w:rsidR="00760F1C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115"/>
    <w:multiLevelType w:val="hybridMultilevel"/>
    <w:tmpl w:val="0E22A214"/>
    <w:lvl w:ilvl="0" w:tplc="8870C5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AE09E4C" w:tentative="1">
      <w:start w:val="1"/>
      <w:numFmt w:val="lowerLetter"/>
      <w:lvlText w:val="%2."/>
      <w:lvlJc w:val="left"/>
      <w:pPr>
        <w:ind w:left="1440" w:hanging="360"/>
      </w:pPr>
    </w:lvl>
    <w:lvl w:ilvl="2" w:tplc="77487BFA" w:tentative="1">
      <w:start w:val="1"/>
      <w:numFmt w:val="lowerRoman"/>
      <w:lvlText w:val="%3."/>
      <w:lvlJc w:val="right"/>
      <w:pPr>
        <w:ind w:left="2160" w:hanging="180"/>
      </w:pPr>
    </w:lvl>
    <w:lvl w:ilvl="3" w:tplc="BF8AAEEC" w:tentative="1">
      <w:start w:val="1"/>
      <w:numFmt w:val="decimal"/>
      <w:lvlText w:val="%4."/>
      <w:lvlJc w:val="left"/>
      <w:pPr>
        <w:ind w:left="2880" w:hanging="360"/>
      </w:pPr>
    </w:lvl>
    <w:lvl w:ilvl="4" w:tplc="327ADFF6" w:tentative="1">
      <w:start w:val="1"/>
      <w:numFmt w:val="lowerLetter"/>
      <w:lvlText w:val="%5."/>
      <w:lvlJc w:val="left"/>
      <w:pPr>
        <w:ind w:left="3600" w:hanging="360"/>
      </w:pPr>
    </w:lvl>
    <w:lvl w:ilvl="5" w:tplc="80801E48" w:tentative="1">
      <w:start w:val="1"/>
      <w:numFmt w:val="lowerRoman"/>
      <w:lvlText w:val="%6."/>
      <w:lvlJc w:val="right"/>
      <w:pPr>
        <w:ind w:left="4320" w:hanging="180"/>
      </w:pPr>
    </w:lvl>
    <w:lvl w:ilvl="6" w:tplc="2804732E" w:tentative="1">
      <w:start w:val="1"/>
      <w:numFmt w:val="decimal"/>
      <w:lvlText w:val="%7."/>
      <w:lvlJc w:val="left"/>
      <w:pPr>
        <w:ind w:left="5040" w:hanging="360"/>
      </w:pPr>
    </w:lvl>
    <w:lvl w:ilvl="7" w:tplc="3B186306" w:tentative="1">
      <w:start w:val="1"/>
      <w:numFmt w:val="lowerLetter"/>
      <w:lvlText w:val="%8."/>
      <w:lvlJc w:val="left"/>
      <w:pPr>
        <w:ind w:left="5760" w:hanging="360"/>
      </w:pPr>
    </w:lvl>
    <w:lvl w:ilvl="8" w:tplc="4B0208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BD"/>
    <w:rsid w:val="00070389"/>
    <w:rsid w:val="000731A9"/>
    <w:rsid w:val="00093EEB"/>
    <w:rsid w:val="000B0D00"/>
    <w:rsid w:val="000B7C15"/>
    <w:rsid w:val="000D1D0F"/>
    <w:rsid w:val="000F5290"/>
    <w:rsid w:val="0010165C"/>
    <w:rsid w:val="00146BFB"/>
    <w:rsid w:val="00174331"/>
    <w:rsid w:val="001834BD"/>
    <w:rsid w:val="001F14A2"/>
    <w:rsid w:val="002801AA"/>
    <w:rsid w:val="002C4676"/>
    <w:rsid w:val="002C70B0"/>
    <w:rsid w:val="002D5D9A"/>
    <w:rsid w:val="002F3CC4"/>
    <w:rsid w:val="00357CDA"/>
    <w:rsid w:val="003E3207"/>
    <w:rsid w:val="004370E7"/>
    <w:rsid w:val="00491438"/>
    <w:rsid w:val="00491AC1"/>
    <w:rsid w:val="004968BB"/>
    <w:rsid w:val="004B4449"/>
    <w:rsid w:val="00513630"/>
    <w:rsid w:val="00542B11"/>
    <w:rsid w:val="00560125"/>
    <w:rsid w:val="00585553"/>
    <w:rsid w:val="005B1E27"/>
    <w:rsid w:val="005B34D9"/>
    <w:rsid w:val="005D0CCF"/>
    <w:rsid w:val="005D2F70"/>
    <w:rsid w:val="005F2860"/>
    <w:rsid w:val="005F3BCB"/>
    <w:rsid w:val="005F410F"/>
    <w:rsid w:val="0060149A"/>
    <w:rsid w:val="00601924"/>
    <w:rsid w:val="006447EA"/>
    <w:rsid w:val="0064731F"/>
    <w:rsid w:val="0065158C"/>
    <w:rsid w:val="00664572"/>
    <w:rsid w:val="00664A12"/>
    <w:rsid w:val="006710F6"/>
    <w:rsid w:val="006C1B56"/>
    <w:rsid w:val="006D4761"/>
    <w:rsid w:val="006E06C0"/>
    <w:rsid w:val="00726872"/>
    <w:rsid w:val="00760F1C"/>
    <w:rsid w:val="007657F0"/>
    <w:rsid w:val="0077252D"/>
    <w:rsid w:val="007955DA"/>
    <w:rsid w:val="007E5DD3"/>
    <w:rsid w:val="007F350B"/>
    <w:rsid w:val="00820BE4"/>
    <w:rsid w:val="00822280"/>
    <w:rsid w:val="008451E8"/>
    <w:rsid w:val="0084781B"/>
    <w:rsid w:val="008D6BA2"/>
    <w:rsid w:val="009120F9"/>
    <w:rsid w:val="00913B9C"/>
    <w:rsid w:val="00956E77"/>
    <w:rsid w:val="009F4811"/>
    <w:rsid w:val="00AA390C"/>
    <w:rsid w:val="00B0200A"/>
    <w:rsid w:val="00B112F5"/>
    <w:rsid w:val="00B5193C"/>
    <w:rsid w:val="00B574DB"/>
    <w:rsid w:val="00B826C2"/>
    <w:rsid w:val="00B8298E"/>
    <w:rsid w:val="00BD0723"/>
    <w:rsid w:val="00BD2518"/>
    <w:rsid w:val="00BF1808"/>
    <w:rsid w:val="00BF1D1C"/>
    <w:rsid w:val="00C20C59"/>
    <w:rsid w:val="00C2727F"/>
    <w:rsid w:val="00C55B1F"/>
    <w:rsid w:val="00C91511"/>
    <w:rsid w:val="00CE2A18"/>
    <w:rsid w:val="00CF1A67"/>
    <w:rsid w:val="00D2750E"/>
    <w:rsid w:val="00D46A31"/>
    <w:rsid w:val="00D62446"/>
    <w:rsid w:val="00DA4EA2"/>
    <w:rsid w:val="00DB2999"/>
    <w:rsid w:val="00DC3D3E"/>
    <w:rsid w:val="00DE2C90"/>
    <w:rsid w:val="00DE3B24"/>
    <w:rsid w:val="00DF2FE6"/>
    <w:rsid w:val="00E06947"/>
    <w:rsid w:val="00E3592D"/>
    <w:rsid w:val="00E92DE8"/>
    <w:rsid w:val="00EB1212"/>
    <w:rsid w:val="00EC1AE8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418562"/>
  <w15:docId w15:val="{E15BAF4D-7E8C-4326-8B80-9001002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AnnexNoTitle">
    <w:name w:val="Annex_NoTitle"/>
    <w:basedOn w:val="Normal"/>
    <w:next w:val="Normal"/>
    <w:rsid w:val="001834B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cs="Calibri"/>
      <w:b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62/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34</TotalTime>
  <Pages>2</Pages>
  <Words>468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2842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Callejon, Miguel</dc:creator>
  <cp:keywords>C2018, C18</cp:keywords>
  <dc:description/>
  <cp:lastModifiedBy>Marin Matas, Juan Gabriel</cp:lastModifiedBy>
  <cp:revision>6</cp:revision>
  <cp:lastPrinted>2006-03-24T09:51:00Z</cp:lastPrinted>
  <dcterms:created xsi:type="dcterms:W3CDTF">2020-06-08T10:03:00Z</dcterms:created>
  <dcterms:modified xsi:type="dcterms:W3CDTF">2020-06-08T10:39:00Z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