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10031" w:type="dxa"/>
        <w:tblLayout w:type="fixed"/>
        <w:tblLook w:val="0000" w:firstRow="0" w:lastRow="0" w:firstColumn="0" w:lastColumn="0" w:noHBand="0" w:noVBand="0"/>
      </w:tblPr>
      <w:tblGrid>
        <w:gridCol w:w="6911"/>
        <w:gridCol w:w="3120"/>
      </w:tblGrid>
      <w:tr w:rsidR="004B1F2F" w:rsidRPr="00F82904" w14:paraId="5518FC47" w14:textId="77777777" w:rsidTr="00FA7FCF">
        <w:trPr>
          <w:cantSplit/>
          <w:trHeight w:val="1276"/>
        </w:trPr>
        <w:tc>
          <w:tcPr>
            <w:tcW w:w="6911" w:type="dxa"/>
          </w:tcPr>
          <w:p w14:paraId="55EE7DA4" w14:textId="77777777" w:rsidR="004B1F2F" w:rsidRPr="00F82904" w:rsidRDefault="004B1F2F" w:rsidP="00EF2865">
            <w:pPr>
              <w:spacing w:before="300" w:after="48" w:line="240" w:lineRule="atLeast"/>
              <w:jc w:val="left"/>
              <w:rPr>
                <w:b/>
                <w:bCs/>
                <w:position w:val="6"/>
                <w:sz w:val="26"/>
                <w:szCs w:val="26"/>
                <w:lang w:val="en-GB"/>
              </w:rPr>
            </w:pPr>
            <w:r>
              <w:rPr>
                <w:rFonts w:hint="cs"/>
                <w:b/>
                <w:bCs/>
                <w:position w:val="6"/>
                <w:sz w:val="26"/>
                <w:szCs w:val="26"/>
                <w:rtl/>
                <w:lang w:val="en-GB"/>
              </w:rPr>
              <w:t>المشاورة الافتراضية 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Pr="00F82904">
              <w:rPr>
                <w:b/>
                <w:bCs/>
                <w:position w:val="6"/>
                <w:sz w:val="26"/>
                <w:szCs w:val="26"/>
                <w:lang w:val="en-GB"/>
              </w:rPr>
              <w:t>9</w:t>
            </w:r>
            <w:r>
              <w:rPr>
                <w:rFonts w:hint="cs"/>
                <w:b/>
                <w:bCs/>
                <w:position w:val="6"/>
                <w:sz w:val="26"/>
                <w:szCs w:val="26"/>
                <w:rtl/>
                <w:lang w:val="en-GB"/>
              </w:rPr>
              <w:t xml:space="preserve"> يونيو </w:t>
            </w:r>
            <w:r w:rsidRPr="00F82904">
              <w:rPr>
                <w:b/>
                <w:bCs/>
                <w:position w:val="6"/>
                <w:sz w:val="26"/>
                <w:szCs w:val="26"/>
                <w:lang w:val="en-GB"/>
              </w:rPr>
              <w:t>2020</w:t>
            </w:r>
            <w:bookmarkEnd w:id="0"/>
          </w:p>
        </w:tc>
        <w:tc>
          <w:tcPr>
            <w:tcW w:w="3120" w:type="dxa"/>
            <w:vAlign w:val="center"/>
          </w:tcPr>
          <w:p w14:paraId="3956E196" w14:textId="77777777" w:rsidR="004B1F2F" w:rsidRPr="00F82904" w:rsidRDefault="004B1F2F" w:rsidP="00FA7FCF">
            <w:pPr>
              <w:spacing w:before="0" w:line="240" w:lineRule="atLeast"/>
            </w:pPr>
            <w:r w:rsidRPr="00F82904">
              <w:rPr>
                <w:noProof/>
              </w:rPr>
              <w:drawing>
                <wp:inline distT="0" distB="0" distL="0" distR="0" wp14:anchorId="7A0E3D61" wp14:editId="0F55A63B">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3B7FF149" w14:textId="77777777" w:rsidTr="00FA7FCF">
        <w:trPr>
          <w:cantSplit/>
        </w:trPr>
        <w:tc>
          <w:tcPr>
            <w:tcW w:w="6911" w:type="dxa"/>
            <w:tcBorders>
              <w:bottom w:val="single" w:sz="12" w:space="0" w:color="auto"/>
            </w:tcBorders>
          </w:tcPr>
          <w:p w14:paraId="3A92FFE4" w14:textId="77777777" w:rsidR="004B1F2F" w:rsidRPr="00F82904" w:rsidRDefault="004B1F2F" w:rsidP="00FA7FCF">
            <w:pPr>
              <w:spacing w:before="0" w:after="48" w:line="240" w:lineRule="atLeast"/>
              <w:rPr>
                <w:b/>
                <w:smallCaps/>
                <w:szCs w:val="24"/>
              </w:rPr>
            </w:pPr>
          </w:p>
        </w:tc>
        <w:tc>
          <w:tcPr>
            <w:tcW w:w="3120" w:type="dxa"/>
            <w:tcBorders>
              <w:bottom w:val="single" w:sz="12" w:space="0" w:color="auto"/>
            </w:tcBorders>
          </w:tcPr>
          <w:p w14:paraId="346FAE56" w14:textId="77777777" w:rsidR="004B1F2F" w:rsidRPr="00F82904" w:rsidRDefault="004B1F2F" w:rsidP="00FA7FCF">
            <w:pPr>
              <w:spacing w:before="0" w:line="240" w:lineRule="atLeast"/>
              <w:rPr>
                <w:szCs w:val="24"/>
              </w:rPr>
            </w:pPr>
          </w:p>
        </w:tc>
      </w:tr>
      <w:tr w:rsidR="004B1F2F" w:rsidRPr="00F82904" w14:paraId="2D0325C5" w14:textId="77777777" w:rsidTr="00FA7FCF">
        <w:trPr>
          <w:cantSplit/>
        </w:trPr>
        <w:tc>
          <w:tcPr>
            <w:tcW w:w="6911" w:type="dxa"/>
            <w:tcBorders>
              <w:top w:val="single" w:sz="12" w:space="0" w:color="auto"/>
            </w:tcBorders>
          </w:tcPr>
          <w:p w14:paraId="36584168" w14:textId="77777777" w:rsidR="004B1F2F" w:rsidRPr="00F82904" w:rsidRDefault="004B1F2F" w:rsidP="002E1973">
            <w:pPr>
              <w:spacing w:before="60" w:after="60" w:line="300" w:lineRule="exact"/>
              <w:rPr>
                <w:b/>
                <w:smallCaps/>
                <w:szCs w:val="24"/>
              </w:rPr>
            </w:pPr>
          </w:p>
        </w:tc>
        <w:tc>
          <w:tcPr>
            <w:tcW w:w="3120" w:type="dxa"/>
            <w:tcBorders>
              <w:top w:val="single" w:sz="12" w:space="0" w:color="auto"/>
            </w:tcBorders>
          </w:tcPr>
          <w:p w14:paraId="72D1FBFC" w14:textId="38E99C9B" w:rsidR="004B1F2F" w:rsidRPr="00A4625F" w:rsidRDefault="004B1F2F" w:rsidP="00A9076B">
            <w:pPr>
              <w:spacing w:line="300" w:lineRule="exact"/>
              <w:rPr>
                <w:b/>
                <w:bCs/>
                <w:lang w:bidi="ar-SY"/>
              </w:rPr>
            </w:pPr>
            <w:r w:rsidRPr="00A4625F">
              <w:rPr>
                <w:rFonts w:hint="cs"/>
                <w:b/>
                <w:bCs/>
                <w:rtl/>
                <w:lang w:bidi="ar-EG"/>
              </w:rPr>
              <w:t xml:space="preserve">الوثيقة </w:t>
            </w:r>
            <w:r w:rsidRPr="00A4625F">
              <w:rPr>
                <w:b/>
                <w:bCs/>
                <w:lang w:bidi="ar-SY"/>
              </w:rPr>
              <w:t>VC/</w:t>
            </w:r>
            <w:r w:rsidR="00A4625F" w:rsidRPr="00A4625F">
              <w:rPr>
                <w:b/>
                <w:bCs/>
                <w:lang w:bidi="ar-SY"/>
              </w:rPr>
              <w:t>14</w:t>
            </w:r>
            <w:r w:rsidRPr="00A4625F">
              <w:rPr>
                <w:b/>
                <w:bCs/>
                <w:lang w:bidi="ar-SY"/>
              </w:rPr>
              <w:t>-A</w:t>
            </w:r>
          </w:p>
          <w:p w14:paraId="7CBCDE24" w14:textId="13A77908" w:rsidR="004B1F2F" w:rsidRPr="00A4625F" w:rsidRDefault="00A4625F" w:rsidP="00A9076B">
            <w:pPr>
              <w:spacing w:before="0" w:line="300" w:lineRule="exact"/>
              <w:rPr>
                <w:b/>
                <w:bCs/>
                <w:lang w:bidi="ar-SY"/>
              </w:rPr>
            </w:pPr>
            <w:r w:rsidRPr="00A4625F">
              <w:rPr>
                <w:b/>
                <w:bCs/>
                <w:lang w:bidi="ar-SY"/>
              </w:rPr>
              <w:t>7</w:t>
            </w:r>
            <w:r w:rsidR="004B1F2F" w:rsidRPr="00A4625F">
              <w:rPr>
                <w:rFonts w:hint="cs"/>
                <w:b/>
                <w:bCs/>
                <w:rtl/>
                <w:lang w:bidi="ar-EG"/>
              </w:rPr>
              <w:t xml:space="preserve"> </w:t>
            </w:r>
            <w:r w:rsidRPr="00A4625F">
              <w:rPr>
                <w:rFonts w:hint="cs"/>
                <w:b/>
                <w:bCs/>
                <w:rtl/>
                <w:lang w:bidi="ar-EG"/>
              </w:rPr>
              <w:t>يونيو</w:t>
            </w:r>
            <w:r w:rsidR="004B1F2F" w:rsidRPr="00A4625F">
              <w:rPr>
                <w:rFonts w:hint="cs"/>
                <w:b/>
                <w:bCs/>
                <w:rtl/>
                <w:lang w:bidi="ar-EG"/>
              </w:rPr>
              <w:t xml:space="preserve"> </w:t>
            </w:r>
            <w:r w:rsidR="004B1F2F" w:rsidRPr="00A4625F">
              <w:rPr>
                <w:b/>
                <w:bCs/>
                <w:lang w:bidi="ar-SY"/>
              </w:rPr>
              <w:t>2020</w:t>
            </w:r>
          </w:p>
          <w:p w14:paraId="74A304FC" w14:textId="77777777" w:rsidR="004B1F2F" w:rsidRPr="00A4625F" w:rsidRDefault="004B1F2F" w:rsidP="00A9076B">
            <w:pPr>
              <w:spacing w:before="0" w:after="120" w:line="300" w:lineRule="exact"/>
              <w:rPr>
                <w:szCs w:val="24"/>
              </w:rPr>
            </w:pPr>
            <w:r w:rsidRPr="00A4625F">
              <w:rPr>
                <w:b/>
                <w:bCs/>
                <w:rtl/>
                <w:lang w:bidi="ar-EG"/>
              </w:rPr>
              <w:t xml:space="preserve">الأصل: </w:t>
            </w:r>
            <w:r w:rsidRPr="00A4625F">
              <w:rPr>
                <w:rFonts w:hint="cs"/>
                <w:b/>
                <w:bCs/>
                <w:rtl/>
                <w:lang w:bidi="ar-EG"/>
              </w:rPr>
              <w:t>بالإنكليزية</w:t>
            </w:r>
          </w:p>
        </w:tc>
      </w:tr>
    </w:tbl>
    <w:p w14:paraId="6CCCB188" w14:textId="77777777" w:rsidR="004B1F2F" w:rsidRPr="00F82904" w:rsidRDefault="004B1F2F" w:rsidP="004B1F2F">
      <w:pPr>
        <w:spacing w:before="0"/>
        <w:rPr>
          <w:b/>
          <w:bCs/>
          <w:sz w:val="28"/>
        </w:rPr>
      </w:pPr>
      <w:bookmarkStart w:id="1" w:name="dorlang" w:colFirst="1" w:colLast="1"/>
    </w:p>
    <w:tbl>
      <w:tblPr>
        <w:bidiVisual/>
        <w:tblW w:w="10093" w:type="dxa"/>
        <w:tblLayout w:type="fixed"/>
        <w:tblLook w:val="0000" w:firstRow="0" w:lastRow="0" w:firstColumn="0" w:lastColumn="0" w:noHBand="0" w:noVBand="0"/>
      </w:tblPr>
      <w:tblGrid>
        <w:gridCol w:w="2835"/>
        <w:gridCol w:w="7258"/>
      </w:tblGrid>
      <w:tr w:rsidR="004B1F2F" w:rsidRPr="00CB7DE5" w14:paraId="4FEB39D5" w14:textId="77777777" w:rsidTr="00FA7FCF">
        <w:trPr>
          <w:cantSplit/>
        </w:trPr>
        <w:tc>
          <w:tcPr>
            <w:tcW w:w="2835" w:type="dxa"/>
            <w:tcBorders>
              <w:right w:val="single" w:sz="12" w:space="0" w:color="auto"/>
            </w:tcBorders>
            <w:vAlign w:val="center"/>
          </w:tcPr>
          <w:p w14:paraId="03C3ACBD" w14:textId="77777777" w:rsidR="004B1F2F" w:rsidRPr="00CB7DE5" w:rsidRDefault="004B1F2F" w:rsidP="00CB7DE5">
            <w:pPr>
              <w:spacing w:before="60" w:after="60" w:line="340" w:lineRule="exact"/>
              <w:jc w:val="left"/>
              <w:rPr>
                <w:b/>
                <w:bCs/>
                <w:position w:val="2"/>
              </w:rPr>
            </w:pPr>
            <w:bookmarkStart w:id="2" w:name="dsource" w:colFirst="0" w:colLast="0"/>
            <w:bookmarkEnd w:id="1"/>
            <w:r w:rsidRPr="00CB7DE5">
              <w:rPr>
                <w:rFonts w:hint="cs"/>
                <w:b/>
                <w:bCs/>
                <w:spacing w:val="-8"/>
                <w:position w:val="2"/>
                <w:rtl/>
              </w:rPr>
              <w:t>اسم الدولة العضو (الدول الأعضاء)</w:t>
            </w:r>
            <w:r w:rsidRPr="00CB7DE5">
              <w:rPr>
                <w:rFonts w:hint="cs"/>
                <w:b/>
                <w:bCs/>
                <w:position w:val="2"/>
                <w:rtl/>
              </w:rPr>
              <w:t xml:space="preserve"> مقدمة المساهمة:</w:t>
            </w:r>
          </w:p>
        </w:tc>
        <w:tc>
          <w:tcPr>
            <w:tcW w:w="7258" w:type="dxa"/>
            <w:tcBorders>
              <w:top w:val="single" w:sz="12" w:space="0" w:color="auto"/>
              <w:left w:val="single" w:sz="12" w:space="0" w:color="auto"/>
              <w:bottom w:val="single" w:sz="12" w:space="0" w:color="auto"/>
              <w:right w:val="single" w:sz="12" w:space="0" w:color="auto"/>
            </w:tcBorders>
            <w:vAlign w:val="center"/>
          </w:tcPr>
          <w:p w14:paraId="04C68BBB" w14:textId="31FF4865" w:rsidR="004B1F2F" w:rsidRPr="00CB7DE5" w:rsidRDefault="00A4625F" w:rsidP="00CB7DE5">
            <w:pPr>
              <w:spacing w:before="60" w:after="60" w:line="340" w:lineRule="exact"/>
              <w:rPr>
                <w:position w:val="2"/>
              </w:rPr>
            </w:pPr>
            <w:r w:rsidRPr="00393D6A">
              <w:rPr>
                <w:rFonts w:hint="cs"/>
                <w:b/>
                <w:bCs/>
                <w:position w:val="2"/>
                <w:rtl/>
              </w:rPr>
              <w:t>المملكة العربية السعودية</w:t>
            </w:r>
          </w:p>
        </w:tc>
      </w:tr>
      <w:tr w:rsidR="004B1F2F" w:rsidRPr="00CB7DE5" w14:paraId="530C5181" w14:textId="77777777" w:rsidTr="00FA7FCF">
        <w:trPr>
          <w:cantSplit/>
        </w:trPr>
        <w:tc>
          <w:tcPr>
            <w:tcW w:w="2835" w:type="dxa"/>
          </w:tcPr>
          <w:p w14:paraId="0E16835D" w14:textId="77777777" w:rsidR="004B1F2F" w:rsidRPr="00CB7DE5" w:rsidRDefault="004B1F2F" w:rsidP="00CB7DE5">
            <w:pPr>
              <w:spacing w:before="60" w:after="60" w:line="200" w:lineRule="exact"/>
              <w:rPr>
                <w:position w:val="2"/>
                <w:sz w:val="16"/>
                <w:szCs w:val="16"/>
              </w:rPr>
            </w:pPr>
          </w:p>
        </w:tc>
        <w:tc>
          <w:tcPr>
            <w:tcW w:w="7258" w:type="dxa"/>
            <w:tcBorders>
              <w:top w:val="single" w:sz="12" w:space="0" w:color="auto"/>
              <w:bottom w:val="single" w:sz="12" w:space="0" w:color="auto"/>
            </w:tcBorders>
          </w:tcPr>
          <w:p w14:paraId="10BA383E" w14:textId="77777777" w:rsidR="004B1F2F" w:rsidRPr="00CB7DE5" w:rsidRDefault="004B1F2F" w:rsidP="00CB7DE5">
            <w:pPr>
              <w:spacing w:before="60" w:after="60" w:line="200" w:lineRule="exact"/>
              <w:rPr>
                <w:position w:val="2"/>
                <w:sz w:val="16"/>
                <w:szCs w:val="16"/>
              </w:rPr>
            </w:pPr>
          </w:p>
        </w:tc>
      </w:tr>
      <w:tr w:rsidR="004B1F2F" w:rsidRPr="00CB7DE5" w14:paraId="34B81D6F" w14:textId="77777777" w:rsidTr="00FA7FCF">
        <w:trPr>
          <w:cantSplit/>
        </w:trPr>
        <w:tc>
          <w:tcPr>
            <w:tcW w:w="2835" w:type="dxa"/>
            <w:tcBorders>
              <w:right w:val="single" w:sz="12" w:space="0" w:color="auto"/>
            </w:tcBorders>
          </w:tcPr>
          <w:p w14:paraId="1A9F976F" w14:textId="77777777" w:rsidR="004B1F2F" w:rsidRPr="00CB7DE5" w:rsidRDefault="004B1F2F" w:rsidP="00CB7DE5">
            <w:pPr>
              <w:spacing w:before="60" w:after="60" w:line="340" w:lineRule="exact"/>
              <w:rPr>
                <w:b/>
                <w:bCs/>
                <w:position w:val="2"/>
              </w:rPr>
            </w:pPr>
            <w:r w:rsidRPr="00CB7DE5">
              <w:rPr>
                <w:rFonts w:hint="cs"/>
                <w:b/>
                <w:bCs/>
                <w:position w:val="2"/>
                <w:rtl/>
              </w:rPr>
              <w:t>عنوان الوثيقة:</w:t>
            </w:r>
          </w:p>
        </w:tc>
        <w:tc>
          <w:tcPr>
            <w:tcW w:w="7258" w:type="dxa"/>
            <w:tcBorders>
              <w:top w:val="single" w:sz="12" w:space="0" w:color="auto"/>
              <w:left w:val="single" w:sz="12" w:space="0" w:color="auto"/>
              <w:bottom w:val="single" w:sz="12" w:space="0" w:color="auto"/>
              <w:right w:val="single" w:sz="12" w:space="0" w:color="auto"/>
            </w:tcBorders>
          </w:tcPr>
          <w:p w14:paraId="7781416E" w14:textId="5710B92B" w:rsidR="004B1F2F" w:rsidRPr="00CB7DE5" w:rsidRDefault="00A4625F" w:rsidP="00CB7DE5">
            <w:pPr>
              <w:spacing w:before="60" w:after="60" w:line="340" w:lineRule="exact"/>
              <w:rPr>
                <w:position w:val="2"/>
              </w:rPr>
            </w:pPr>
            <w:r w:rsidRPr="00393D6A">
              <w:rPr>
                <w:rFonts w:hint="cs"/>
                <w:b/>
                <w:bCs/>
                <w:position w:val="2"/>
                <w:rtl/>
              </w:rPr>
              <w:t xml:space="preserve">تطبيق القرار </w:t>
            </w:r>
            <w:r w:rsidRPr="00393D6A">
              <w:rPr>
                <w:b/>
                <w:bCs/>
                <w:position w:val="2"/>
              </w:rPr>
              <w:t>131</w:t>
            </w:r>
            <w:r w:rsidRPr="00393D6A">
              <w:rPr>
                <w:rFonts w:hint="cs"/>
                <w:b/>
                <w:bCs/>
                <w:position w:val="2"/>
                <w:rtl/>
                <w:lang w:bidi="ar-EG"/>
              </w:rPr>
              <w:t xml:space="preserve"> (المراجَع في دبي، </w:t>
            </w:r>
            <w:r w:rsidRPr="00393D6A">
              <w:rPr>
                <w:b/>
                <w:bCs/>
                <w:position w:val="2"/>
                <w:lang w:bidi="ar-EG"/>
              </w:rPr>
              <w:t>2018</w:t>
            </w:r>
            <w:r w:rsidRPr="00393D6A">
              <w:rPr>
                <w:rFonts w:hint="cs"/>
                <w:b/>
                <w:bCs/>
                <w:position w:val="2"/>
                <w:rtl/>
                <w:lang w:bidi="ar-EG"/>
              </w:rPr>
              <w:t>)</w:t>
            </w:r>
            <w:r>
              <w:rPr>
                <w:rFonts w:hint="cs"/>
                <w:b/>
                <w:bCs/>
                <w:position w:val="2"/>
                <w:rtl/>
                <w:lang w:bidi="ar-EG"/>
              </w:rPr>
              <w:t xml:space="preserve"> لمؤتمر المندوبين المفوضين</w:t>
            </w:r>
          </w:p>
        </w:tc>
      </w:tr>
      <w:tr w:rsidR="004B1F2F" w:rsidRPr="00CB7DE5" w14:paraId="230A64FB" w14:textId="77777777" w:rsidTr="00FA7FCF">
        <w:trPr>
          <w:cantSplit/>
          <w:trHeight w:val="269"/>
        </w:trPr>
        <w:tc>
          <w:tcPr>
            <w:tcW w:w="2835" w:type="dxa"/>
          </w:tcPr>
          <w:p w14:paraId="164E0A90" w14:textId="77777777" w:rsidR="004B1F2F" w:rsidRPr="00CB7DE5" w:rsidRDefault="004B1F2F" w:rsidP="00CB7DE5">
            <w:pPr>
              <w:spacing w:before="60" w:after="60" w:line="200" w:lineRule="exact"/>
              <w:rPr>
                <w:position w:val="2"/>
                <w:sz w:val="16"/>
                <w:szCs w:val="16"/>
              </w:rPr>
            </w:pPr>
          </w:p>
        </w:tc>
        <w:tc>
          <w:tcPr>
            <w:tcW w:w="7258" w:type="dxa"/>
            <w:tcBorders>
              <w:top w:val="single" w:sz="12" w:space="0" w:color="auto"/>
              <w:bottom w:val="single" w:sz="2" w:space="0" w:color="auto"/>
            </w:tcBorders>
          </w:tcPr>
          <w:p w14:paraId="4AF7E49E" w14:textId="77777777" w:rsidR="004B1F2F" w:rsidRPr="00CB7DE5" w:rsidRDefault="004B1F2F" w:rsidP="00CB7DE5">
            <w:pPr>
              <w:spacing w:before="60" w:after="60" w:line="200" w:lineRule="exact"/>
              <w:rPr>
                <w:position w:val="2"/>
                <w:sz w:val="16"/>
                <w:szCs w:val="16"/>
              </w:rPr>
            </w:pPr>
          </w:p>
        </w:tc>
      </w:tr>
      <w:tr w:rsidR="004B1F2F" w:rsidRPr="00CB7DE5" w14:paraId="58B06626" w14:textId="77777777" w:rsidTr="00FA7FCF">
        <w:trPr>
          <w:cantSplit/>
          <w:trHeight w:val="668"/>
        </w:trPr>
        <w:tc>
          <w:tcPr>
            <w:tcW w:w="2835" w:type="dxa"/>
            <w:tcBorders>
              <w:right w:val="single" w:sz="2" w:space="0" w:color="auto"/>
            </w:tcBorders>
            <w:vAlign w:val="center"/>
          </w:tcPr>
          <w:p w14:paraId="60D0B405" w14:textId="77777777" w:rsidR="004B1F2F" w:rsidRPr="00CB7DE5" w:rsidRDefault="004B1F2F" w:rsidP="00CB7DE5">
            <w:pPr>
              <w:spacing w:before="60" w:after="60" w:line="340" w:lineRule="exact"/>
              <w:jc w:val="left"/>
              <w:rPr>
                <w:b/>
                <w:bCs/>
                <w:position w:val="2"/>
              </w:rPr>
            </w:pPr>
            <w:r w:rsidRPr="00CB7DE5">
              <w:rPr>
                <w:rFonts w:hint="cs"/>
                <w:b/>
                <w:bCs/>
                <w:position w:val="2"/>
                <w:rtl/>
              </w:rPr>
              <w:t>الإحالة إلى مشروع جدول أعمال المشاورة الافتراضية:</w:t>
            </w:r>
          </w:p>
        </w:tc>
        <w:bookmarkStart w:id="3" w:name="lt_pId453"/>
        <w:tc>
          <w:tcPr>
            <w:tcW w:w="7258" w:type="dxa"/>
            <w:tcBorders>
              <w:top w:val="single" w:sz="2" w:space="0" w:color="auto"/>
              <w:left w:val="single" w:sz="2" w:space="0" w:color="auto"/>
              <w:bottom w:val="single" w:sz="2" w:space="0" w:color="auto"/>
              <w:right w:val="single" w:sz="2" w:space="0" w:color="auto"/>
            </w:tcBorders>
            <w:vAlign w:val="center"/>
          </w:tcPr>
          <w:p w14:paraId="4196FE8E" w14:textId="0C7865DB" w:rsidR="004B1F2F" w:rsidRPr="00CB7DE5" w:rsidRDefault="00A4625F" w:rsidP="00CB7DE5">
            <w:pPr>
              <w:spacing w:before="60" w:after="60" w:line="340" w:lineRule="exact"/>
              <w:rPr>
                <w:b/>
                <w:bCs/>
                <w:position w:val="2"/>
                <w:rtl/>
                <w:lang w:bidi="ar-EG"/>
              </w:rPr>
            </w:pPr>
            <w:r>
              <w:rPr>
                <w:b/>
                <w:bCs/>
                <w:position w:val="2"/>
                <w:rtl/>
                <w:lang w:bidi="ar-EG"/>
              </w:rPr>
              <w:fldChar w:fldCharType="begin"/>
            </w:r>
            <w:r>
              <w:rPr>
                <w:b/>
                <w:bCs/>
                <w:position w:val="2"/>
                <w:rtl/>
                <w:lang w:bidi="ar-EG"/>
              </w:rPr>
              <w:instrText xml:space="preserve"> </w:instrText>
            </w:r>
            <w:r>
              <w:rPr>
                <w:b/>
                <w:bCs/>
                <w:position w:val="2"/>
                <w:lang w:bidi="ar-EG"/>
              </w:rPr>
              <w:instrText>HYPERLINK</w:instrText>
            </w:r>
            <w:r>
              <w:rPr>
                <w:b/>
                <w:bCs/>
                <w:position w:val="2"/>
                <w:rtl/>
                <w:lang w:bidi="ar-EG"/>
              </w:rPr>
              <w:instrText xml:space="preserve"> "</w:instrText>
            </w:r>
            <w:r>
              <w:rPr>
                <w:b/>
                <w:bCs/>
                <w:position w:val="2"/>
                <w:lang w:bidi="ar-EG"/>
              </w:rPr>
              <w:instrText>https://www.itu.int/md/S20-CL-C-0062/en</w:instrText>
            </w:r>
            <w:r>
              <w:rPr>
                <w:b/>
                <w:bCs/>
                <w:position w:val="2"/>
                <w:rtl/>
                <w:lang w:bidi="ar-EG"/>
              </w:rPr>
              <w:instrText xml:space="preserve">" </w:instrText>
            </w:r>
            <w:r>
              <w:rPr>
                <w:b/>
                <w:bCs/>
                <w:position w:val="2"/>
                <w:rtl/>
                <w:lang w:bidi="ar-EG"/>
              </w:rPr>
              <w:fldChar w:fldCharType="separate"/>
            </w:r>
            <w:r w:rsidRPr="00393D6A">
              <w:rPr>
                <w:rStyle w:val="Hyperlink"/>
                <w:rFonts w:hint="cs"/>
                <w:b/>
                <w:bCs/>
                <w:position w:val="2"/>
                <w:rtl/>
                <w:lang w:bidi="ar-EG"/>
              </w:rPr>
              <w:t xml:space="preserve">الوثيقة </w:t>
            </w:r>
            <w:r w:rsidRPr="00393D6A">
              <w:rPr>
                <w:rStyle w:val="Hyperlink"/>
                <w:b/>
                <w:bCs/>
                <w:position w:val="2"/>
              </w:rPr>
              <w:t>C20/</w:t>
            </w:r>
            <w:bookmarkEnd w:id="3"/>
            <w:r w:rsidRPr="00393D6A">
              <w:rPr>
                <w:rStyle w:val="Hyperlink"/>
                <w:b/>
                <w:bCs/>
                <w:position w:val="2"/>
              </w:rPr>
              <w:t>62</w:t>
            </w:r>
            <w:r>
              <w:rPr>
                <w:b/>
                <w:bCs/>
                <w:position w:val="2"/>
                <w:rtl/>
                <w:lang w:bidi="ar-EG"/>
              </w:rPr>
              <w:fldChar w:fldCharType="end"/>
            </w:r>
          </w:p>
        </w:tc>
      </w:tr>
      <w:tr w:rsidR="004B1F2F" w:rsidRPr="00CB7DE5" w14:paraId="0532154A" w14:textId="77777777" w:rsidTr="00FA7FCF">
        <w:trPr>
          <w:cantSplit/>
          <w:trHeight w:val="156"/>
        </w:trPr>
        <w:tc>
          <w:tcPr>
            <w:tcW w:w="2835" w:type="dxa"/>
          </w:tcPr>
          <w:p w14:paraId="024BB479" w14:textId="77777777" w:rsidR="004B1F2F" w:rsidRPr="00CB7DE5" w:rsidRDefault="004B1F2F" w:rsidP="00CB7DE5">
            <w:pPr>
              <w:spacing w:before="60" w:after="60" w:line="200" w:lineRule="exact"/>
              <w:rPr>
                <w:position w:val="2"/>
                <w:sz w:val="16"/>
                <w:szCs w:val="16"/>
              </w:rPr>
            </w:pPr>
          </w:p>
        </w:tc>
        <w:tc>
          <w:tcPr>
            <w:tcW w:w="7258" w:type="dxa"/>
            <w:tcBorders>
              <w:top w:val="single" w:sz="12" w:space="0" w:color="auto"/>
              <w:bottom w:val="single" w:sz="2" w:space="0" w:color="auto"/>
            </w:tcBorders>
          </w:tcPr>
          <w:p w14:paraId="2D573251" w14:textId="77777777" w:rsidR="004B1F2F" w:rsidRPr="00CB7DE5" w:rsidRDefault="004B1F2F" w:rsidP="00CB7DE5">
            <w:pPr>
              <w:spacing w:before="60" w:after="60" w:line="200" w:lineRule="exact"/>
              <w:rPr>
                <w:position w:val="2"/>
                <w:sz w:val="16"/>
                <w:szCs w:val="16"/>
              </w:rPr>
            </w:pPr>
          </w:p>
        </w:tc>
      </w:tr>
    </w:tbl>
    <w:p w14:paraId="6D67636A" w14:textId="51EAB98C" w:rsidR="004B1F2F" w:rsidRDefault="004B1F2F" w:rsidP="004B1F2F">
      <w:pPr>
        <w:rPr>
          <w:sz w:val="4"/>
          <w:szCs w:val="4"/>
          <w:rtl/>
        </w:rPr>
      </w:pPr>
    </w:p>
    <w:p w14:paraId="34DD1FF4" w14:textId="44245051" w:rsidR="006E1A6C" w:rsidRDefault="006E1A6C" w:rsidP="006E1A6C">
      <w:pPr>
        <w:rPr>
          <w:rtl/>
        </w:rPr>
      </w:pPr>
      <w:r>
        <w:rPr>
          <w:rtl/>
        </w:rPr>
        <w:br w:type="page"/>
      </w:r>
    </w:p>
    <w:p w14:paraId="402A1B6D" w14:textId="77777777" w:rsidR="006E1A6C" w:rsidRPr="00F82904" w:rsidRDefault="006E1A6C" w:rsidP="004B1F2F">
      <w:pPr>
        <w:rPr>
          <w:sz w:val="4"/>
          <w:szCs w:val="4"/>
        </w:rPr>
      </w:pPr>
    </w:p>
    <w:tbl>
      <w:tblPr>
        <w:tblpPr w:leftFromText="180" w:rightFromText="180" w:vertAnchor="text" w:tblpXSpec="right" w:tblpY="1"/>
        <w:tblOverlap w:val="never"/>
        <w:bidiVisual/>
        <w:tblW w:w="10093" w:type="dxa"/>
        <w:tblLayout w:type="fixed"/>
        <w:tblLook w:val="0000" w:firstRow="0" w:lastRow="0" w:firstColumn="0" w:lastColumn="0" w:noHBand="0" w:noVBand="0"/>
      </w:tblPr>
      <w:tblGrid>
        <w:gridCol w:w="10093"/>
      </w:tblGrid>
      <w:tr w:rsidR="00A4625F" w:rsidRPr="00CB7DE5" w14:paraId="404A2F9C" w14:textId="77777777" w:rsidTr="006E1A6C">
        <w:tc>
          <w:tcPr>
            <w:tcW w:w="10093" w:type="dxa"/>
            <w:tcBorders>
              <w:top w:val="single" w:sz="12" w:space="0" w:color="auto"/>
              <w:left w:val="single" w:sz="12" w:space="0" w:color="auto"/>
              <w:bottom w:val="single" w:sz="12" w:space="0" w:color="auto"/>
              <w:right w:val="single" w:sz="12" w:space="0" w:color="auto"/>
            </w:tcBorders>
          </w:tcPr>
          <w:bookmarkEnd w:id="2"/>
          <w:p w14:paraId="1F9A4E11" w14:textId="77777777" w:rsidR="00A4625F" w:rsidRPr="00CB7DE5" w:rsidRDefault="00A4625F" w:rsidP="00F10FAB">
            <w:pPr>
              <w:pStyle w:val="Headingb"/>
              <w:rPr>
                <w:rtl/>
                <w:lang w:bidi="ar-EG"/>
              </w:rPr>
            </w:pPr>
            <w:r w:rsidRPr="00CB7DE5">
              <w:rPr>
                <w:rFonts w:hint="cs"/>
                <w:rtl/>
              </w:rPr>
              <w:t xml:space="preserve">تعليقات تتعلق بالوثيقة </w:t>
            </w:r>
            <w:r w:rsidRPr="00CB7DE5">
              <w:t>C20/</w:t>
            </w:r>
            <w:r>
              <w:t>62</w:t>
            </w:r>
          </w:p>
          <w:p w14:paraId="7DB1A3CF" w14:textId="77777777" w:rsidR="00A4625F" w:rsidRDefault="00A4625F" w:rsidP="00F10FAB">
            <w:pPr>
              <w:pStyle w:val="Headingb"/>
              <w:rPr>
                <w:rtl/>
                <w:lang w:bidi="ar-EG"/>
              </w:rPr>
            </w:pPr>
            <w:r>
              <w:rPr>
                <w:rFonts w:hint="cs"/>
                <w:rtl/>
                <w:lang w:bidi="ar-EG"/>
              </w:rPr>
              <w:t>خلفية</w:t>
            </w:r>
          </w:p>
          <w:p w14:paraId="22E640E6" w14:textId="7D8FD9F7" w:rsidR="00A4625F" w:rsidRPr="006E1A6C" w:rsidRDefault="00A4625F" w:rsidP="00EA6661">
            <w:pPr>
              <w:rPr>
                <w:spacing w:val="-2"/>
                <w:position w:val="2"/>
                <w:rtl/>
                <w:lang w:bidi="ar"/>
              </w:rPr>
            </w:pPr>
            <w:r w:rsidRPr="006E1A6C">
              <w:rPr>
                <w:rFonts w:hint="cs"/>
                <w:spacing w:val="-2"/>
                <w:position w:val="2"/>
                <w:rtl/>
                <w:lang w:bidi="ar"/>
              </w:rPr>
              <w:t xml:space="preserve">في الفترة الممتدة بين عامي 2009 و2017، نشر الاتحاد </w:t>
            </w:r>
            <w:r w:rsidRPr="006E1A6C">
              <w:rPr>
                <w:rFonts w:hint="cs"/>
                <w:spacing w:val="-2"/>
                <w:position w:val="2"/>
                <w:rtl/>
                <w:lang w:bidi="ar-EG"/>
              </w:rPr>
              <w:t xml:space="preserve">الدولي للاتصالات </w:t>
            </w:r>
            <w:r w:rsidRPr="006E1A6C">
              <w:rPr>
                <w:spacing w:val="-2"/>
                <w:position w:val="2"/>
                <w:rtl/>
              </w:rPr>
              <w:t xml:space="preserve">الرقم القياسي </w:t>
            </w:r>
            <w:r w:rsidRPr="006E1A6C">
              <w:rPr>
                <w:rFonts w:hint="cs"/>
                <w:spacing w:val="-2"/>
                <w:position w:val="2"/>
                <w:rtl/>
              </w:rPr>
              <w:t>لتنمية</w:t>
            </w:r>
            <w:r w:rsidRPr="006E1A6C">
              <w:rPr>
                <w:spacing w:val="-2"/>
                <w:position w:val="2"/>
                <w:rtl/>
              </w:rPr>
              <w:t xml:space="preserve"> تكنولوجيا المعلومات والاتصالات</w:t>
            </w:r>
            <w:r w:rsidR="006E1A6C" w:rsidRPr="006E1A6C">
              <w:rPr>
                <w:rFonts w:hint="eastAsia"/>
                <w:spacing w:val="-2"/>
                <w:position w:val="2"/>
                <w:rtl/>
                <w:lang w:bidi="ar"/>
              </w:rPr>
              <w:t> </w:t>
            </w:r>
            <w:r w:rsidRPr="006E1A6C">
              <w:rPr>
                <w:rFonts w:hint="cs"/>
                <w:spacing w:val="-2"/>
                <w:position w:val="2"/>
                <w:rtl/>
                <w:lang w:bidi="ar"/>
              </w:rPr>
              <w:t>(</w:t>
            </w:r>
            <w:r w:rsidRPr="006E1A6C">
              <w:rPr>
                <w:rFonts w:hint="cs"/>
                <w:spacing w:val="-2"/>
                <w:position w:val="2"/>
                <w:lang w:val="fr-FR" w:bidi="ar-EG"/>
              </w:rPr>
              <w:t>IDI</w:t>
            </w:r>
            <w:r w:rsidRPr="006E1A6C">
              <w:rPr>
                <w:rFonts w:hint="cs"/>
                <w:spacing w:val="-2"/>
                <w:position w:val="2"/>
                <w:rtl/>
                <w:lang w:bidi="ar"/>
              </w:rPr>
              <w:t>) الذي يعتبر رقماً قياسياً متكاملًا لقياس ومقارنة نمو وتنمية تكنولوجيات المعلومات والاتصالات بين الدول الأعضاء.</w:t>
            </w:r>
          </w:p>
          <w:p w14:paraId="238EB60F" w14:textId="77777777" w:rsidR="00A4625F" w:rsidRDefault="00A4625F" w:rsidP="00EA6661">
            <w:pPr>
              <w:rPr>
                <w:position w:val="2"/>
                <w:rtl/>
                <w:lang w:bidi="ar"/>
              </w:rPr>
            </w:pPr>
            <w:r>
              <w:rPr>
                <w:rFonts w:hint="cs"/>
                <w:position w:val="2"/>
                <w:rtl/>
                <w:lang w:bidi="ar"/>
              </w:rPr>
              <w:t>و</w:t>
            </w:r>
            <w:r w:rsidRPr="00EE42B1">
              <w:rPr>
                <w:rFonts w:hint="cs"/>
                <w:position w:val="2"/>
                <w:rtl/>
                <w:lang w:bidi="ar"/>
              </w:rPr>
              <w:t xml:space="preserve">بناءً على تطور التكنولوجيا وزيادة تغطية شبكات الاتصالات </w:t>
            </w:r>
            <w:r>
              <w:rPr>
                <w:rFonts w:hint="cs"/>
                <w:position w:val="2"/>
                <w:rtl/>
                <w:lang w:bidi="ar"/>
              </w:rPr>
              <w:t>عريضة النطاق</w:t>
            </w:r>
            <w:r w:rsidRPr="00EE42B1">
              <w:rPr>
                <w:rFonts w:hint="cs"/>
                <w:position w:val="2"/>
                <w:rtl/>
                <w:lang w:bidi="ar"/>
              </w:rPr>
              <w:t>، وتأثيره</w:t>
            </w:r>
            <w:r>
              <w:rPr>
                <w:rFonts w:hint="cs"/>
                <w:position w:val="2"/>
                <w:rtl/>
                <w:lang w:bidi="ar"/>
              </w:rPr>
              <w:t>م</w:t>
            </w:r>
            <w:r w:rsidRPr="00EE42B1">
              <w:rPr>
                <w:rFonts w:hint="cs"/>
                <w:position w:val="2"/>
                <w:rtl/>
                <w:lang w:bidi="ar"/>
              </w:rPr>
              <w:t xml:space="preserve">ا على العديد من الخدمات الأخرى، رأت الدول الأعضاء </w:t>
            </w:r>
            <w:r>
              <w:rPr>
                <w:rFonts w:hint="cs"/>
                <w:position w:val="2"/>
                <w:rtl/>
                <w:lang w:bidi="ar"/>
              </w:rPr>
              <w:t>أن هناك حاجةً</w:t>
            </w:r>
            <w:r w:rsidRPr="00EE42B1">
              <w:rPr>
                <w:rFonts w:hint="cs"/>
                <w:position w:val="2"/>
                <w:rtl/>
                <w:lang w:bidi="ar"/>
              </w:rPr>
              <w:t xml:space="preserve"> وضرورة</w:t>
            </w:r>
            <w:r>
              <w:rPr>
                <w:rFonts w:hint="cs"/>
                <w:position w:val="2"/>
                <w:rtl/>
                <w:lang w:bidi="ar"/>
              </w:rPr>
              <w:t>ً</w:t>
            </w:r>
            <w:r w:rsidRPr="00EE42B1">
              <w:rPr>
                <w:rFonts w:hint="cs"/>
                <w:position w:val="2"/>
                <w:rtl/>
                <w:lang w:bidi="ar"/>
              </w:rPr>
              <w:t xml:space="preserve"> </w:t>
            </w:r>
            <w:r>
              <w:rPr>
                <w:rFonts w:hint="cs"/>
                <w:position w:val="2"/>
                <w:rtl/>
                <w:lang w:bidi="ar"/>
              </w:rPr>
              <w:t>ل</w:t>
            </w:r>
            <w:r w:rsidRPr="00EE42B1">
              <w:rPr>
                <w:rFonts w:hint="cs"/>
                <w:position w:val="2"/>
                <w:rtl/>
                <w:lang w:bidi="ar"/>
              </w:rPr>
              <w:t xml:space="preserve">تحديث </w:t>
            </w:r>
            <w:r>
              <w:rPr>
                <w:rFonts w:hint="cs"/>
                <w:position w:val="2"/>
                <w:rtl/>
                <w:lang w:bidi="ar"/>
              </w:rPr>
              <w:t>الرقم القياسي</w:t>
            </w:r>
            <w:r w:rsidRPr="00EE42B1">
              <w:rPr>
                <w:rFonts w:hint="cs"/>
                <w:position w:val="2"/>
                <w:rtl/>
                <w:lang w:bidi="ar"/>
              </w:rPr>
              <w:t xml:space="preserve"> من </w:t>
            </w:r>
            <w:r>
              <w:rPr>
                <w:rFonts w:hint="cs"/>
                <w:position w:val="2"/>
                <w:rtl/>
                <w:lang w:bidi="ar"/>
              </w:rPr>
              <w:t>خلال</w:t>
            </w:r>
            <w:r w:rsidRPr="00EE42B1">
              <w:rPr>
                <w:rFonts w:hint="cs"/>
                <w:position w:val="2"/>
                <w:rtl/>
                <w:lang w:bidi="ar"/>
              </w:rPr>
              <w:t xml:space="preserve"> </w:t>
            </w:r>
            <w:r>
              <w:rPr>
                <w:rFonts w:hint="cs"/>
                <w:position w:val="2"/>
                <w:rtl/>
                <w:lang w:bidi="ar"/>
              </w:rPr>
              <w:t>استعراض</w:t>
            </w:r>
            <w:r w:rsidRPr="00EE42B1">
              <w:rPr>
                <w:rFonts w:hint="cs"/>
                <w:position w:val="2"/>
                <w:rtl/>
                <w:lang w:bidi="ar"/>
              </w:rPr>
              <w:t xml:space="preserve"> المجموعة الفرعية من المؤشرات بطريقة </w:t>
            </w:r>
            <w:r>
              <w:rPr>
                <w:rFonts w:hint="cs"/>
                <w:position w:val="2"/>
                <w:rtl/>
                <w:lang w:bidi="ar"/>
              </w:rPr>
              <w:t>تتوافق</w:t>
            </w:r>
            <w:r w:rsidRPr="00EE42B1">
              <w:rPr>
                <w:rFonts w:hint="cs"/>
                <w:position w:val="2"/>
                <w:rtl/>
                <w:lang w:bidi="ar"/>
              </w:rPr>
              <w:t xml:space="preserve"> </w:t>
            </w:r>
            <w:r>
              <w:rPr>
                <w:rFonts w:hint="cs"/>
                <w:position w:val="2"/>
                <w:rtl/>
                <w:lang w:bidi="ar"/>
              </w:rPr>
              <w:t xml:space="preserve">مع </w:t>
            </w:r>
            <w:r w:rsidRPr="00EE42B1">
              <w:rPr>
                <w:rFonts w:hint="cs"/>
                <w:position w:val="2"/>
                <w:rtl/>
                <w:lang w:bidi="ar"/>
              </w:rPr>
              <w:t>تطورات العصر الحالي.</w:t>
            </w:r>
          </w:p>
          <w:p w14:paraId="39FD99DF" w14:textId="77777777" w:rsidR="00A4625F" w:rsidRPr="00EE42B1" w:rsidRDefault="00A4625F" w:rsidP="00EA6661">
            <w:pPr>
              <w:rPr>
                <w:position w:val="2"/>
                <w:lang w:val="fr-FR" w:bidi="ar-EG"/>
              </w:rPr>
            </w:pPr>
            <w:r>
              <w:rPr>
                <w:rFonts w:hint="cs"/>
                <w:position w:val="2"/>
                <w:rtl/>
                <w:lang w:bidi="ar"/>
              </w:rPr>
              <w:t>واتُفق، في إطار أعمال أفرقة</w:t>
            </w:r>
            <w:r w:rsidRPr="00EE42B1">
              <w:rPr>
                <w:rFonts w:hint="cs"/>
                <w:position w:val="2"/>
                <w:rtl/>
                <w:lang w:bidi="ar"/>
              </w:rPr>
              <w:t xml:space="preserve"> الخبراء المعنية بمؤشرات تكنولوجيا المعلومات والاتصالات على مدى عامين (2016-2018)، </w:t>
            </w:r>
            <w:r>
              <w:rPr>
                <w:rFonts w:hint="cs"/>
                <w:position w:val="2"/>
                <w:rtl/>
                <w:lang w:bidi="ar"/>
              </w:rPr>
              <w:t>على</w:t>
            </w:r>
            <w:r w:rsidRPr="00EE42B1">
              <w:rPr>
                <w:rFonts w:hint="cs"/>
                <w:position w:val="2"/>
                <w:rtl/>
                <w:lang w:bidi="ar"/>
              </w:rPr>
              <w:t xml:space="preserve"> اعتماد مجموعة جديدة من المؤشرات الفرعية في حساب </w:t>
            </w:r>
            <w:r>
              <w:rPr>
                <w:rFonts w:hint="cs"/>
                <w:position w:val="2"/>
                <w:rtl/>
                <w:lang w:bidi="ar"/>
              </w:rPr>
              <w:t>الرقم القياسي</w:t>
            </w:r>
            <w:r w:rsidRPr="00EE42B1">
              <w:rPr>
                <w:rFonts w:hint="cs"/>
                <w:position w:val="2"/>
                <w:rtl/>
                <w:lang w:bidi="ar"/>
              </w:rPr>
              <w:t xml:space="preserve"> </w:t>
            </w:r>
            <w:r>
              <w:rPr>
                <w:rFonts w:hint="cs"/>
                <w:position w:val="2"/>
                <w:rtl/>
                <w:lang w:bidi="ar"/>
              </w:rPr>
              <w:t xml:space="preserve">الذي كان من </w:t>
            </w:r>
            <w:r w:rsidRPr="00EE42B1">
              <w:rPr>
                <w:rFonts w:hint="cs"/>
                <w:position w:val="2"/>
                <w:rtl/>
                <w:lang w:bidi="ar"/>
              </w:rPr>
              <w:t>المتوقع إصداره في 2018.</w:t>
            </w:r>
          </w:p>
          <w:p w14:paraId="42C18AE2" w14:textId="77777777" w:rsidR="00A4625F" w:rsidRPr="00CB7DE5" w:rsidRDefault="00A4625F" w:rsidP="00F10FAB">
            <w:pPr>
              <w:pStyle w:val="Headingb"/>
            </w:pPr>
            <w:r>
              <w:rPr>
                <w:rFonts w:hint="cs"/>
                <w:rtl/>
              </w:rPr>
              <w:t>مناقشة</w:t>
            </w:r>
          </w:p>
          <w:p w14:paraId="15F9E123" w14:textId="4A5373EA" w:rsidR="00A4625F" w:rsidRPr="00182341" w:rsidRDefault="00A4625F" w:rsidP="00EA6661">
            <w:pPr>
              <w:spacing w:after="120"/>
              <w:rPr>
                <w:position w:val="2"/>
                <w:lang w:val="fr-FR"/>
              </w:rPr>
            </w:pPr>
            <w:r>
              <w:rPr>
                <w:rFonts w:hint="cs"/>
                <w:position w:val="2"/>
                <w:rtl/>
                <w:lang w:bidi="ar"/>
              </w:rPr>
              <w:t>على الرغم من أن  ا</w:t>
            </w:r>
            <w:r w:rsidRPr="000B0789">
              <w:rPr>
                <w:position w:val="2"/>
                <w:rtl/>
                <w:lang w:val="fr-FR"/>
              </w:rPr>
              <w:t>لقرار 131 (المراجَع في دبي</w:t>
            </w:r>
            <w:r>
              <w:rPr>
                <w:rFonts w:hint="cs"/>
                <w:position w:val="2"/>
                <w:rtl/>
                <w:lang w:val="fr-FR"/>
              </w:rPr>
              <w:t xml:space="preserve">، </w:t>
            </w:r>
            <w:r>
              <w:rPr>
                <w:position w:val="2"/>
                <w:lang w:val="fr-FR"/>
              </w:rPr>
              <w:t>2018</w:t>
            </w:r>
            <w:r w:rsidRPr="000B0789">
              <w:rPr>
                <w:position w:val="2"/>
                <w:rtl/>
                <w:lang w:val="fr-FR"/>
              </w:rPr>
              <w:t xml:space="preserve">) </w:t>
            </w:r>
            <w:r>
              <w:rPr>
                <w:rFonts w:hint="cs"/>
                <w:position w:val="2"/>
                <w:rtl/>
                <w:lang w:val="fr-FR"/>
              </w:rPr>
              <w:t>ل</w:t>
            </w:r>
            <w:r w:rsidRPr="000B0789">
              <w:rPr>
                <w:position w:val="2"/>
                <w:rtl/>
                <w:lang w:val="fr-FR"/>
              </w:rPr>
              <w:t>مؤتمر المندوبين المفوضين</w:t>
            </w:r>
            <w:r>
              <w:rPr>
                <w:rFonts w:hint="cs"/>
                <w:position w:val="2"/>
                <w:rtl/>
                <w:lang w:val="fr-FR"/>
              </w:rPr>
              <w:t xml:space="preserve"> </w:t>
            </w:r>
            <w:r>
              <w:rPr>
                <w:rFonts w:hint="cs"/>
                <w:position w:val="2"/>
                <w:rtl/>
                <w:lang w:bidi="ar-EG"/>
              </w:rPr>
              <w:t xml:space="preserve">ينص في الفقرة 4 من القسم </w:t>
            </w:r>
            <w:r w:rsidRPr="00182341">
              <w:rPr>
                <w:rFonts w:hint="cs"/>
                <w:i/>
                <w:iCs/>
                <w:position w:val="2"/>
                <w:rtl/>
                <w:lang w:bidi="ar-EG"/>
              </w:rPr>
              <w:t>يكلف مدير مكتب تنمية الاتصالات</w:t>
            </w:r>
            <w:r>
              <w:rPr>
                <w:rFonts w:hint="cs"/>
                <w:position w:val="2"/>
                <w:rtl/>
                <w:lang w:bidi="ar-EG"/>
              </w:rPr>
              <w:t>:</w:t>
            </w:r>
            <w:r w:rsidRPr="000B0789">
              <w:rPr>
                <w:rFonts w:hint="cs"/>
                <w:position w:val="2"/>
                <w:rtl/>
                <w:lang w:bidi="ar"/>
              </w:rPr>
              <w:t xml:space="preserve"> </w:t>
            </w:r>
            <w:r>
              <w:rPr>
                <w:rFonts w:hint="cs"/>
                <w:position w:val="2"/>
                <w:rtl/>
                <w:lang w:bidi="ar"/>
              </w:rPr>
              <w:t>"</w:t>
            </w:r>
            <w:r w:rsidRPr="00393D6A">
              <w:rPr>
                <w:position w:val="2"/>
                <w:rtl/>
              </w:rPr>
              <w:t>بأن ينشر سنوياً سلة أسعار تكنولوجيا المعلومات والاتصالات والرقم القياسي لتطور تكنولوجيا المعلومات والاتصالات، بما في ذلك التصنيفات والدراسات والرسوم البيانية والمؤشرات المرجعية والتحليل المتعمق لأفضل الممارسات الناجحة، للتعبير عن التقدم أو عدم التقدم في النفاذ إلى تكنولوجيا المعلومات والاتصالات واستعمالها والقدرة على تحمل تكاليفها</w:t>
            </w:r>
            <w:r>
              <w:rPr>
                <w:rFonts w:hint="cs"/>
                <w:position w:val="2"/>
                <w:rtl/>
              </w:rPr>
              <w:t xml:space="preserve">"، </w:t>
            </w:r>
            <w:r>
              <w:rPr>
                <w:rFonts w:hint="cs"/>
                <w:position w:val="2"/>
                <w:rtl/>
                <w:lang w:bidi="ar"/>
              </w:rPr>
              <w:t xml:space="preserve">فإن </w:t>
            </w:r>
            <w:r w:rsidRPr="00393D6A">
              <w:rPr>
                <w:position w:val="2"/>
                <w:rtl/>
              </w:rPr>
              <w:t>الرقم القياسي لتطور تكنولوجيا المعلومات والاتصالات</w:t>
            </w:r>
            <w:r w:rsidRPr="00182341">
              <w:rPr>
                <w:rFonts w:hint="cs"/>
                <w:position w:val="2"/>
                <w:rtl/>
                <w:lang w:bidi="ar"/>
              </w:rPr>
              <w:t xml:space="preserve"> </w:t>
            </w:r>
            <w:r>
              <w:rPr>
                <w:rFonts w:hint="cs"/>
                <w:position w:val="2"/>
                <w:rtl/>
                <w:lang w:val="fr-FR"/>
              </w:rPr>
              <w:t>لم يصدر في عامي</w:t>
            </w:r>
            <w:r w:rsidRPr="00182341">
              <w:rPr>
                <w:rFonts w:hint="cs"/>
                <w:position w:val="2"/>
                <w:rtl/>
                <w:lang w:bidi="ar"/>
              </w:rPr>
              <w:t xml:space="preserve"> 2018 و2019. </w:t>
            </w:r>
            <w:r>
              <w:rPr>
                <w:rFonts w:hint="cs"/>
                <w:position w:val="2"/>
                <w:rtl/>
                <w:lang w:bidi="ar"/>
              </w:rPr>
              <w:t>وبالإضافة</w:t>
            </w:r>
            <w:r w:rsidRPr="00182341">
              <w:rPr>
                <w:rFonts w:hint="cs"/>
                <w:position w:val="2"/>
                <w:rtl/>
                <w:lang w:bidi="ar"/>
              </w:rPr>
              <w:t xml:space="preserve"> </w:t>
            </w:r>
            <w:r>
              <w:rPr>
                <w:rFonts w:hint="cs"/>
                <w:position w:val="2"/>
                <w:rtl/>
                <w:lang w:bidi="ar"/>
              </w:rPr>
              <w:t xml:space="preserve">إلى </w:t>
            </w:r>
            <w:r w:rsidRPr="00182341">
              <w:rPr>
                <w:rFonts w:hint="cs"/>
                <w:position w:val="2"/>
                <w:rtl/>
                <w:lang w:bidi="ar"/>
              </w:rPr>
              <w:t xml:space="preserve">ذلك، </w:t>
            </w:r>
            <w:r>
              <w:rPr>
                <w:rFonts w:hint="cs"/>
                <w:position w:val="2"/>
                <w:rtl/>
                <w:lang w:bidi="ar"/>
              </w:rPr>
              <w:t>اقترح الاتحاد رقماً قياسياً جديداً وجرت مناقشته</w:t>
            </w:r>
            <w:r w:rsidRPr="00182341">
              <w:rPr>
                <w:rFonts w:hint="cs"/>
                <w:position w:val="2"/>
                <w:rtl/>
                <w:lang w:bidi="ar"/>
              </w:rPr>
              <w:t xml:space="preserve"> مع الدول الأعضاء </w:t>
            </w:r>
            <w:r>
              <w:rPr>
                <w:rFonts w:hint="cs"/>
                <w:position w:val="2"/>
                <w:rtl/>
                <w:lang w:bidi="ar"/>
              </w:rPr>
              <w:t>في</w:t>
            </w:r>
            <w:r w:rsidRPr="00182341">
              <w:rPr>
                <w:rFonts w:hint="cs"/>
                <w:position w:val="2"/>
                <w:rtl/>
                <w:lang w:bidi="ar"/>
              </w:rPr>
              <w:t xml:space="preserve"> اجتماعين عقد الأخير </w:t>
            </w:r>
            <w:r>
              <w:rPr>
                <w:rFonts w:hint="cs"/>
                <w:position w:val="2"/>
                <w:rtl/>
                <w:lang w:bidi="ar"/>
              </w:rPr>
              <w:t xml:space="preserve">منهما </w:t>
            </w:r>
            <w:r w:rsidRPr="00182341">
              <w:rPr>
                <w:rFonts w:hint="cs"/>
                <w:position w:val="2"/>
                <w:rtl/>
                <w:lang w:bidi="ar"/>
              </w:rPr>
              <w:t>في 17 أبريل 2020.</w:t>
            </w:r>
          </w:p>
          <w:p w14:paraId="371E4D9A" w14:textId="77777777" w:rsidR="00A4625F" w:rsidRPr="000D2F49" w:rsidRDefault="00A4625F" w:rsidP="00EA6661">
            <w:pPr>
              <w:spacing w:after="120"/>
              <w:rPr>
                <w:position w:val="2"/>
                <w:lang w:val="fr-FR"/>
              </w:rPr>
            </w:pPr>
            <w:r w:rsidRPr="006E1A6C">
              <w:rPr>
                <w:rFonts w:hint="cs"/>
                <w:position w:val="2"/>
                <w:rtl/>
                <w:lang w:val="fr-FR"/>
              </w:rPr>
              <w:t>و</w:t>
            </w:r>
            <w:r w:rsidRPr="006E1A6C">
              <w:rPr>
                <w:rFonts w:hint="cs"/>
                <w:position w:val="2"/>
                <w:rtl/>
                <w:lang w:val="fr-FR" w:bidi="ar"/>
              </w:rPr>
              <w:t>في حين أن فكرة الرقم القياسي الجديد فكرة جيدة عموماً وتساهم في قياس أثر تكنولوجيات المعلومات والاتصالات ومقارنة الجهود التي تبذلها البلدان من أجل تحقيق أهداف التنمية المستدامة، فقد أثارت الدول الأعضاء شواغل بشأن الرقم القياسي الجديد للاتحاد الذي يشمل العديد من الزوايا الهامة والأساسية (الإجراءات، اكتمال المنهجية، البيانات ومصادرها). وكان من الجلي للجميع أن هناك حاجةً إلى المزيد من الوقت لضمان نضج الرقم القياسي الجديد وإعداده ليكون جاهزاً للنشر.</w:t>
            </w:r>
          </w:p>
          <w:p w14:paraId="2093D8C6" w14:textId="122F31DE" w:rsidR="00A4625F" w:rsidRDefault="00A4625F" w:rsidP="00F10FAB">
            <w:pPr>
              <w:pStyle w:val="Headingb"/>
              <w:rPr>
                <w:rtl/>
              </w:rPr>
            </w:pPr>
            <w:r>
              <w:rPr>
                <w:rFonts w:hint="cs"/>
                <w:rtl/>
              </w:rPr>
              <w:t>المقترح</w:t>
            </w:r>
          </w:p>
          <w:p w14:paraId="62EFF6E0" w14:textId="36796807" w:rsidR="00A4625F" w:rsidRPr="007833CD" w:rsidRDefault="00A4625F" w:rsidP="00EA6661">
            <w:pPr>
              <w:rPr>
                <w:position w:val="2"/>
                <w:lang w:val="fr-FR"/>
              </w:rPr>
            </w:pPr>
            <w:r w:rsidRPr="006E1A6C">
              <w:rPr>
                <w:rFonts w:hint="cs"/>
                <w:position w:val="2"/>
                <w:rtl/>
                <w:lang w:bidi="ar"/>
              </w:rPr>
              <w:t xml:space="preserve">نظراً إلى أن الاتحاد لم يصدر </w:t>
            </w:r>
            <w:r w:rsidRPr="006E1A6C">
              <w:rPr>
                <w:position w:val="2"/>
                <w:rtl/>
              </w:rPr>
              <w:t xml:space="preserve">الرقم القياسي </w:t>
            </w:r>
            <w:r w:rsidRPr="006E1A6C">
              <w:rPr>
                <w:rFonts w:hint="cs"/>
                <w:position w:val="2"/>
                <w:rtl/>
              </w:rPr>
              <w:t>لتنمية</w:t>
            </w:r>
            <w:r w:rsidRPr="006E1A6C">
              <w:rPr>
                <w:position w:val="2"/>
                <w:rtl/>
              </w:rPr>
              <w:t xml:space="preserve"> تكنولوجيا المعلومات والاتصالات</w:t>
            </w:r>
            <w:r w:rsidRPr="006E1A6C">
              <w:rPr>
                <w:rFonts w:hint="cs"/>
                <w:position w:val="2"/>
                <w:rtl/>
                <w:lang w:bidi="ar"/>
              </w:rPr>
              <w:t xml:space="preserve"> لمدة عامين ومراعاةً لل</w:t>
            </w:r>
            <w:r w:rsidRPr="006E1A6C">
              <w:rPr>
                <w:position w:val="2"/>
                <w:rtl/>
                <w:lang w:val="fr-FR"/>
              </w:rPr>
              <w:t>قرار 131 لمؤتمر المندوبين المفوضين</w:t>
            </w:r>
            <w:r w:rsidR="00FA6556">
              <w:rPr>
                <w:rFonts w:hint="cs"/>
                <w:position w:val="2"/>
                <w:rtl/>
                <w:lang w:val="fr-FR"/>
              </w:rPr>
              <w:t xml:space="preserve"> للاتحاد</w:t>
            </w:r>
            <w:r w:rsidRPr="006E1A6C">
              <w:rPr>
                <w:rFonts w:hint="cs"/>
                <w:position w:val="2"/>
                <w:rtl/>
                <w:lang w:bidi="ar"/>
              </w:rPr>
              <w:t xml:space="preserve">، ينبغي أن يستأنف الاتحاد إصدار الرقم القياسي ونشره وأن يواصل العمل على الرقم القياسي الجديد من خلال </w:t>
            </w:r>
            <w:r w:rsidRPr="006E1A6C">
              <w:rPr>
                <w:rFonts w:ascii="Segoe UI" w:hAnsi="Segoe UI" w:cs="Segoe UI" w:hint="cs"/>
                <w:color w:val="000000"/>
                <w:sz w:val="20"/>
                <w:szCs w:val="20"/>
                <w:shd w:val="clear" w:color="auto" w:fill="FFFFFF"/>
                <w:rtl/>
              </w:rPr>
              <w:t>فريق</w:t>
            </w:r>
            <w:r w:rsidRPr="006E1A6C">
              <w:rPr>
                <w:position w:val="2"/>
                <w:rtl/>
                <w:lang w:val="fr-FR"/>
              </w:rPr>
              <w:t xml:space="preserve"> الخبراء المعني بمؤشرات الاتصالات/تكنولوجيا المعلومات </w:t>
            </w:r>
            <w:proofErr w:type="gramStart"/>
            <w:r w:rsidRPr="006E1A6C">
              <w:rPr>
                <w:position w:val="2"/>
                <w:rtl/>
                <w:lang w:val="fr-FR"/>
              </w:rPr>
              <w:t>والاتصالات</w:t>
            </w:r>
            <w:r w:rsidRPr="006E1A6C">
              <w:rPr>
                <w:position w:val="2"/>
              </w:rPr>
              <w:t>(</w:t>
            </w:r>
            <w:proofErr w:type="gramEnd"/>
            <w:r w:rsidRPr="006E1A6C">
              <w:rPr>
                <w:position w:val="2"/>
              </w:rPr>
              <w:t xml:space="preserve">EGTI) </w:t>
            </w:r>
            <w:r w:rsidRPr="006E1A6C">
              <w:rPr>
                <w:rFonts w:hint="cs"/>
                <w:position w:val="2"/>
                <w:rtl/>
                <w:lang w:val="fr-FR"/>
              </w:rPr>
              <w:t>/</w:t>
            </w:r>
            <w:r w:rsidRPr="006E1A6C">
              <w:rPr>
                <w:position w:val="2"/>
                <w:rtl/>
                <w:lang w:val="fr-FR"/>
              </w:rPr>
              <w:t>فريق الخبراء المعني بالمؤشرات الأسري</w:t>
            </w:r>
            <w:r w:rsidRPr="006E1A6C">
              <w:rPr>
                <w:rFonts w:hint="cs"/>
                <w:position w:val="2"/>
                <w:rtl/>
                <w:lang w:val="fr-FR"/>
              </w:rPr>
              <w:t xml:space="preserve">ة لتكنولوجيا المعلومات والاتصالات </w:t>
            </w:r>
            <w:r w:rsidRPr="006E1A6C">
              <w:rPr>
                <w:position w:val="2"/>
              </w:rPr>
              <w:t>(EGH)</w:t>
            </w:r>
            <w:r w:rsidRPr="006E1A6C">
              <w:rPr>
                <w:rFonts w:hint="cs"/>
                <w:position w:val="2"/>
                <w:rtl/>
                <w:lang w:bidi="ar"/>
              </w:rPr>
              <w:t>.</w:t>
            </w:r>
          </w:p>
          <w:p w14:paraId="2ADECC23" w14:textId="77777777" w:rsidR="00A4625F" w:rsidRPr="00CB7DE5" w:rsidRDefault="00A4625F" w:rsidP="00F10FAB">
            <w:pPr>
              <w:spacing w:before="60" w:after="60"/>
              <w:rPr>
                <w:b/>
                <w:bCs/>
                <w:position w:val="2"/>
              </w:rPr>
            </w:pPr>
          </w:p>
        </w:tc>
      </w:tr>
    </w:tbl>
    <w:p w14:paraId="4295709E" w14:textId="5147D662" w:rsidR="00CB7DE5" w:rsidRDefault="00754722" w:rsidP="00754722">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w:t>
      </w:r>
    </w:p>
    <w:sectPr w:rsidR="00CB7DE5"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E89DE" w14:textId="77777777" w:rsidR="00A4625F" w:rsidRDefault="00A4625F" w:rsidP="006C3242">
      <w:pPr>
        <w:spacing w:before="0" w:line="240" w:lineRule="auto"/>
      </w:pPr>
      <w:r>
        <w:separator/>
      </w:r>
    </w:p>
  </w:endnote>
  <w:endnote w:type="continuationSeparator" w:id="0">
    <w:p w14:paraId="148D9536" w14:textId="77777777" w:rsidR="00A4625F" w:rsidRDefault="00A4625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69F8" w14:textId="2362A32F"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24B7B">
      <w:rPr>
        <w:noProof/>
        <w:sz w:val="16"/>
        <w:szCs w:val="16"/>
        <w:lang w:val="fr-FR"/>
      </w:rPr>
      <w:t>P:\ARA\SG\CONSEIL\VC\000\014A.docx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754722">
      <w:rPr>
        <w:rFonts w:hint="cs"/>
        <w:sz w:val="16"/>
        <w:szCs w:val="16"/>
        <w:rtl/>
        <w:lang w:val="fr-FR"/>
      </w:rPr>
      <w:t>472013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817D1" w14:textId="77777777" w:rsidR="006C3242" w:rsidRPr="00CB7DE5" w:rsidRDefault="006C3242"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6DFCD" w14:textId="77777777" w:rsidR="00A4625F" w:rsidRDefault="00A4625F" w:rsidP="006C3242">
      <w:pPr>
        <w:spacing w:before="0" w:line="240" w:lineRule="auto"/>
      </w:pPr>
      <w:r>
        <w:separator/>
      </w:r>
    </w:p>
  </w:footnote>
  <w:footnote w:type="continuationSeparator" w:id="0">
    <w:p w14:paraId="5BCDEEC1" w14:textId="77777777" w:rsidR="00A4625F" w:rsidRDefault="00A4625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15C5C" w14:textId="1540AED7" w:rsidR="00447F32" w:rsidRPr="00447F32" w:rsidRDefault="00F24B7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4B1F2F">
          <w:rPr>
            <w:rFonts w:cs="Calibri"/>
            <w:noProof/>
            <w:sz w:val="20"/>
            <w:szCs w:val="20"/>
          </w:rPr>
          <w:t>VC</w:t>
        </w:r>
        <w:r w:rsidR="00447F32" w:rsidRPr="00447F32">
          <w:rPr>
            <w:rFonts w:cs="Calibri"/>
            <w:noProof/>
            <w:sz w:val="20"/>
            <w:szCs w:val="20"/>
          </w:rPr>
          <w:t>/</w:t>
        </w:r>
        <w:r w:rsidR="00A4625F">
          <w:rPr>
            <w:rFonts w:cs="Calibri"/>
            <w:noProof/>
            <w:sz w:val="20"/>
            <w:szCs w:val="20"/>
          </w:rPr>
          <w:t>14</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5F"/>
    <w:rsid w:val="00065096"/>
    <w:rsid w:val="00090574"/>
    <w:rsid w:val="000C1C0E"/>
    <w:rsid w:val="000C548A"/>
    <w:rsid w:val="001C0169"/>
    <w:rsid w:val="001D1D50"/>
    <w:rsid w:val="001D6745"/>
    <w:rsid w:val="001E446E"/>
    <w:rsid w:val="002154EE"/>
    <w:rsid w:val="002276D2"/>
    <w:rsid w:val="0023283D"/>
    <w:rsid w:val="0026373E"/>
    <w:rsid w:val="00271C43"/>
    <w:rsid w:val="00290728"/>
    <w:rsid w:val="002978F4"/>
    <w:rsid w:val="002B028D"/>
    <w:rsid w:val="002E1973"/>
    <w:rsid w:val="002E6541"/>
    <w:rsid w:val="002F71D8"/>
    <w:rsid w:val="00334924"/>
    <w:rsid w:val="003409BC"/>
    <w:rsid w:val="00357185"/>
    <w:rsid w:val="00383829"/>
    <w:rsid w:val="003C6B4F"/>
    <w:rsid w:val="003F4B29"/>
    <w:rsid w:val="0042686F"/>
    <w:rsid w:val="004317D8"/>
    <w:rsid w:val="00434183"/>
    <w:rsid w:val="00443869"/>
    <w:rsid w:val="00447F32"/>
    <w:rsid w:val="004B1F2F"/>
    <w:rsid w:val="004E11DC"/>
    <w:rsid w:val="00506381"/>
    <w:rsid w:val="005409AC"/>
    <w:rsid w:val="0055516A"/>
    <w:rsid w:val="0058491B"/>
    <w:rsid w:val="00592EA5"/>
    <w:rsid w:val="005A3170"/>
    <w:rsid w:val="005B1652"/>
    <w:rsid w:val="00614855"/>
    <w:rsid w:val="006654A6"/>
    <w:rsid w:val="00677396"/>
    <w:rsid w:val="0069200F"/>
    <w:rsid w:val="006A65CB"/>
    <w:rsid w:val="006A793B"/>
    <w:rsid w:val="006C3242"/>
    <w:rsid w:val="006C7CC0"/>
    <w:rsid w:val="006E1A6C"/>
    <w:rsid w:val="006F63F7"/>
    <w:rsid w:val="007025C7"/>
    <w:rsid w:val="00706D7A"/>
    <w:rsid w:val="00722F0D"/>
    <w:rsid w:val="0074420E"/>
    <w:rsid w:val="00754722"/>
    <w:rsid w:val="00783E26"/>
    <w:rsid w:val="007C3BC7"/>
    <w:rsid w:val="007C3BCD"/>
    <w:rsid w:val="007D4ACF"/>
    <w:rsid w:val="007F0787"/>
    <w:rsid w:val="00810B7B"/>
    <w:rsid w:val="0082358A"/>
    <w:rsid w:val="008235CD"/>
    <w:rsid w:val="008247DE"/>
    <w:rsid w:val="00840B10"/>
    <w:rsid w:val="008513CB"/>
    <w:rsid w:val="008A7F84"/>
    <w:rsid w:val="0091702E"/>
    <w:rsid w:val="00923B0C"/>
    <w:rsid w:val="0094021C"/>
    <w:rsid w:val="00952F86"/>
    <w:rsid w:val="00982B28"/>
    <w:rsid w:val="009D313F"/>
    <w:rsid w:val="00A4625F"/>
    <w:rsid w:val="00A47A5A"/>
    <w:rsid w:val="00A6683B"/>
    <w:rsid w:val="00A9076B"/>
    <w:rsid w:val="00A97F94"/>
    <w:rsid w:val="00B03099"/>
    <w:rsid w:val="00B05BC8"/>
    <w:rsid w:val="00B64B47"/>
    <w:rsid w:val="00BB7213"/>
    <w:rsid w:val="00C002DE"/>
    <w:rsid w:val="00C227A7"/>
    <w:rsid w:val="00C53BF8"/>
    <w:rsid w:val="00C66157"/>
    <w:rsid w:val="00C674FE"/>
    <w:rsid w:val="00C67501"/>
    <w:rsid w:val="00C75633"/>
    <w:rsid w:val="00CB7DE5"/>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A6661"/>
    <w:rsid w:val="00EB796D"/>
    <w:rsid w:val="00EF2865"/>
    <w:rsid w:val="00F058DC"/>
    <w:rsid w:val="00F10FAB"/>
    <w:rsid w:val="00F24B7B"/>
    <w:rsid w:val="00F24FC4"/>
    <w:rsid w:val="00F2676C"/>
    <w:rsid w:val="00F63316"/>
    <w:rsid w:val="00F84366"/>
    <w:rsid w:val="00F85089"/>
    <w:rsid w:val="00F974C5"/>
    <w:rsid w:val="00FA6556"/>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182D8"/>
  <w15:chartTrackingRefBased/>
  <w15:docId w15:val="{95674739-89C7-4BBE-AE38-4CB0754B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SG\PA_%20V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51C9-D268-4BEA-90E2-32F6256F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 VC.dotx</Template>
  <TotalTime>23</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Arabic</cp:lastModifiedBy>
  <cp:revision>9</cp:revision>
  <dcterms:created xsi:type="dcterms:W3CDTF">2020-06-09T07:37:00Z</dcterms:created>
  <dcterms:modified xsi:type="dcterms:W3CDTF">2020-06-09T08:49:00Z</dcterms:modified>
</cp:coreProperties>
</file>