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1834BD" w:rsidRPr="005A1961" w:rsidTr="00FA7FCF">
        <w:trPr>
          <w:cantSplit/>
          <w:trHeight w:val="1276"/>
        </w:trPr>
        <w:tc>
          <w:tcPr>
            <w:tcW w:w="6911" w:type="dxa"/>
          </w:tcPr>
          <w:p w:rsidR="001834BD" w:rsidRPr="005A1961" w:rsidRDefault="001834BD" w:rsidP="00FA7FCF">
            <w:pPr>
              <w:spacing w:before="360" w:after="48"/>
              <w:rPr>
                <w:b/>
                <w:bCs/>
                <w:position w:val="6"/>
                <w:sz w:val="26"/>
                <w:szCs w:val="26"/>
              </w:rPr>
            </w:pPr>
            <w:bookmarkStart w:id="0" w:name="lt_pId446"/>
            <w:r w:rsidRPr="005A1961">
              <w:rPr>
                <w:b/>
                <w:bCs/>
                <w:position w:val="6"/>
                <w:sz w:val="26"/>
                <w:szCs w:val="26"/>
              </w:rPr>
              <w:t xml:space="preserve">Consulta virtual de los consejeros </w:t>
            </w:r>
            <w:bookmarkEnd w:id="0"/>
            <w:r w:rsidRPr="005A1961">
              <w:rPr>
                <w:b/>
                <w:bCs/>
                <w:position w:val="6"/>
                <w:sz w:val="26"/>
                <w:szCs w:val="26"/>
              </w:rPr>
              <w:br/>
            </w:r>
            <w:bookmarkStart w:id="1" w:name="lt_pId447"/>
            <w:r w:rsidRPr="005A1961">
              <w:rPr>
                <w:b/>
                <w:bCs/>
                <w:position w:val="6"/>
                <w:sz w:val="26"/>
                <w:szCs w:val="26"/>
              </w:rPr>
              <w:t>que comienza el 9 de junio de 2020</w:t>
            </w:r>
            <w:bookmarkEnd w:id="1"/>
          </w:p>
        </w:tc>
        <w:tc>
          <w:tcPr>
            <w:tcW w:w="3120" w:type="dxa"/>
            <w:vAlign w:val="center"/>
          </w:tcPr>
          <w:p w:rsidR="001834BD" w:rsidRPr="005A1961" w:rsidRDefault="001834BD" w:rsidP="00FA7FCF">
            <w:pPr>
              <w:spacing w:before="0"/>
            </w:pPr>
            <w:r w:rsidRPr="005A1961">
              <w:rPr>
                <w:noProof/>
              </w:rPr>
              <w:drawing>
                <wp:inline distT="0" distB="0" distL="0" distR="0" wp14:anchorId="045C4355" wp14:editId="628FD54A">
                  <wp:extent cx="682402" cy="720000"/>
                  <wp:effectExtent l="0" t="0" r="3810" b="4445"/>
                  <wp:docPr id="1035909951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62896642" name="logo-ITU-RGB-size template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834BD" w:rsidRPr="005A1961" w:rsidTr="00FA7FCF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:rsidR="001834BD" w:rsidRPr="005A1961" w:rsidRDefault="001834BD" w:rsidP="00FA7FCF">
            <w:pPr>
              <w:spacing w:before="0" w:after="48"/>
              <w:rPr>
                <w:b/>
                <w:smallCaps/>
                <w:szCs w:val="24"/>
              </w:rPr>
            </w:pPr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:rsidR="001834BD" w:rsidRPr="005A1961" w:rsidRDefault="001834BD" w:rsidP="00FA7FCF">
            <w:pPr>
              <w:spacing w:before="0"/>
              <w:rPr>
                <w:szCs w:val="24"/>
              </w:rPr>
            </w:pPr>
          </w:p>
        </w:tc>
      </w:tr>
      <w:tr w:rsidR="001834BD" w:rsidRPr="005A1961" w:rsidTr="00FA7FCF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:rsidR="001834BD" w:rsidRPr="005A1961" w:rsidRDefault="001834BD" w:rsidP="00FA7FCF">
            <w:pPr>
              <w:spacing w:before="0" w:after="48"/>
              <w:rPr>
                <w:b/>
                <w:smallCaps/>
                <w:szCs w:val="24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:rsidR="001834BD" w:rsidRPr="005A1961" w:rsidRDefault="001834BD" w:rsidP="00A6471C">
            <w:pPr>
              <w:spacing w:before="240"/>
              <w:rPr>
                <w:szCs w:val="24"/>
              </w:rPr>
            </w:pPr>
            <w:r w:rsidRPr="005A1961">
              <w:rPr>
                <w:b/>
                <w:bCs/>
                <w:szCs w:val="24"/>
              </w:rPr>
              <w:t xml:space="preserve">Documento </w:t>
            </w:r>
            <w:r w:rsidR="00491AC1" w:rsidRPr="005A1961">
              <w:rPr>
                <w:b/>
                <w:bCs/>
                <w:szCs w:val="24"/>
              </w:rPr>
              <w:t>VC</w:t>
            </w:r>
            <w:r w:rsidRPr="005A1961">
              <w:rPr>
                <w:b/>
                <w:bCs/>
                <w:szCs w:val="24"/>
              </w:rPr>
              <w:t>/</w:t>
            </w:r>
            <w:r w:rsidR="00A6471C" w:rsidRPr="005A1961">
              <w:rPr>
                <w:b/>
                <w:bCs/>
                <w:szCs w:val="24"/>
              </w:rPr>
              <w:t>10</w:t>
            </w:r>
            <w:r w:rsidRPr="005A1961">
              <w:rPr>
                <w:b/>
                <w:bCs/>
                <w:szCs w:val="24"/>
              </w:rPr>
              <w:t>-S</w:t>
            </w:r>
            <w:r w:rsidRPr="005A1961">
              <w:rPr>
                <w:b/>
                <w:bCs/>
                <w:szCs w:val="24"/>
              </w:rPr>
              <w:br/>
            </w:r>
            <w:r w:rsidR="00A6471C" w:rsidRPr="005A1961">
              <w:rPr>
                <w:b/>
                <w:bCs/>
                <w:szCs w:val="24"/>
              </w:rPr>
              <w:t>1 de junio</w:t>
            </w:r>
            <w:r w:rsidRPr="005A1961">
              <w:rPr>
                <w:b/>
                <w:bCs/>
                <w:szCs w:val="24"/>
              </w:rPr>
              <w:t xml:space="preserve"> de 2020</w:t>
            </w:r>
            <w:r w:rsidRPr="005A1961">
              <w:rPr>
                <w:b/>
                <w:bCs/>
                <w:szCs w:val="24"/>
              </w:rPr>
              <w:br/>
              <w:t>Original: inglés</w:t>
            </w:r>
          </w:p>
        </w:tc>
      </w:tr>
    </w:tbl>
    <w:p w:rsidR="001834BD" w:rsidRPr="005A1961" w:rsidRDefault="001834BD" w:rsidP="001834BD">
      <w:pPr>
        <w:spacing w:before="0"/>
        <w:rPr>
          <w:b/>
          <w:bCs/>
          <w:sz w:val="28"/>
        </w:rPr>
      </w:pPr>
    </w:p>
    <w:tbl>
      <w:tblPr>
        <w:tblW w:w="10093" w:type="dxa"/>
        <w:tblLayout w:type="fixed"/>
        <w:tblLook w:val="0000" w:firstRow="0" w:lastRow="0" w:firstColumn="0" w:lastColumn="0" w:noHBand="0" w:noVBand="0"/>
      </w:tblPr>
      <w:tblGrid>
        <w:gridCol w:w="2835"/>
        <w:gridCol w:w="7258"/>
      </w:tblGrid>
      <w:tr w:rsidR="001834BD" w:rsidRPr="005A1961" w:rsidTr="00FA7FCF">
        <w:trPr>
          <w:cantSplit/>
        </w:trPr>
        <w:tc>
          <w:tcPr>
            <w:tcW w:w="2835" w:type="dxa"/>
            <w:tcBorders>
              <w:right w:val="single" w:sz="12" w:space="0" w:color="auto"/>
            </w:tcBorders>
            <w:vAlign w:val="center"/>
          </w:tcPr>
          <w:p w:rsidR="001834BD" w:rsidRPr="005A1961" w:rsidRDefault="001834BD" w:rsidP="00FA7FCF">
            <w:pPr>
              <w:spacing w:before="0"/>
              <w:rPr>
                <w:b/>
                <w:bCs/>
              </w:rPr>
            </w:pPr>
            <w:bookmarkStart w:id="2" w:name="lt_pId450"/>
            <w:r w:rsidRPr="005A1961">
              <w:rPr>
                <w:b/>
                <w:bCs/>
              </w:rPr>
              <w:t>Nombre del/de los Estado(s) Miembro(s) que la presenta(n):</w:t>
            </w:r>
            <w:bookmarkEnd w:id="2"/>
          </w:p>
        </w:tc>
        <w:tc>
          <w:tcPr>
            <w:tcW w:w="725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834BD" w:rsidRPr="005A1961" w:rsidRDefault="00A6471C" w:rsidP="00FA7FCF">
            <w:pPr>
              <w:spacing w:before="0"/>
              <w:rPr>
                <w:b/>
                <w:bCs/>
              </w:rPr>
            </w:pPr>
            <w:r w:rsidRPr="005A1961">
              <w:rPr>
                <w:b/>
                <w:bCs/>
              </w:rPr>
              <w:t>República Popular de China</w:t>
            </w:r>
          </w:p>
        </w:tc>
      </w:tr>
      <w:tr w:rsidR="001834BD" w:rsidRPr="005A1961" w:rsidTr="00FA7FCF">
        <w:trPr>
          <w:cantSplit/>
        </w:trPr>
        <w:tc>
          <w:tcPr>
            <w:tcW w:w="2835" w:type="dxa"/>
          </w:tcPr>
          <w:p w:rsidR="001834BD" w:rsidRPr="005A1961" w:rsidRDefault="001834BD" w:rsidP="00FA7FCF">
            <w:pPr>
              <w:spacing w:before="0"/>
              <w:rPr>
                <w:sz w:val="16"/>
                <w:szCs w:val="16"/>
              </w:rPr>
            </w:pPr>
          </w:p>
        </w:tc>
        <w:tc>
          <w:tcPr>
            <w:tcW w:w="7258" w:type="dxa"/>
            <w:tcBorders>
              <w:top w:val="single" w:sz="12" w:space="0" w:color="auto"/>
              <w:bottom w:val="single" w:sz="12" w:space="0" w:color="auto"/>
            </w:tcBorders>
          </w:tcPr>
          <w:p w:rsidR="001834BD" w:rsidRPr="005A1961" w:rsidRDefault="001834BD" w:rsidP="00FA7FCF">
            <w:pPr>
              <w:spacing w:before="0"/>
              <w:rPr>
                <w:sz w:val="16"/>
                <w:szCs w:val="16"/>
              </w:rPr>
            </w:pPr>
          </w:p>
        </w:tc>
      </w:tr>
      <w:tr w:rsidR="001834BD" w:rsidRPr="005A1961" w:rsidTr="00FA7FCF">
        <w:trPr>
          <w:cantSplit/>
        </w:trPr>
        <w:tc>
          <w:tcPr>
            <w:tcW w:w="2835" w:type="dxa"/>
            <w:tcBorders>
              <w:right w:val="single" w:sz="12" w:space="0" w:color="auto"/>
            </w:tcBorders>
          </w:tcPr>
          <w:p w:rsidR="001834BD" w:rsidRPr="005A1961" w:rsidRDefault="001834BD" w:rsidP="00FA7FCF">
            <w:pPr>
              <w:spacing w:after="120"/>
              <w:rPr>
                <w:b/>
                <w:bCs/>
              </w:rPr>
            </w:pPr>
            <w:bookmarkStart w:id="3" w:name="lt_pId451"/>
            <w:r w:rsidRPr="005A1961">
              <w:rPr>
                <w:b/>
                <w:bCs/>
              </w:rPr>
              <w:t>Título del documento:</w:t>
            </w:r>
            <w:bookmarkEnd w:id="3"/>
          </w:p>
        </w:tc>
        <w:tc>
          <w:tcPr>
            <w:tcW w:w="725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834BD" w:rsidRPr="005A1961" w:rsidRDefault="00A6471C" w:rsidP="00FA7FCF">
            <w:pPr>
              <w:spacing w:after="120"/>
              <w:rPr>
                <w:b/>
                <w:bCs/>
              </w:rPr>
            </w:pPr>
            <w:r w:rsidRPr="005A1961">
              <w:rPr>
                <w:b/>
                <w:bCs/>
              </w:rPr>
              <w:t>Propuesta de nuevas mejoras de la participación a distancia en las reuniones de la UIT</w:t>
            </w:r>
          </w:p>
        </w:tc>
      </w:tr>
      <w:tr w:rsidR="001834BD" w:rsidRPr="005A1961" w:rsidTr="00FA7FCF">
        <w:trPr>
          <w:cantSplit/>
          <w:trHeight w:val="269"/>
        </w:trPr>
        <w:tc>
          <w:tcPr>
            <w:tcW w:w="2835" w:type="dxa"/>
          </w:tcPr>
          <w:p w:rsidR="001834BD" w:rsidRPr="005A1961" w:rsidRDefault="001834BD" w:rsidP="00FA7FCF">
            <w:pPr>
              <w:spacing w:before="0"/>
              <w:rPr>
                <w:sz w:val="16"/>
                <w:szCs w:val="16"/>
              </w:rPr>
            </w:pPr>
          </w:p>
        </w:tc>
        <w:tc>
          <w:tcPr>
            <w:tcW w:w="7258" w:type="dxa"/>
            <w:tcBorders>
              <w:top w:val="single" w:sz="12" w:space="0" w:color="auto"/>
              <w:bottom w:val="single" w:sz="2" w:space="0" w:color="auto"/>
            </w:tcBorders>
          </w:tcPr>
          <w:p w:rsidR="001834BD" w:rsidRPr="005A1961" w:rsidRDefault="001834BD" w:rsidP="00FA7FCF">
            <w:pPr>
              <w:spacing w:before="0"/>
              <w:rPr>
                <w:sz w:val="16"/>
                <w:szCs w:val="16"/>
              </w:rPr>
            </w:pPr>
          </w:p>
        </w:tc>
      </w:tr>
      <w:tr w:rsidR="001834BD" w:rsidRPr="005A1961" w:rsidTr="00FA7FCF">
        <w:trPr>
          <w:cantSplit/>
          <w:trHeight w:val="668"/>
        </w:trPr>
        <w:tc>
          <w:tcPr>
            <w:tcW w:w="2835" w:type="dxa"/>
            <w:tcBorders>
              <w:right w:val="single" w:sz="2" w:space="0" w:color="auto"/>
            </w:tcBorders>
            <w:vAlign w:val="center"/>
          </w:tcPr>
          <w:p w:rsidR="001834BD" w:rsidRPr="005A1961" w:rsidRDefault="001834BD" w:rsidP="00FA7FCF">
            <w:pPr>
              <w:spacing w:before="0"/>
              <w:rPr>
                <w:b/>
                <w:bCs/>
              </w:rPr>
            </w:pPr>
            <w:bookmarkStart w:id="4" w:name="lt_pId452"/>
            <w:r w:rsidRPr="005A1961">
              <w:rPr>
                <w:b/>
                <w:bCs/>
              </w:rPr>
              <w:t>Referencia al proyecto de orden del día de la consulta virtual:</w:t>
            </w:r>
            <w:bookmarkEnd w:id="4"/>
          </w:p>
        </w:tc>
        <w:tc>
          <w:tcPr>
            <w:tcW w:w="72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834BD" w:rsidRPr="005A1961" w:rsidRDefault="00A6471C" w:rsidP="00FA7FCF">
            <w:pPr>
              <w:spacing w:before="240" w:after="120"/>
              <w:rPr>
                <w:b/>
                <w:bCs/>
              </w:rPr>
            </w:pPr>
            <w:r w:rsidRPr="005A1961">
              <w:rPr>
                <w:b/>
                <w:bCs/>
              </w:rPr>
              <w:t>Punto 15 adicional del orden del día: Repercusiones de la pandemia de COVID-19 en las operaciones y actividades de la UIT</w:t>
            </w:r>
          </w:p>
        </w:tc>
      </w:tr>
      <w:tr w:rsidR="001834BD" w:rsidRPr="005A1961" w:rsidTr="00FA7FCF">
        <w:trPr>
          <w:cantSplit/>
          <w:trHeight w:val="156"/>
        </w:trPr>
        <w:tc>
          <w:tcPr>
            <w:tcW w:w="2835" w:type="dxa"/>
          </w:tcPr>
          <w:p w:rsidR="001834BD" w:rsidRPr="005A1961" w:rsidRDefault="001834BD" w:rsidP="00FA7FCF">
            <w:pPr>
              <w:spacing w:before="0"/>
              <w:rPr>
                <w:sz w:val="16"/>
                <w:szCs w:val="16"/>
              </w:rPr>
            </w:pPr>
          </w:p>
        </w:tc>
        <w:tc>
          <w:tcPr>
            <w:tcW w:w="7258" w:type="dxa"/>
            <w:tcBorders>
              <w:top w:val="single" w:sz="12" w:space="0" w:color="auto"/>
              <w:bottom w:val="single" w:sz="2" w:space="0" w:color="auto"/>
            </w:tcBorders>
          </w:tcPr>
          <w:p w:rsidR="001834BD" w:rsidRPr="005A1961" w:rsidRDefault="001834BD" w:rsidP="00FA7FCF">
            <w:pPr>
              <w:spacing w:before="0"/>
              <w:rPr>
                <w:sz w:val="16"/>
                <w:szCs w:val="16"/>
              </w:rPr>
            </w:pPr>
          </w:p>
        </w:tc>
      </w:tr>
    </w:tbl>
    <w:p w:rsidR="001834BD" w:rsidRPr="005A1961" w:rsidRDefault="001834BD" w:rsidP="001834BD">
      <w:pPr>
        <w:rPr>
          <w:sz w:val="4"/>
          <w:szCs w:val="4"/>
        </w:rPr>
      </w:pPr>
    </w:p>
    <w:tbl>
      <w:tblPr>
        <w:tblW w:w="10093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10093"/>
      </w:tblGrid>
      <w:tr w:rsidR="001834BD" w:rsidRPr="005A1961" w:rsidTr="00FA7FCF">
        <w:trPr>
          <w:cantSplit/>
        </w:trPr>
        <w:tc>
          <w:tcPr>
            <w:tcW w:w="100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834BD" w:rsidRPr="005A1961" w:rsidRDefault="00A6471C" w:rsidP="00A6471C">
            <w:pPr>
              <w:pStyle w:val="Heading1"/>
              <w:rPr>
                <w:lang w:eastAsia="zh-CN"/>
              </w:rPr>
            </w:pPr>
            <w:r w:rsidRPr="005A1961">
              <w:rPr>
                <w:lang w:eastAsia="zh-CN"/>
              </w:rPr>
              <w:lastRenderedPageBreak/>
              <w:t>I</w:t>
            </w:r>
            <w:r w:rsidRPr="005A1961">
              <w:rPr>
                <w:lang w:eastAsia="zh-CN"/>
              </w:rPr>
              <w:tab/>
              <w:t>Antecedentes</w:t>
            </w:r>
          </w:p>
          <w:p w:rsidR="00A6471C" w:rsidRPr="005A1961" w:rsidRDefault="00A6471C" w:rsidP="00A6471C">
            <w:pPr>
              <w:rPr>
                <w:rFonts w:cs="Calibri"/>
                <w:shd w:val="clear" w:color="auto" w:fill="FFFFFF"/>
              </w:rPr>
            </w:pPr>
            <w:r w:rsidRPr="005A1961">
              <w:rPr>
                <w:shd w:val="clear" w:color="auto" w:fill="FFFFFF"/>
              </w:rPr>
              <w:t>Desde principios de 2020, la COVID-19 ha supuesto una enorme amenaza para la seguridad y la salud de toda la humanidad y ha tenido graves efectos en la economía mundial. A fin de contribuir a las medidas de respuesta mundial mediante la utilización de las tecnologías de la información, la UIT ha reforzado la colaboración con otras organizaciones internacionales. En abril, la UIT y la OMS emitieron una declaración conjunta, titulada</w:t>
            </w:r>
            <w:r w:rsidRPr="005A1961">
              <w:rPr>
                <w:i/>
                <w:iCs/>
                <w:shd w:val="clear" w:color="auto" w:fill="FFFFFF"/>
              </w:rPr>
              <w:t xml:space="preserve"> Desencadenar el potencial de la tecnología de la información para derrotar la COVID-19</w:t>
            </w:r>
            <w:r w:rsidRPr="005A1961">
              <w:rPr>
                <w:shd w:val="clear" w:color="auto" w:fill="FFFFFF"/>
              </w:rPr>
              <w:t>, y colaboraron con empresas de telecomunicaciones para enviar mensajes de texto a miles de millones de personas, que no pueden conectarse a Internet para obtener información, dirigiendo a sus teléfonos móviles por mensajería avisos vitales para la salud. La UIT también ha aunado esfuerzos con el Banco Mundial, la GSMA y el Foro Económico Mundial para poner en marcha un </w:t>
            </w:r>
            <w:hyperlink r:id="rId9" w:history="1">
              <w:r w:rsidRPr="005A1961">
                <w:rPr>
                  <w:rStyle w:val="Hyperlink"/>
                  <w:szCs w:val="24"/>
                  <w:shd w:val="clear" w:color="auto" w:fill="FFFFFF"/>
                </w:rPr>
                <w:t>plan de acción acelerado</w:t>
              </w:r>
            </w:hyperlink>
            <w:r w:rsidRPr="005A1961">
              <w:rPr>
                <w:rStyle w:val="FootnoteReference"/>
                <w:szCs w:val="24"/>
                <w:shd w:val="clear" w:color="auto" w:fill="FFFFFF"/>
              </w:rPr>
              <w:footnoteReference w:id="1"/>
            </w:r>
            <w:r w:rsidRPr="005A1961">
              <w:rPr>
                <w:shd w:val="clear" w:color="auto" w:fill="FFFFFF"/>
              </w:rPr>
              <w:t xml:space="preserve"> que propone una serie de objetivos, como gestionar la congestión de las redes, asegurar la continuidad de los servicios críticos, especialmente los servicios de salud, y mejorar la ciberseguridad. En el plan también se enuncian las medidas de respuesta inmediatas y a corto plazo. Se ha creado una plataforma de resiliencia de las redes (#</w:t>
            </w:r>
            <w:r w:rsidR="00FC7EFA">
              <w:rPr>
                <w:shd w:val="clear" w:color="auto" w:fill="FFFFFF"/>
              </w:rPr>
              <w:t> </w:t>
            </w:r>
            <w:r w:rsidRPr="005A1961">
              <w:rPr>
                <w:shd w:val="clear" w:color="auto" w:fill="FFFFFF"/>
              </w:rPr>
              <w:t>REG4COVID)</w:t>
            </w:r>
            <w:r w:rsidRPr="005A1961">
              <w:rPr>
                <w:rStyle w:val="FootnoteReference"/>
                <w:shd w:val="clear" w:color="auto" w:fill="FFFFFF"/>
              </w:rPr>
              <w:footnoteReference w:id="2"/>
            </w:r>
            <w:r w:rsidRPr="005A1961">
              <w:rPr>
                <w:shd w:val="clear" w:color="auto" w:fill="FFFFFF"/>
              </w:rPr>
              <w:t xml:space="preserve"> en la que los organismos reguladores, las empresas, las organizaciones independientes y otras entidades pueden compartir información y comunicar políticas, medidas y experiencias de respuesta frente a la pandemia. Encomiamos los citados esfuerzos de la UIT y las organizaciones internacionales pertinentes. Estas medidas ayudarán a los Estados Miembros a mejorar el nivel de gobernanza social durante la pandemia de COVID-19 y a recuperarse, lo antes posible, de los efectos de la crisis sanitaria en la economía y la sociedad.</w:t>
            </w:r>
          </w:p>
          <w:p w:rsidR="001834BD" w:rsidRPr="005A1961" w:rsidRDefault="00A6471C" w:rsidP="00A6471C">
            <w:pPr>
              <w:rPr>
                <w:lang w:eastAsia="zh-CN"/>
              </w:rPr>
            </w:pPr>
            <w:r w:rsidRPr="005A1961">
              <w:rPr>
                <w:shd w:val="clear" w:color="auto" w:fill="FFFFFF"/>
              </w:rPr>
              <w:t>Al mismo tiempo, también hemos visto la incidencia de la COVID-19 en la labor de la UIT y en la forma en que los Estados Miembros participan en sus reuniones. Al principio del brote, algunos Estados Miembros no pudieron asistir a las reuniones presenciales. Con la propagación mundial de la epidemia, muchas reuniones de la UIT se pospusieron o pasaron a celebrarse de manera virtual</w:t>
            </w:r>
            <w:r w:rsidRPr="005A1961">
              <w:rPr>
                <w:rStyle w:val="FootnoteReference"/>
                <w:shd w:val="clear" w:color="auto" w:fill="FFFFFF"/>
              </w:rPr>
              <w:footnoteReference w:id="3"/>
            </w:r>
            <w:r w:rsidRPr="005A1961">
              <w:rPr>
                <w:shd w:val="clear" w:color="auto" w:fill="FFFFFF"/>
              </w:rPr>
              <w:t xml:space="preserve">. En la actualidad, la participación a distancia se ha convertido en una forma común de participación de los Estados Miembros en las reuniones de la UIT. A juzgar por el resultado de los anteriores ensayos técnicos organizados por la Secretaría, la participación interactiva a distancia (IRP) puede ser de gran ayuda para los servicios de reuniones virtuales. Sin embargo, los procedimientos y el efecto de la participación a distancia deben especificarse en la reglamentación vigente de la UIT. La UIT ha estado estudiando activamente esta cuestión, y en la Resolución 167 (Rev. Dubái, 2018) de la Conferencia de Plenipotenciarios se </w:t>
            </w:r>
            <w:r w:rsidRPr="005A1961">
              <w:rPr>
                <w:i/>
                <w:iCs/>
                <w:shd w:val="clear" w:color="auto" w:fill="FFFFFF"/>
              </w:rPr>
              <w:t>resuelve</w:t>
            </w:r>
            <w:r w:rsidRPr="005A1961">
              <w:rPr>
                <w:shd w:val="clear" w:color="auto" w:fill="FFFFFF"/>
              </w:rPr>
              <w:t xml:space="preserve"> que </w:t>
            </w:r>
            <w:r w:rsidR="00434512" w:rsidRPr="005A1961">
              <w:rPr>
                <w:shd w:val="clear" w:color="auto" w:fill="FFFFFF"/>
              </w:rPr>
              <w:t>"</w:t>
            </w:r>
            <w:r w:rsidRPr="005A1961">
              <w:t>la Unión continúe estudiando qué consecuencias tiene la participación a distancia en el actual Reglamento General de las reuniones</w:t>
            </w:r>
            <w:r w:rsidR="00434512" w:rsidRPr="005A1961">
              <w:rPr>
                <w:shd w:val="clear" w:color="auto" w:fill="FFFFFF"/>
              </w:rPr>
              <w:t>"</w:t>
            </w:r>
            <w:r w:rsidRPr="005A1961">
              <w:rPr>
                <w:shd w:val="clear" w:color="auto" w:fill="FFFFFF"/>
              </w:rPr>
              <w:t xml:space="preserve">. Tras el estallido de la COVID-19, en una Carta Circular sobre la organización de una consulta virtual de los consejeros en 2020 se señaló que </w:t>
            </w:r>
            <w:r w:rsidR="00434512" w:rsidRPr="005A1961">
              <w:rPr>
                <w:shd w:val="clear" w:color="auto" w:fill="FFFFFF"/>
              </w:rPr>
              <w:t>"</w:t>
            </w:r>
            <w:r w:rsidRPr="005A1961">
              <w:rPr>
                <w:shd w:val="clear" w:color="auto" w:fill="FFFFFF"/>
              </w:rPr>
              <w:t>[l]a consulta virtual se limitará a elaborar conclusiones propuestas, en espera de acuerdos formales en la posterior reunión presencial del Consejo de 2020</w:t>
            </w:r>
            <w:r w:rsidR="00434512" w:rsidRPr="005A1961">
              <w:rPr>
                <w:shd w:val="clear" w:color="auto" w:fill="FFFFFF"/>
              </w:rPr>
              <w:t>"</w:t>
            </w:r>
            <w:r w:rsidRPr="005A1961">
              <w:rPr>
                <w:shd w:val="clear" w:color="auto" w:fill="FFFFFF"/>
              </w:rPr>
              <w:t xml:space="preserve"> </w:t>
            </w:r>
            <w:r w:rsidRPr="005A1961">
              <w:t xml:space="preserve">y que </w:t>
            </w:r>
            <w:r w:rsidR="00434512" w:rsidRPr="005A1961">
              <w:t>"</w:t>
            </w:r>
            <w:r w:rsidRPr="005A1961">
              <w:t>[s]i [...] algún Estado Miembro del Consejo quiere que se aplace un documento o una conclusión según lo indicado anteriormente, se aplazará hasta la posterior reunión presencial del Consejo de 2020</w:t>
            </w:r>
            <w:r w:rsidR="00434512" w:rsidRPr="005A1961">
              <w:rPr>
                <w:shd w:val="clear" w:color="auto" w:fill="FFFFFF"/>
              </w:rPr>
              <w:t>"</w:t>
            </w:r>
            <w:r w:rsidRPr="005A1961">
              <w:rPr>
                <w:shd w:val="clear" w:color="auto" w:fill="FFFFFF"/>
              </w:rPr>
              <w:t>. En 2020, la UIT convocará eventos de toma de decisiones como la reunión del Consejo de 2020 y la Asamblea Mundial de Normalización de las Telecomunicaciones (AMNT) y se ocupará de cuestiones como las repercusiones financieras de la CMR-19. Estos temas son importantes tanto para las actividades de la UIT como para el desarrollo de la labor de normalización mundial. Dado que la pandemia sigue siendo prevalente y persisten las incertidumbres sobre la convocatoria de la reunión física, es conveniente que se celebren debates sustanciales durante las reuniones virtuales a fin de llegar a un consenso.</w:t>
            </w:r>
          </w:p>
          <w:p w:rsidR="00A6471C" w:rsidRPr="005A1961" w:rsidRDefault="00A6471C" w:rsidP="00A6471C">
            <w:pPr>
              <w:pStyle w:val="Heading1"/>
              <w:rPr>
                <w:rFonts w:eastAsia="仿宋" w:cs="Calibri"/>
              </w:rPr>
            </w:pPr>
            <w:r w:rsidRPr="005A1961">
              <w:lastRenderedPageBreak/>
              <w:t>II</w:t>
            </w:r>
            <w:r w:rsidRPr="005A1961">
              <w:tab/>
              <w:t xml:space="preserve">Propuesta </w:t>
            </w:r>
          </w:p>
          <w:p w:rsidR="00A6471C" w:rsidRPr="005A1961" w:rsidRDefault="00A6471C" w:rsidP="00A6471C">
            <w:pPr>
              <w:rPr>
                <w:rFonts w:eastAsiaTheme="minorEastAsia" w:cs="Calibri"/>
                <w:shd w:val="clear" w:color="auto" w:fill="FFFFFF"/>
              </w:rPr>
            </w:pPr>
            <w:r w:rsidRPr="005A1961">
              <w:rPr>
                <w:shd w:val="clear" w:color="auto" w:fill="FFFFFF"/>
              </w:rPr>
              <w:t xml:space="preserve">Como consecuencia de la pandemia, la participación a distancia en reuniones, negocios y actividades formativas mediante las TIC puede consolidarse como la </w:t>
            </w:r>
            <w:r w:rsidR="00434512" w:rsidRPr="005A1961">
              <w:rPr>
                <w:shd w:val="clear" w:color="auto" w:fill="FFFFFF"/>
              </w:rPr>
              <w:t>"</w:t>
            </w:r>
            <w:r w:rsidRPr="005A1961">
              <w:rPr>
                <w:shd w:val="clear" w:color="auto" w:fill="FFFFFF"/>
              </w:rPr>
              <w:t>Nueva Normalidad</w:t>
            </w:r>
            <w:r w:rsidR="00434512" w:rsidRPr="005A1961">
              <w:rPr>
                <w:shd w:val="clear" w:color="auto" w:fill="FFFFFF"/>
              </w:rPr>
              <w:t>"</w:t>
            </w:r>
            <w:r w:rsidRPr="005A1961">
              <w:rPr>
                <w:shd w:val="clear" w:color="auto" w:fill="FFFFFF"/>
              </w:rPr>
              <w:t xml:space="preserve"> en el trabajo y la vida de las personas. En la actualidad, sigue existiendo una brecha entre los países en desarrollo y los desarrollados en lo que respecta a la infraestructura de redes, la asequibilidad de los servicios internacionales de datos y las competencias en materia de TIC. Sería aconsejable que la UIT ajustara en consecuencia sus políticas y normas conexas para prestar más ayuda a los Estados Miembros, especialmente a los países en desarrollo, a fin de promover la organización de acontecimientos y reuniones importantes por medios telemáticos. Por estas razones, proponemos que la UIT adopte las siguientes medidas:  </w:t>
            </w:r>
          </w:p>
          <w:p w:rsidR="00A6471C" w:rsidRPr="005A1961" w:rsidRDefault="00A6471C" w:rsidP="00A6471C">
            <w:pPr>
              <w:pStyle w:val="enumlev1"/>
              <w:rPr>
                <w:rFonts w:eastAsia="仿宋" w:cs="Calibri"/>
                <w:szCs w:val="24"/>
              </w:rPr>
            </w:pPr>
            <w:r w:rsidRPr="005A1961">
              <w:t>•</w:t>
            </w:r>
            <w:r w:rsidRPr="005A1961">
              <w:tab/>
            </w:r>
            <w:r w:rsidRPr="005A1961">
              <w:t>Ampliar la dotación de capital y de tecnología y utilizar activamente la 5G, la realidad virtual, la inteligencia artificial y otras tecnologías para enriquecer los medios de participación, mejorar el efecto de la participación y asegurar que las reuniones y actividades a distancia discurran sin contratiempos.</w:t>
            </w:r>
          </w:p>
          <w:p w:rsidR="00A6471C" w:rsidRPr="005A1961" w:rsidRDefault="00A6471C" w:rsidP="00A6471C">
            <w:pPr>
              <w:pStyle w:val="enumlev1"/>
              <w:rPr>
                <w:rFonts w:eastAsia="仿宋" w:cs="Calibri"/>
                <w:szCs w:val="24"/>
              </w:rPr>
            </w:pPr>
            <w:r w:rsidRPr="005A1961">
              <w:t>•</w:t>
            </w:r>
            <w:r w:rsidRPr="005A1961">
              <w:tab/>
            </w:r>
            <w:r w:rsidRPr="005A1961">
              <w:rPr>
                <w:szCs w:val="24"/>
                <w:shd w:val="clear" w:color="auto" w:fill="FFFFFF"/>
              </w:rPr>
              <w:t xml:space="preserve">Estudiar y elaborar directrices para la participación a distancia en reuniones importantes de la UIT, determinar los procesos de participación y adopción de decisiones a distancia con miras a la posterior redacción de los acuerdos pertinentes del Consejo. Entretanto, se invita al UIT-R, al UIT-T y al UIT-D a participar en los trabajos conexos. </w:t>
            </w:r>
          </w:p>
          <w:p w:rsidR="00A6471C" w:rsidRPr="005A1961" w:rsidRDefault="00A6471C" w:rsidP="00A6471C">
            <w:pPr>
              <w:pStyle w:val="enumlev1"/>
              <w:rPr>
                <w:rFonts w:eastAsia="仿宋" w:cs="Calibri"/>
                <w:szCs w:val="24"/>
              </w:rPr>
            </w:pPr>
            <w:r w:rsidRPr="005A1961">
              <w:t>•</w:t>
            </w:r>
            <w:r w:rsidRPr="005A1961">
              <w:tab/>
              <w:t>Aumentar el apoyo financiero y técnico a los países en desarrollo e impulsar la correspondiente creación de capacidades para garantizar que los representantes de los países en desarrollo, especialmente los de los países menos adelantados, puedan participar en reuniones a distancia de manera eficaz y en igualdad de condiciones.</w:t>
            </w:r>
          </w:p>
          <w:p w:rsidR="001834BD" w:rsidRPr="005A1961" w:rsidRDefault="00FC7EFA" w:rsidP="00FC7EFA">
            <w:pPr>
              <w:pStyle w:val="enumlev1"/>
              <w:rPr>
                <w:szCs w:val="24"/>
                <w:lang w:eastAsia="zh-CN"/>
              </w:rPr>
            </w:pPr>
            <w:r w:rsidRPr="005A1961">
              <w:t>•</w:t>
            </w:r>
            <w:r w:rsidRPr="005A1961">
              <w:tab/>
            </w:r>
            <w:r w:rsidR="00A6471C" w:rsidRPr="005A1961">
              <w:t xml:space="preserve">Seguir fortaleciendo la cooperación con otras organizaciones internacionales, conceder pleno protagonismo al importante papel de las TIC en la lucha mundial contra la pandemia y alentar a los </w:t>
            </w:r>
            <w:r w:rsidRPr="005A1961">
              <w:t>mie</w:t>
            </w:r>
            <w:bookmarkStart w:id="5" w:name="_GoBack"/>
            <w:bookmarkEnd w:id="5"/>
            <w:r w:rsidRPr="005A1961">
              <w:t xml:space="preserve">mbros </w:t>
            </w:r>
            <w:r w:rsidR="00A6471C" w:rsidRPr="005A1961">
              <w:t>a que participen activamente en las actividades y plataformas digitales pertinentes de respuesta a la COVID-19, y a que pongan en común sus tecnologías, experiencias y prácticas.</w:t>
            </w:r>
          </w:p>
        </w:tc>
      </w:tr>
    </w:tbl>
    <w:p w:rsidR="00B836A4" w:rsidRPr="005A1961" w:rsidRDefault="00B836A4" w:rsidP="00411C49">
      <w:pPr>
        <w:pStyle w:val="Reasons"/>
      </w:pPr>
    </w:p>
    <w:p w:rsidR="00B836A4" w:rsidRPr="005A1961" w:rsidRDefault="00B836A4">
      <w:pPr>
        <w:jc w:val="center"/>
      </w:pPr>
      <w:r w:rsidRPr="005A1961">
        <w:t>______________</w:t>
      </w:r>
    </w:p>
    <w:sectPr w:rsidR="00B836A4" w:rsidRPr="005A1961" w:rsidSect="006710F6">
      <w:headerReference w:type="default" r:id="rId10"/>
      <w:footerReference w:type="default" r:id="rId11"/>
      <w:footerReference w:type="first" r:id="rId12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0F75" w:rsidRDefault="00C10F75">
      <w:r>
        <w:separator/>
      </w:r>
    </w:p>
  </w:endnote>
  <w:endnote w:type="continuationSeparator" w:id="0">
    <w:p w:rsidR="00C10F75" w:rsidRDefault="00C10F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altName w:val="Microsoft YaHei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0F1C" w:rsidRDefault="005A1961" w:rsidP="005A1961">
    <w:pPr>
      <w:pStyle w:val="Footer"/>
      <w:rPr>
        <w:lang w:val="en-US"/>
      </w:rPr>
    </w:pPr>
    <w:fldSimple w:instr=" FILENAME \p  \* MERGEFORMAT ">
      <w:r>
        <w:t>P:\ESP\SG\CONSEIL\VC\000\010S.docx</w:t>
      </w:r>
    </w:fldSimple>
    <w:r>
      <w:t xml:space="preserve"> (471799)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0F1C" w:rsidRDefault="00760F1C">
    <w:pPr>
      <w:spacing w:after="120"/>
      <w:jc w:val="center"/>
    </w:pPr>
    <w:r>
      <w:t xml:space="preserve">• </w:t>
    </w:r>
    <w:hyperlink r:id="rId1" w:history="1">
      <w:r>
        <w:rPr>
          <w:rStyle w:val="Hyperlink"/>
        </w:rPr>
        <w:t>http://www.itu.int/council</w:t>
      </w:r>
    </w:hyperlink>
    <w:r>
      <w:t xml:space="preserve"> •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0F75" w:rsidRDefault="00C10F75">
      <w:r>
        <w:t>____________________</w:t>
      </w:r>
    </w:p>
  </w:footnote>
  <w:footnote w:type="continuationSeparator" w:id="0">
    <w:p w:rsidR="00C10F75" w:rsidRDefault="00C10F75">
      <w:r>
        <w:continuationSeparator/>
      </w:r>
    </w:p>
  </w:footnote>
  <w:footnote w:id="1">
    <w:p w:rsidR="00A6471C" w:rsidRPr="00A6471C" w:rsidRDefault="00A6471C">
      <w:pPr>
        <w:pStyle w:val="FootnoteText"/>
        <w:rPr>
          <w:lang w:val="es-ES"/>
        </w:rPr>
      </w:pPr>
      <w:r>
        <w:rPr>
          <w:rStyle w:val="FootnoteReference"/>
        </w:rPr>
        <w:footnoteRef/>
      </w:r>
      <w:r>
        <w:tab/>
      </w:r>
      <w:hyperlink r:id="rId1" w:history="1">
        <w:r w:rsidRPr="00A6471C">
          <w:rPr>
            <w:rStyle w:val="Hyperlink"/>
            <w:szCs w:val="24"/>
          </w:rPr>
          <w:t>http://pubdocs.worldbank.org/en/788991588006445890/Speedboat-Partners-COVID-19-Digital-Development-Joint-Action-Plan.pdf</w:t>
        </w:r>
      </w:hyperlink>
      <w:r w:rsidRPr="00A6471C">
        <w:rPr>
          <w:szCs w:val="24"/>
        </w:rPr>
        <w:t>.</w:t>
      </w:r>
    </w:p>
  </w:footnote>
  <w:footnote w:id="2">
    <w:p w:rsidR="00A6471C" w:rsidRPr="00A6471C" w:rsidRDefault="00A6471C">
      <w:pPr>
        <w:pStyle w:val="FootnoteText"/>
      </w:pPr>
      <w:r>
        <w:rPr>
          <w:rStyle w:val="FootnoteReference"/>
        </w:rPr>
        <w:footnoteRef/>
      </w:r>
      <w:r>
        <w:tab/>
      </w:r>
      <w:hyperlink r:id="rId2" w:history="1">
        <w:r w:rsidRPr="00A6471C">
          <w:rPr>
            <w:rStyle w:val="Hyperlink"/>
            <w:szCs w:val="24"/>
          </w:rPr>
          <w:t>https://www.itu.int/en/ITU-D/Regulatory-Market/Pages/REG4COVID.aspx</w:t>
        </w:r>
      </w:hyperlink>
      <w:r w:rsidRPr="00A6471C">
        <w:rPr>
          <w:szCs w:val="24"/>
        </w:rPr>
        <w:t>.</w:t>
      </w:r>
    </w:p>
  </w:footnote>
  <w:footnote w:id="3">
    <w:p w:rsidR="00A6471C" w:rsidRPr="00A6471C" w:rsidRDefault="00A6471C">
      <w:pPr>
        <w:pStyle w:val="FootnoteText"/>
        <w:rPr>
          <w:szCs w:val="24"/>
          <w:lang w:val="es-ES"/>
        </w:rPr>
      </w:pPr>
      <w:r>
        <w:rPr>
          <w:rStyle w:val="FootnoteReference"/>
        </w:rPr>
        <w:footnoteRef/>
      </w:r>
      <w:r>
        <w:tab/>
      </w:r>
      <w:r w:rsidRPr="00A6471C">
        <w:rPr>
          <w:szCs w:val="24"/>
        </w:rPr>
        <w:t>La UIT anunció que del 16 de marzo al 17 de abril de 2020, a menos que se notifique lo contrario, todas las reuniones internacionales que se celebren en sus instalaciones serán reuniones a distancia.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0F1C" w:rsidRDefault="000B7C15" w:rsidP="007657F0">
    <w:pPr>
      <w:pStyle w:val="Header"/>
    </w:pPr>
    <w:r>
      <w:fldChar w:fldCharType="begin"/>
    </w:r>
    <w:r>
      <w:instrText>PAGE</w:instrText>
    </w:r>
    <w:r>
      <w:fldChar w:fldCharType="separate"/>
    </w:r>
    <w:r w:rsidR="00FC7EFA">
      <w:rPr>
        <w:noProof/>
      </w:rPr>
      <w:t>3</w:t>
    </w:r>
    <w:r>
      <w:rPr>
        <w:noProof/>
      </w:rPr>
      <w:fldChar w:fldCharType="end"/>
    </w:r>
  </w:p>
  <w:p w:rsidR="00760F1C" w:rsidRDefault="001834BD" w:rsidP="00C2727F">
    <w:pPr>
      <w:pStyle w:val="Header"/>
    </w:pPr>
    <w:r>
      <w:t>VC</w:t>
    </w:r>
    <w:r w:rsidR="00760F1C">
      <w:t>/</w:t>
    </w:r>
    <w:r w:rsidR="00B836A4">
      <w:t>10</w:t>
    </w:r>
    <w:r w:rsidR="00760F1C">
      <w:t>-S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382D56"/>
    <w:multiLevelType w:val="hybridMultilevel"/>
    <w:tmpl w:val="08EE0098"/>
    <w:lvl w:ilvl="0" w:tplc="73108ADC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34BD"/>
    <w:rsid w:val="00093EEB"/>
    <w:rsid w:val="000B0D00"/>
    <w:rsid w:val="000B7C15"/>
    <w:rsid w:val="000D1D0F"/>
    <w:rsid w:val="000F5290"/>
    <w:rsid w:val="0010165C"/>
    <w:rsid w:val="00146BFB"/>
    <w:rsid w:val="001834BD"/>
    <w:rsid w:val="001F14A2"/>
    <w:rsid w:val="002801AA"/>
    <w:rsid w:val="002C4676"/>
    <w:rsid w:val="002C70B0"/>
    <w:rsid w:val="002F3CC4"/>
    <w:rsid w:val="00434512"/>
    <w:rsid w:val="00491AC1"/>
    <w:rsid w:val="00513630"/>
    <w:rsid w:val="00560125"/>
    <w:rsid w:val="00585553"/>
    <w:rsid w:val="005A1961"/>
    <w:rsid w:val="005B34D9"/>
    <w:rsid w:val="005D0CCF"/>
    <w:rsid w:val="005F3BCB"/>
    <w:rsid w:val="005F410F"/>
    <w:rsid w:val="0060149A"/>
    <w:rsid w:val="00601924"/>
    <w:rsid w:val="006447EA"/>
    <w:rsid w:val="0064731F"/>
    <w:rsid w:val="00664572"/>
    <w:rsid w:val="006710F6"/>
    <w:rsid w:val="006C1B56"/>
    <w:rsid w:val="006D4761"/>
    <w:rsid w:val="00726872"/>
    <w:rsid w:val="00760F1C"/>
    <w:rsid w:val="007657F0"/>
    <w:rsid w:val="0077252D"/>
    <w:rsid w:val="007955DA"/>
    <w:rsid w:val="007E5DD3"/>
    <w:rsid w:val="007F350B"/>
    <w:rsid w:val="00820BE4"/>
    <w:rsid w:val="008451E8"/>
    <w:rsid w:val="00913B9C"/>
    <w:rsid w:val="00956E77"/>
    <w:rsid w:val="009F4811"/>
    <w:rsid w:val="00A6471C"/>
    <w:rsid w:val="00AA390C"/>
    <w:rsid w:val="00B0200A"/>
    <w:rsid w:val="00B574DB"/>
    <w:rsid w:val="00B826C2"/>
    <w:rsid w:val="00B8298E"/>
    <w:rsid w:val="00B836A4"/>
    <w:rsid w:val="00BD0723"/>
    <w:rsid w:val="00BD2518"/>
    <w:rsid w:val="00BF1D1C"/>
    <w:rsid w:val="00C10F75"/>
    <w:rsid w:val="00C20C59"/>
    <w:rsid w:val="00C2727F"/>
    <w:rsid w:val="00C55B1F"/>
    <w:rsid w:val="00CB034A"/>
    <w:rsid w:val="00CF1A67"/>
    <w:rsid w:val="00D2750E"/>
    <w:rsid w:val="00D62446"/>
    <w:rsid w:val="00DA4EA2"/>
    <w:rsid w:val="00DC3D3E"/>
    <w:rsid w:val="00DE2C90"/>
    <w:rsid w:val="00DE3B24"/>
    <w:rsid w:val="00E06947"/>
    <w:rsid w:val="00E3592D"/>
    <w:rsid w:val="00E92DE8"/>
    <w:rsid w:val="00EB1212"/>
    <w:rsid w:val="00ED65AB"/>
    <w:rsid w:val="00F12850"/>
    <w:rsid w:val="00F33BF4"/>
    <w:rsid w:val="00F7105E"/>
    <w:rsid w:val="00F75F57"/>
    <w:rsid w:val="00F82FEE"/>
    <w:rsid w:val="00FC7EFA"/>
    <w:rsid w:val="00FD57D3"/>
    <w:rsid w:val="00FF1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4905CE4"/>
  <w15:docId w15:val="{E15BAF4D-7E8C-4326-8B80-9001002E9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B0D00"/>
    <w:pPr>
      <w:tabs>
        <w:tab w:val="left" w:pos="567"/>
        <w:tab w:val="left" w:pos="1134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rsid w:val="000B0D00"/>
    <w:pPr>
      <w:keepNext/>
      <w:keepLines/>
      <w:spacing w:before="480"/>
      <w:ind w:left="567" w:hanging="567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0B0D00"/>
    <w:pPr>
      <w:spacing w:before="32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0B0D00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0B0D00"/>
    <w:pPr>
      <w:ind w:left="1134" w:hanging="1134"/>
      <w:outlineLvl w:val="3"/>
    </w:pPr>
  </w:style>
  <w:style w:type="paragraph" w:styleId="Heading5">
    <w:name w:val="heading 5"/>
    <w:basedOn w:val="Heading4"/>
    <w:next w:val="Normal"/>
    <w:qFormat/>
    <w:rsid w:val="000B0D00"/>
    <w:pPr>
      <w:outlineLvl w:val="4"/>
    </w:pPr>
  </w:style>
  <w:style w:type="paragraph" w:styleId="Heading6">
    <w:name w:val="heading 6"/>
    <w:basedOn w:val="Heading4"/>
    <w:next w:val="Normal"/>
    <w:qFormat/>
    <w:rsid w:val="000B0D00"/>
    <w:pPr>
      <w:outlineLvl w:val="5"/>
    </w:pPr>
  </w:style>
  <w:style w:type="paragraph" w:styleId="Heading7">
    <w:name w:val="heading 7"/>
    <w:basedOn w:val="Heading4"/>
    <w:next w:val="Normal"/>
    <w:qFormat/>
    <w:rsid w:val="000B0D00"/>
    <w:pPr>
      <w:ind w:left="1701" w:hanging="1701"/>
      <w:outlineLvl w:val="6"/>
    </w:pPr>
  </w:style>
  <w:style w:type="paragraph" w:styleId="Heading8">
    <w:name w:val="heading 8"/>
    <w:basedOn w:val="Heading4"/>
    <w:next w:val="Normal"/>
    <w:qFormat/>
    <w:rsid w:val="000B0D00"/>
    <w:pPr>
      <w:ind w:left="1701" w:hanging="1701"/>
      <w:outlineLvl w:val="7"/>
    </w:pPr>
  </w:style>
  <w:style w:type="paragraph" w:styleId="Heading9">
    <w:name w:val="heading 9"/>
    <w:basedOn w:val="Heading4"/>
    <w:next w:val="Normal"/>
    <w:qFormat/>
    <w:rsid w:val="000B0D00"/>
    <w:pPr>
      <w:ind w:left="1701" w:hanging="1701"/>
      <w:outlineLvl w:val="8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6710F6"/>
  </w:style>
  <w:style w:type="paragraph" w:styleId="TOC4">
    <w:name w:val="toc 4"/>
    <w:basedOn w:val="Normal"/>
    <w:next w:val="Normal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pos="8789"/>
        <w:tab w:val="right" w:pos="9639"/>
      </w:tabs>
      <w:ind w:left="964" w:hanging="964"/>
    </w:pPr>
  </w:style>
  <w:style w:type="paragraph" w:styleId="TOC3">
    <w:name w:val="toc 3"/>
    <w:basedOn w:val="Normal"/>
    <w:next w:val="Normal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2">
    <w:name w:val="toc 2"/>
    <w:basedOn w:val="Normal"/>
    <w:next w:val="Normal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1">
    <w:name w:val="toc 1"/>
    <w:basedOn w:val="Normal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spacing w:before="240"/>
      <w:ind w:left="964" w:hanging="964"/>
    </w:pPr>
  </w:style>
  <w:style w:type="paragraph" w:styleId="TOC7">
    <w:name w:val="toc 7"/>
    <w:basedOn w:val="Normal"/>
    <w:next w:val="Normal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6">
    <w:name w:val="toc 6"/>
    <w:basedOn w:val="Normal"/>
    <w:next w:val="Normal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5">
    <w:name w:val="toc 5"/>
    <w:basedOn w:val="Normal"/>
    <w:next w:val="Normal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Index7">
    <w:name w:val="index 7"/>
    <w:basedOn w:val="Normal"/>
    <w:next w:val="Normal"/>
    <w:rsid w:val="006710F6"/>
    <w:pPr>
      <w:ind w:left="1698"/>
    </w:pPr>
  </w:style>
  <w:style w:type="paragraph" w:styleId="Index6">
    <w:name w:val="index 6"/>
    <w:basedOn w:val="Normal"/>
    <w:next w:val="Normal"/>
    <w:rsid w:val="006710F6"/>
    <w:pPr>
      <w:ind w:left="1415"/>
    </w:pPr>
  </w:style>
  <w:style w:type="paragraph" w:styleId="Index5">
    <w:name w:val="index 5"/>
    <w:basedOn w:val="Normal"/>
    <w:next w:val="Normal"/>
    <w:rsid w:val="006710F6"/>
    <w:pPr>
      <w:ind w:left="1132"/>
    </w:pPr>
  </w:style>
  <w:style w:type="paragraph" w:styleId="Index4">
    <w:name w:val="index 4"/>
    <w:basedOn w:val="Normal"/>
    <w:next w:val="Normal"/>
    <w:rsid w:val="006710F6"/>
    <w:pPr>
      <w:ind w:left="849"/>
    </w:pPr>
  </w:style>
  <w:style w:type="paragraph" w:styleId="Index3">
    <w:name w:val="index 3"/>
    <w:basedOn w:val="Normal"/>
    <w:next w:val="Normal"/>
    <w:rsid w:val="006710F6"/>
    <w:pPr>
      <w:ind w:left="566"/>
    </w:pPr>
  </w:style>
  <w:style w:type="paragraph" w:styleId="Index2">
    <w:name w:val="index 2"/>
    <w:basedOn w:val="Normal"/>
    <w:next w:val="Normal"/>
    <w:rsid w:val="006710F6"/>
    <w:pPr>
      <w:ind w:left="283"/>
    </w:pPr>
  </w:style>
  <w:style w:type="paragraph" w:styleId="Index1">
    <w:name w:val="index 1"/>
    <w:basedOn w:val="Normal"/>
    <w:next w:val="Normal"/>
    <w:rsid w:val="006710F6"/>
  </w:style>
  <w:style w:type="character" w:styleId="LineNumber">
    <w:name w:val="line number"/>
    <w:basedOn w:val="DefaultParagraphFont"/>
    <w:rsid w:val="006710F6"/>
  </w:style>
  <w:style w:type="paragraph" w:styleId="IndexHeading">
    <w:name w:val="index heading"/>
    <w:basedOn w:val="Normal"/>
    <w:next w:val="Index1"/>
    <w:rsid w:val="006710F6"/>
  </w:style>
  <w:style w:type="paragraph" w:styleId="Footer">
    <w:name w:val="footer"/>
    <w:basedOn w:val="Normal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styleId="Header">
    <w:name w:val="header"/>
    <w:basedOn w:val="Normal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0"/>
      <w:jc w:val="center"/>
    </w:pPr>
    <w:rPr>
      <w:sz w:val="18"/>
    </w:rPr>
  </w:style>
  <w:style w:type="character" w:styleId="FootnoteReference">
    <w:name w:val="footnote reference"/>
    <w:basedOn w:val="DefaultParagraphFont"/>
    <w:uiPriority w:val="99"/>
    <w:qFormat/>
    <w:rsid w:val="000B0D00"/>
    <w:rPr>
      <w:position w:val="6"/>
      <w:sz w:val="16"/>
    </w:rPr>
  </w:style>
  <w:style w:type="paragraph" w:styleId="FootnoteText">
    <w:name w:val="footnote text"/>
    <w:basedOn w:val="Normal"/>
    <w:link w:val="FootnoteTextChar"/>
    <w:uiPriority w:val="99"/>
    <w:qFormat/>
    <w:rsid w:val="000B0D00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rsid w:val="000B0D00"/>
    <w:pPr>
      <w:ind w:left="567"/>
    </w:pPr>
  </w:style>
  <w:style w:type="paragraph" w:customStyle="1" w:styleId="AnnexNo">
    <w:name w:val="Annex_No"/>
    <w:basedOn w:val="Normal"/>
    <w:next w:val="Annexref"/>
    <w:rsid w:val="000B0D00"/>
    <w:pPr>
      <w:spacing w:before="720"/>
      <w:jc w:val="center"/>
    </w:pPr>
    <w:rPr>
      <w:caps/>
      <w:sz w:val="28"/>
    </w:rPr>
  </w:style>
  <w:style w:type="paragraph" w:customStyle="1" w:styleId="Annextitle">
    <w:name w:val="Annex_title"/>
    <w:basedOn w:val="Normal"/>
    <w:next w:val="Normal"/>
    <w:rsid w:val="000B0D00"/>
    <w:pPr>
      <w:spacing w:before="240" w:after="240"/>
      <w:jc w:val="center"/>
    </w:pPr>
    <w:rPr>
      <w:b/>
      <w:sz w:val="28"/>
    </w:rPr>
  </w:style>
  <w:style w:type="paragraph" w:customStyle="1" w:styleId="Annexref">
    <w:name w:val="Annex_ref"/>
    <w:basedOn w:val="Normal"/>
    <w:next w:val="Annextitle"/>
    <w:rsid w:val="000B0D00"/>
    <w:pPr>
      <w:jc w:val="center"/>
    </w:pPr>
    <w:rPr>
      <w:sz w:val="28"/>
    </w:rPr>
  </w:style>
  <w:style w:type="paragraph" w:customStyle="1" w:styleId="Normalaftertitle">
    <w:name w:val="Normal after title"/>
    <w:basedOn w:val="Normal"/>
    <w:next w:val="Normal"/>
    <w:rsid w:val="000B0D00"/>
    <w:pPr>
      <w:spacing w:before="240"/>
    </w:pPr>
  </w:style>
  <w:style w:type="paragraph" w:customStyle="1" w:styleId="AppendixNo">
    <w:name w:val="Appendix_No"/>
    <w:basedOn w:val="AnnexNo"/>
    <w:next w:val="Appendixref"/>
    <w:rsid w:val="000B0D00"/>
  </w:style>
  <w:style w:type="paragraph" w:customStyle="1" w:styleId="Appendixtitle">
    <w:name w:val="Appendix_title"/>
    <w:basedOn w:val="Annextitle"/>
    <w:next w:val="Normal"/>
    <w:rsid w:val="000B0D00"/>
  </w:style>
  <w:style w:type="paragraph" w:customStyle="1" w:styleId="Appendixref">
    <w:name w:val="Appendix_ref"/>
    <w:basedOn w:val="Annexref"/>
    <w:next w:val="Appendixtitle"/>
    <w:rsid w:val="000B0D00"/>
  </w:style>
  <w:style w:type="paragraph" w:customStyle="1" w:styleId="enumlev1">
    <w:name w:val="enumlev1"/>
    <w:basedOn w:val="Normal"/>
    <w:rsid w:val="000B0D00"/>
    <w:pPr>
      <w:spacing w:before="86"/>
      <w:ind w:left="567" w:hanging="567"/>
    </w:pPr>
  </w:style>
  <w:style w:type="paragraph" w:customStyle="1" w:styleId="enumlev2">
    <w:name w:val="enumlev2"/>
    <w:basedOn w:val="enumlev1"/>
    <w:rsid w:val="000B0D00"/>
    <w:pPr>
      <w:ind w:left="1134"/>
    </w:pPr>
  </w:style>
  <w:style w:type="paragraph" w:customStyle="1" w:styleId="enumlev3">
    <w:name w:val="enumlev3"/>
    <w:basedOn w:val="enumlev2"/>
    <w:rsid w:val="000B0D00"/>
    <w:pPr>
      <w:ind w:left="1701"/>
    </w:pPr>
  </w:style>
  <w:style w:type="paragraph" w:customStyle="1" w:styleId="Artheading">
    <w:name w:val="Art_heading"/>
    <w:basedOn w:val="Normal"/>
    <w:next w:val="Normalaftertitle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480"/>
      <w:jc w:val="center"/>
    </w:pPr>
    <w:rPr>
      <w:b/>
    </w:rPr>
  </w:style>
  <w:style w:type="paragraph" w:customStyle="1" w:styleId="ArtNo">
    <w:name w:val="Art_No"/>
    <w:basedOn w:val="Normal"/>
    <w:next w:val="Arttitle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60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240" w:after="240"/>
      <w:jc w:val="center"/>
    </w:pPr>
    <w:rPr>
      <w:b/>
      <w:sz w:val="28"/>
    </w:rPr>
  </w:style>
  <w:style w:type="paragraph" w:customStyle="1" w:styleId="Call">
    <w:name w:val="Call"/>
    <w:basedOn w:val="Normal"/>
    <w:next w:val="Normal"/>
    <w:rsid w:val="000B0D00"/>
    <w:pPr>
      <w:keepNext/>
      <w:keepLines/>
      <w:tabs>
        <w:tab w:val="clear" w:pos="1134"/>
        <w:tab w:val="clear" w:pos="1701"/>
        <w:tab w:val="clear" w:pos="2268"/>
        <w:tab w:val="clear" w:pos="2835"/>
      </w:tabs>
      <w:spacing w:before="160"/>
      <w:ind w:left="567"/>
    </w:pPr>
    <w:rPr>
      <w:i/>
    </w:rPr>
  </w:style>
  <w:style w:type="paragraph" w:customStyle="1" w:styleId="ChapNo">
    <w:name w:val="Chap_No"/>
    <w:basedOn w:val="ArtNo"/>
    <w:next w:val="Chaptitle"/>
    <w:rsid w:val="000B0D00"/>
  </w:style>
  <w:style w:type="paragraph" w:customStyle="1" w:styleId="Chaptitle">
    <w:name w:val="Chap_title"/>
    <w:basedOn w:val="Arttitle"/>
    <w:next w:val="Normal"/>
    <w:rsid w:val="000B0D00"/>
  </w:style>
  <w:style w:type="paragraph" w:customStyle="1" w:styleId="Equationlegend">
    <w:name w:val="Equation_legend"/>
    <w:basedOn w:val="NormalIndent"/>
    <w:rsid w:val="006710F6"/>
    <w:pPr>
      <w:tabs>
        <w:tab w:val="right" w:pos="1531"/>
      </w:tabs>
      <w:spacing w:before="80"/>
      <w:ind w:left="1701" w:hanging="1701"/>
    </w:pPr>
  </w:style>
  <w:style w:type="paragraph" w:customStyle="1" w:styleId="Figure">
    <w:name w:val="Figure"/>
    <w:basedOn w:val="Normal"/>
    <w:next w:val="Figuretitle"/>
    <w:rsid w:val="006710F6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6710F6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2948"/>
        <w:tab w:val="left" w:pos="4082"/>
      </w:tabs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0B0D00"/>
    <w:pPr>
      <w:keepNext/>
      <w:spacing w:before="560" w:after="120"/>
      <w:jc w:val="center"/>
    </w:pPr>
    <w:rPr>
      <w:caps/>
    </w:rPr>
  </w:style>
  <w:style w:type="paragraph" w:customStyle="1" w:styleId="Tabletext">
    <w:name w:val="Table_text"/>
    <w:basedOn w:val="Normal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60" w:after="60"/>
    </w:pPr>
    <w:rPr>
      <w:sz w:val="22"/>
    </w:rPr>
  </w:style>
  <w:style w:type="paragraph" w:customStyle="1" w:styleId="Figurelegend">
    <w:name w:val="Figure_legend"/>
    <w:basedOn w:val="Normal"/>
    <w:rsid w:val="006710F6"/>
    <w:pPr>
      <w:keepNext/>
      <w:keepLines/>
      <w:spacing w:before="20" w:after="20"/>
    </w:pPr>
    <w:rPr>
      <w:sz w:val="18"/>
    </w:rPr>
  </w:style>
  <w:style w:type="paragraph" w:customStyle="1" w:styleId="Equation">
    <w:name w:val="Equation"/>
    <w:basedOn w:val="Normal"/>
    <w:rsid w:val="006710F6"/>
    <w:pPr>
      <w:tabs>
        <w:tab w:val="center" w:pos="4820"/>
        <w:tab w:val="right" w:pos="9639"/>
      </w:tabs>
    </w:pPr>
  </w:style>
  <w:style w:type="paragraph" w:customStyle="1" w:styleId="Head">
    <w:name w:val="Head"/>
    <w:basedOn w:val="Normal"/>
    <w:rsid w:val="006710F6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  <w:tab w:val="right" w:pos="9781"/>
      </w:tabs>
    </w:pPr>
    <w:rPr>
      <w:b/>
    </w:rPr>
  </w:style>
  <w:style w:type="paragraph" w:styleId="List">
    <w:name w:val="List"/>
    <w:basedOn w:val="Normal"/>
    <w:rsid w:val="006710F6"/>
    <w:pPr>
      <w:tabs>
        <w:tab w:val="left" w:pos="2127"/>
      </w:tabs>
      <w:ind w:left="2127" w:hanging="2127"/>
    </w:pPr>
  </w:style>
  <w:style w:type="paragraph" w:customStyle="1" w:styleId="Part">
    <w:name w:val="Part"/>
    <w:basedOn w:val="Normal"/>
    <w:rsid w:val="006710F6"/>
    <w:pPr>
      <w:tabs>
        <w:tab w:val="left" w:pos="1276"/>
      </w:tabs>
      <w:spacing w:before="199"/>
      <w:ind w:left="1701" w:hanging="1701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6710F6"/>
    <w:pPr>
      <w:keepNext w:val="0"/>
      <w:spacing w:after="240"/>
    </w:pPr>
  </w:style>
  <w:style w:type="character" w:styleId="PageNumber">
    <w:name w:val="page number"/>
    <w:basedOn w:val="DefaultParagraphFont"/>
    <w:rsid w:val="000B0D00"/>
    <w:rPr>
      <w:rFonts w:ascii="Calibri" w:hAnsi="Calibri"/>
    </w:rPr>
  </w:style>
  <w:style w:type="paragraph" w:customStyle="1" w:styleId="meeting">
    <w:name w:val="meeting"/>
    <w:basedOn w:val="Head"/>
    <w:next w:val="Head"/>
    <w:rsid w:val="006710F6"/>
    <w:pPr>
      <w:tabs>
        <w:tab w:val="left" w:pos="7371"/>
      </w:tabs>
      <w:spacing w:after="567"/>
    </w:pPr>
  </w:style>
  <w:style w:type="paragraph" w:customStyle="1" w:styleId="PartNo">
    <w:name w:val="Part_No"/>
    <w:basedOn w:val="AnnexNo"/>
    <w:next w:val="Parttitle"/>
    <w:rsid w:val="006710F6"/>
  </w:style>
  <w:style w:type="paragraph" w:customStyle="1" w:styleId="Parttitle">
    <w:name w:val="Part_title"/>
    <w:basedOn w:val="Annextitle"/>
    <w:next w:val="Partref"/>
    <w:rsid w:val="006710F6"/>
  </w:style>
  <w:style w:type="paragraph" w:customStyle="1" w:styleId="Partref">
    <w:name w:val="Part_ref"/>
    <w:basedOn w:val="Annexref"/>
    <w:next w:val="Normalaftertitle"/>
    <w:rsid w:val="006710F6"/>
  </w:style>
  <w:style w:type="paragraph" w:customStyle="1" w:styleId="Headingb">
    <w:name w:val="Heading_b"/>
    <w:basedOn w:val="Heading3"/>
    <w:next w:val="Normal"/>
    <w:rsid w:val="000B0D00"/>
    <w:pPr>
      <w:spacing w:before="160"/>
      <w:outlineLvl w:val="0"/>
    </w:pPr>
  </w:style>
  <w:style w:type="paragraph" w:customStyle="1" w:styleId="Subject">
    <w:name w:val="Subject"/>
    <w:basedOn w:val="Normal"/>
    <w:next w:val="Source"/>
    <w:rsid w:val="006710F6"/>
    <w:pPr>
      <w:tabs>
        <w:tab w:val="left" w:pos="709"/>
      </w:tabs>
      <w:spacing w:before="0"/>
      <w:ind w:left="709" w:hanging="709"/>
    </w:pPr>
  </w:style>
  <w:style w:type="paragraph" w:customStyle="1" w:styleId="Source">
    <w:name w:val="Source"/>
    <w:basedOn w:val="Normal"/>
    <w:next w:val="Title1"/>
    <w:rsid w:val="000B0D00"/>
    <w:pPr>
      <w:spacing w:before="840"/>
      <w:jc w:val="center"/>
    </w:pPr>
    <w:rPr>
      <w:b/>
      <w:sz w:val="28"/>
    </w:rPr>
  </w:style>
  <w:style w:type="paragraph" w:customStyle="1" w:styleId="Data">
    <w:name w:val="Data"/>
    <w:basedOn w:val="Subject"/>
    <w:next w:val="Subject"/>
    <w:rsid w:val="006710F6"/>
  </w:style>
  <w:style w:type="character" w:styleId="Hyperlink">
    <w:name w:val="Hyperlink"/>
    <w:basedOn w:val="DefaultParagraphFont"/>
    <w:uiPriority w:val="99"/>
    <w:qFormat/>
    <w:rsid w:val="000B0D00"/>
    <w:rPr>
      <w:color w:val="0000FF"/>
      <w:u w:val="single"/>
    </w:rPr>
  </w:style>
  <w:style w:type="character" w:styleId="FollowedHyperlink">
    <w:name w:val="FollowedHyperlink"/>
    <w:basedOn w:val="DefaultParagraphFont"/>
    <w:rsid w:val="006710F6"/>
    <w:rPr>
      <w:color w:val="800080"/>
      <w:u w:val="single"/>
    </w:rPr>
  </w:style>
  <w:style w:type="paragraph" w:customStyle="1" w:styleId="FirstFooter">
    <w:name w:val="FirstFooter"/>
    <w:basedOn w:val="Footer"/>
    <w:rsid w:val="000B0D00"/>
    <w:rPr>
      <w:caps w:val="0"/>
    </w:rPr>
  </w:style>
  <w:style w:type="paragraph" w:customStyle="1" w:styleId="Note">
    <w:name w:val="Note"/>
    <w:basedOn w:val="Normal"/>
    <w:rsid w:val="000B0D00"/>
    <w:pPr>
      <w:tabs>
        <w:tab w:val="clear" w:pos="567"/>
        <w:tab w:val="left" w:pos="851"/>
      </w:tabs>
    </w:pPr>
  </w:style>
  <w:style w:type="paragraph" w:styleId="TOC9">
    <w:name w:val="toc 9"/>
    <w:basedOn w:val="TOC4"/>
    <w:rsid w:val="006710F6"/>
  </w:style>
  <w:style w:type="paragraph" w:customStyle="1" w:styleId="Headingi">
    <w:name w:val="Heading_i"/>
    <w:basedOn w:val="Heading3"/>
    <w:next w:val="Normal"/>
    <w:rsid w:val="000B0D00"/>
    <w:pPr>
      <w:spacing w:before="160"/>
      <w:outlineLvl w:val="0"/>
    </w:pPr>
    <w:rPr>
      <w:b w:val="0"/>
      <w:i/>
    </w:rPr>
  </w:style>
  <w:style w:type="paragraph" w:customStyle="1" w:styleId="Title1">
    <w:name w:val="Title 1"/>
    <w:basedOn w:val="Source"/>
    <w:next w:val="Title2"/>
    <w:rsid w:val="000B0D00"/>
    <w:pPr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0B0D00"/>
    <w:pPr>
      <w:spacing w:before="240"/>
    </w:pPr>
    <w:rPr>
      <w:b w:val="0"/>
      <w:caps/>
    </w:rPr>
  </w:style>
  <w:style w:type="paragraph" w:customStyle="1" w:styleId="Title3">
    <w:name w:val="Title 3"/>
    <w:basedOn w:val="Title2"/>
    <w:next w:val="Normalaftertitle"/>
    <w:rsid w:val="000B0D00"/>
    <w:rPr>
      <w:caps w:val="0"/>
    </w:rPr>
  </w:style>
  <w:style w:type="paragraph" w:customStyle="1" w:styleId="Title4">
    <w:name w:val="Title 4"/>
    <w:basedOn w:val="Title3"/>
    <w:next w:val="Heading1"/>
    <w:rsid w:val="006710F6"/>
    <w:rPr>
      <w:b/>
    </w:rPr>
  </w:style>
  <w:style w:type="paragraph" w:customStyle="1" w:styleId="dnum">
    <w:name w:val="dnum"/>
    <w:basedOn w:val="Normal"/>
    <w:rsid w:val="006710F6"/>
    <w:pPr>
      <w:framePr w:hSpace="181" w:wrap="notBeside" w:vAnchor="page" w:hAnchor="margin" w:x="1" w:y="852"/>
      <w:shd w:val="solid" w:color="FFFFFF" w:fill="FFFFFF"/>
      <w:tabs>
        <w:tab w:val="left" w:pos="1871"/>
      </w:tabs>
    </w:pPr>
    <w:rPr>
      <w:b/>
      <w:bCs/>
    </w:rPr>
  </w:style>
  <w:style w:type="paragraph" w:customStyle="1" w:styleId="ddate">
    <w:name w:val="ddate"/>
    <w:basedOn w:val="Normal"/>
    <w:rsid w:val="006710F6"/>
    <w:pPr>
      <w:framePr w:hSpace="181" w:wrap="notBeside" w:vAnchor="page" w:hAnchor="margin" w:x="1" w:y="852"/>
      <w:shd w:val="solid" w:color="FFFFFF" w:fill="FFFFFF"/>
      <w:tabs>
        <w:tab w:val="left" w:pos="1871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6710F6"/>
    <w:pPr>
      <w:framePr w:hSpace="181" w:wrap="notBeside" w:vAnchor="page" w:hAnchor="margin" w:x="1" w:y="852"/>
      <w:shd w:val="solid" w:color="FFFFFF" w:fill="FFFFFF"/>
      <w:tabs>
        <w:tab w:val="left" w:pos="1871"/>
      </w:tabs>
      <w:spacing w:before="0"/>
    </w:pPr>
    <w:rPr>
      <w:b/>
      <w:bCs/>
    </w:rPr>
  </w:style>
  <w:style w:type="paragraph" w:customStyle="1" w:styleId="RecNo">
    <w:name w:val="Rec_No"/>
    <w:basedOn w:val="Normal"/>
    <w:next w:val="Rectitle"/>
    <w:rsid w:val="000B0D00"/>
    <w:pPr>
      <w:spacing w:before="720"/>
      <w:jc w:val="center"/>
    </w:pPr>
    <w:rPr>
      <w:caps/>
      <w:sz w:val="28"/>
    </w:rPr>
  </w:style>
  <w:style w:type="paragraph" w:customStyle="1" w:styleId="Rectitle">
    <w:name w:val="Rec_title"/>
    <w:basedOn w:val="Normal"/>
    <w:next w:val="Heading1"/>
    <w:rsid w:val="000B0D00"/>
    <w:pPr>
      <w:spacing w:before="240"/>
      <w:jc w:val="center"/>
    </w:pPr>
    <w:rPr>
      <w:b/>
      <w:sz w:val="28"/>
    </w:rPr>
  </w:style>
  <w:style w:type="paragraph" w:customStyle="1" w:styleId="Recref">
    <w:name w:val="Rec_ref"/>
    <w:basedOn w:val="Rectitle"/>
    <w:next w:val="Recdate"/>
    <w:rsid w:val="006710F6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6710F6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6710F6"/>
  </w:style>
  <w:style w:type="paragraph" w:customStyle="1" w:styleId="QuestionNo">
    <w:name w:val="Question_No"/>
    <w:basedOn w:val="RecNo"/>
    <w:next w:val="Questiontitle"/>
    <w:rsid w:val="006710F6"/>
  </w:style>
  <w:style w:type="paragraph" w:customStyle="1" w:styleId="Questiontitle">
    <w:name w:val="Question_title"/>
    <w:basedOn w:val="Rectitle"/>
    <w:next w:val="Questionref"/>
    <w:rsid w:val="006710F6"/>
  </w:style>
  <w:style w:type="paragraph" w:customStyle="1" w:styleId="Questionref">
    <w:name w:val="Question_ref"/>
    <w:basedOn w:val="Recref"/>
    <w:next w:val="Questiondate"/>
    <w:rsid w:val="006710F6"/>
  </w:style>
  <w:style w:type="paragraph" w:customStyle="1" w:styleId="Reftext">
    <w:name w:val="Ref_text"/>
    <w:basedOn w:val="Normal"/>
    <w:rsid w:val="000B0D00"/>
    <w:pPr>
      <w:ind w:left="567" w:hanging="567"/>
    </w:pPr>
  </w:style>
  <w:style w:type="paragraph" w:customStyle="1" w:styleId="Reftitle">
    <w:name w:val="Ref_title"/>
    <w:basedOn w:val="Normal"/>
    <w:next w:val="Reftext"/>
    <w:rsid w:val="000B0D00"/>
    <w:pPr>
      <w:spacing w:before="480"/>
      <w:jc w:val="center"/>
    </w:pPr>
    <w:rPr>
      <w:caps/>
      <w:sz w:val="28"/>
    </w:rPr>
  </w:style>
  <w:style w:type="paragraph" w:customStyle="1" w:styleId="Repdate">
    <w:name w:val="Rep_date"/>
    <w:basedOn w:val="Recdate"/>
    <w:next w:val="Normalaftertitle"/>
    <w:rsid w:val="006710F6"/>
  </w:style>
  <w:style w:type="paragraph" w:customStyle="1" w:styleId="RepNo">
    <w:name w:val="Rep_No"/>
    <w:basedOn w:val="RecNo"/>
    <w:next w:val="Reptitle"/>
    <w:rsid w:val="006710F6"/>
  </w:style>
  <w:style w:type="paragraph" w:customStyle="1" w:styleId="Reptitle">
    <w:name w:val="Rep_title"/>
    <w:basedOn w:val="Rectitle"/>
    <w:next w:val="Repref"/>
    <w:rsid w:val="006710F6"/>
  </w:style>
  <w:style w:type="paragraph" w:customStyle="1" w:styleId="Repref">
    <w:name w:val="Rep_ref"/>
    <w:basedOn w:val="Recref"/>
    <w:next w:val="Repdate"/>
    <w:rsid w:val="006710F6"/>
  </w:style>
  <w:style w:type="paragraph" w:customStyle="1" w:styleId="Resdate">
    <w:name w:val="Res_date"/>
    <w:basedOn w:val="Recdate"/>
    <w:next w:val="Normalaftertitle"/>
    <w:rsid w:val="006710F6"/>
  </w:style>
  <w:style w:type="paragraph" w:customStyle="1" w:styleId="ResNo">
    <w:name w:val="Res_No"/>
    <w:basedOn w:val="AnnexNo"/>
    <w:next w:val="Restitle"/>
    <w:rsid w:val="000B0D00"/>
  </w:style>
  <w:style w:type="paragraph" w:customStyle="1" w:styleId="Restitle">
    <w:name w:val="Res_title"/>
    <w:basedOn w:val="Annextitle"/>
    <w:next w:val="Normal"/>
    <w:rsid w:val="000B0D00"/>
  </w:style>
  <w:style w:type="paragraph" w:customStyle="1" w:styleId="Resref">
    <w:name w:val="Res_ref"/>
    <w:basedOn w:val="Recref"/>
    <w:next w:val="Resdate"/>
    <w:rsid w:val="006710F6"/>
  </w:style>
  <w:style w:type="paragraph" w:customStyle="1" w:styleId="SectionNo">
    <w:name w:val="Section_No"/>
    <w:basedOn w:val="AnnexNo"/>
    <w:next w:val="Sectiontitle"/>
    <w:rsid w:val="006710F6"/>
  </w:style>
  <w:style w:type="paragraph" w:customStyle="1" w:styleId="Sectiontitle">
    <w:name w:val="Section_title"/>
    <w:basedOn w:val="Normal"/>
    <w:next w:val="Normalaftertitle"/>
    <w:rsid w:val="006710F6"/>
    <w:rPr>
      <w:sz w:val="28"/>
    </w:rPr>
  </w:style>
  <w:style w:type="paragraph" w:customStyle="1" w:styleId="SpecialFooter">
    <w:name w:val="Special Footer"/>
    <w:basedOn w:val="Footer"/>
    <w:rsid w:val="006710F6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rsid w:val="000B0D00"/>
    <w:pPr>
      <w:spacing w:before="120" w:after="120"/>
      <w:jc w:val="center"/>
    </w:pPr>
    <w:rPr>
      <w:b/>
    </w:rPr>
  </w:style>
  <w:style w:type="paragraph" w:customStyle="1" w:styleId="Tablelegend">
    <w:name w:val="Table_legend"/>
    <w:basedOn w:val="Tabletext"/>
    <w:rsid w:val="006710F6"/>
    <w:pPr>
      <w:spacing w:before="120"/>
    </w:pPr>
  </w:style>
  <w:style w:type="paragraph" w:customStyle="1" w:styleId="Tableref">
    <w:name w:val="Table_ref"/>
    <w:basedOn w:val="Normal"/>
    <w:next w:val="Tabletitle"/>
    <w:rsid w:val="006710F6"/>
    <w:pPr>
      <w:keepNext/>
      <w:spacing w:before="567"/>
      <w:jc w:val="center"/>
    </w:pPr>
  </w:style>
  <w:style w:type="paragraph" w:customStyle="1" w:styleId="Reasons">
    <w:name w:val="Reasons"/>
    <w:basedOn w:val="Normal"/>
    <w:qFormat/>
    <w:rsid w:val="000B0D00"/>
  </w:style>
  <w:style w:type="paragraph" w:customStyle="1" w:styleId="FigureNo">
    <w:name w:val="Figure_No"/>
    <w:basedOn w:val="Normal"/>
    <w:next w:val="Figuretitle"/>
    <w:rsid w:val="006710F6"/>
    <w:pPr>
      <w:keepNext/>
      <w:keepLines/>
      <w:spacing w:before="240" w:after="120"/>
      <w:jc w:val="center"/>
    </w:pPr>
    <w:rPr>
      <w:caps/>
    </w:rPr>
  </w:style>
  <w:style w:type="paragraph" w:customStyle="1" w:styleId="Table">
    <w:name w:val="Table_#"/>
    <w:basedOn w:val="Normal"/>
    <w:next w:val="Normal"/>
    <w:rsid w:val="00093EEB"/>
    <w:pPr>
      <w:keepNext/>
      <w:overflowPunct/>
      <w:autoSpaceDE/>
      <w:autoSpaceDN/>
      <w:adjustRightInd/>
      <w:spacing w:before="560" w:after="120"/>
      <w:jc w:val="center"/>
      <w:textAlignment w:val="auto"/>
    </w:pPr>
    <w:rPr>
      <w:caps/>
      <w:lang w:val="en-GB"/>
    </w:rPr>
  </w:style>
  <w:style w:type="paragraph" w:customStyle="1" w:styleId="AnnexNoTitle">
    <w:name w:val="Annex_NoTitle"/>
    <w:basedOn w:val="Normal"/>
    <w:next w:val="Normal"/>
    <w:rsid w:val="001834BD"/>
    <w:pPr>
      <w:keepNext/>
      <w:keepLines/>
      <w:tabs>
        <w:tab w:val="clear" w:pos="567"/>
        <w:tab w:val="clear" w:pos="1134"/>
        <w:tab w:val="clear" w:pos="1701"/>
        <w:tab w:val="clear" w:pos="2268"/>
        <w:tab w:val="clear" w:pos="2835"/>
        <w:tab w:val="left" w:pos="794"/>
        <w:tab w:val="left" w:pos="1191"/>
        <w:tab w:val="left" w:pos="1588"/>
        <w:tab w:val="left" w:pos="1985"/>
      </w:tabs>
      <w:spacing w:before="720" w:after="120" w:line="280" w:lineRule="exact"/>
      <w:jc w:val="center"/>
    </w:pPr>
    <w:rPr>
      <w:rFonts w:cs="Calibri"/>
      <w:b/>
      <w:szCs w:val="22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A6471C"/>
    <w:rPr>
      <w:rFonts w:ascii="Calibri" w:hAnsi="Calibri"/>
      <w:sz w:val="24"/>
      <w:lang w:val="es-ES_tradnl" w:eastAsia="en-US"/>
    </w:rPr>
  </w:style>
  <w:style w:type="paragraph" w:styleId="ListParagraph">
    <w:name w:val="List Paragraph"/>
    <w:basedOn w:val="Normal"/>
    <w:uiPriority w:val="34"/>
    <w:qFormat/>
    <w:rsid w:val="00A6471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794"/>
        <w:tab w:val="left" w:pos="1191"/>
        <w:tab w:val="left" w:pos="1588"/>
        <w:tab w:val="left" w:pos="1985"/>
      </w:tabs>
      <w:ind w:firstLineChars="200" w:firstLine="420"/>
    </w:pPr>
    <w:rPr>
      <w:rFonts w:eastAsia="SimSun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pubdocs.worldbank.org/en/788991588006445890/Speedboat-Partners-COVID-19-Digital-Development-Joint-Action-Plan.pdf" TargetMode="Externa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itu.int/en/ITU-D/Regulatory-Market/Pages/REG4COVID.aspx" TargetMode="External"/><Relationship Id="rId1" Type="http://schemas.openxmlformats.org/officeDocument/2006/relationships/hyperlink" Target="http://pubdocs.worldbank.org/en/788991588006445890/Speedboat-Partners-COVID-19-Digital-Development-Joint-Action-Plan.pdf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oriano\AppData\Roaming\Microsoft\Templates\POOL%20S%20-%20ITU\PS_C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3EFDA3-3C8B-4CCF-A0EC-46963ABBDA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PS_C20.dotx</Template>
  <TotalTime>10</TotalTime>
  <Pages>3</Pages>
  <Words>1065</Words>
  <Characters>5906</Characters>
  <Application>Microsoft Office Word</Application>
  <DocSecurity>0</DocSecurity>
  <Lines>49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UNIÓN INTERNACIONAL DE TELECOMUNICACIONES	</vt:lpstr>
      </vt:variant>
      <vt:variant>
        <vt:i4>0</vt:i4>
      </vt:variant>
    </vt:vector>
  </HeadingPairs>
  <TitlesOfParts>
    <vt:vector size="1" baseType="lpstr">
      <vt:lpstr/>
    </vt:vector>
  </TitlesOfParts>
  <Manager>Secretaría General - Pool</Manager>
  <Company>Unión Internacional de Telecomunicaciones (UIT)</Company>
  <LinksUpToDate>false</LinksUpToDate>
  <CharactersWithSpaces>6958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Consejo 2018</dc:subject>
  <dc:creator>Soriano, Manuel</dc:creator>
  <cp:keywords>C2018, C18</cp:keywords>
  <dc:description/>
  <cp:lastModifiedBy>Soriano, Manuel</cp:lastModifiedBy>
  <cp:revision>5</cp:revision>
  <cp:lastPrinted>2020-06-04T09:36:00Z</cp:lastPrinted>
  <dcterms:created xsi:type="dcterms:W3CDTF">2020-06-04T09:26:00Z</dcterms:created>
  <dcterms:modified xsi:type="dcterms:W3CDTF">2020-06-04T10:00:00Z</dcterms:modified>
  <cp:category>Documento de conferencia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Documento C17/-S</vt:lpwstr>
  </property>
  <property fmtid="{D5CDD505-2E9C-101B-9397-08002B2CF9AE}" pid="3" name="Docdate">
    <vt:lpwstr>enero de 2017</vt:lpwstr>
  </property>
  <property fmtid="{D5CDD505-2E9C-101B-9397-08002B2CF9AE}" pid="4" name="Docorlang">
    <vt:lpwstr>Original: inglés</vt:lpwstr>
  </property>
  <property fmtid="{D5CDD505-2E9C-101B-9397-08002B2CF9AE}" pid="5" name="Docbluepink">
    <vt:lpwstr>Consejo 2017 Ginebra, 15-25 de mayo de 2017</vt:lpwstr>
  </property>
  <property fmtid="{D5CDD505-2E9C-101B-9397-08002B2CF9AE}" pid="6" name="Docdest">
    <vt:lpwstr/>
  </property>
  <property fmtid="{D5CDD505-2E9C-101B-9397-08002B2CF9AE}" pid="7" name="Docauthor">
    <vt:lpwstr/>
  </property>
</Properties>
</file>