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1834BD" w:rsidRPr="00AD25AE" w14:paraId="376FB69A" w14:textId="77777777" w:rsidTr="00FA7FCF">
        <w:trPr>
          <w:cantSplit/>
          <w:trHeight w:val="1276"/>
        </w:trPr>
        <w:tc>
          <w:tcPr>
            <w:tcW w:w="6911" w:type="dxa"/>
          </w:tcPr>
          <w:p w14:paraId="2C3FB4D6" w14:textId="77777777" w:rsidR="001834BD" w:rsidRPr="00AD25AE" w:rsidRDefault="001834BD" w:rsidP="00FA7FCF">
            <w:pPr>
              <w:spacing w:before="360" w:after="48"/>
              <w:rPr>
                <w:b/>
                <w:bCs/>
                <w:position w:val="6"/>
                <w:sz w:val="26"/>
                <w:szCs w:val="26"/>
              </w:rPr>
            </w:pPr>
            <w:bookmarkStart w:id="0" w:name="lt_pId446"/>
            <w:r w:rsidRPr="00AD25AE">
              <w:rPr>
                <w:b/>
                <w:bCs/>
                <w:position w:val="6"/>
                <w:sz w:val="26"/>
                <w:szCs w:val="26"/>
              </w:rPr>
              <w:t xml:space="preserve">Consulta virtual de los consejeros </w:t>
            </w:r>
            <w:bookmarkEnd w:id="0"/>
            <w:r w:rsidRPr="00AD25AE">
              <w:rPr>
                <w:b/>
                <w:bCs/>
                <w:position w:val="6"/>
                <w:sz w:val="26"/>
                <w:szCs w:val="26"/>
              </w:rPr>
              <w:br/>
            </w:r>
            <w:bookmarkStart w:id="1" w:name="lt_pId447"/>
            <w:r w:rsidRPr="00AD25AE">
              <w:rPr>
                <w:b/>
                <w:bCs/>
                <w:position w:val="6"/>
                <w:sz w:val="26"/>
                <w:szCs w:val="26"/>
              </w:rPr>
              <w:t>que comienza el 9 de junio de 2020</w:t>
            </w:r>
            <w:bookmarkEnd w:id="1"/>
          </w:p>
        </w:tc>
        <w:tc>
          <w:tcPr>
            <w:tcW w:w="3120" w:type="dxa"/>
            <w:vAlign w:val="center"/>
          </w:tcPr>
          <w:p w14:paraId="230950DB" w14:textId="77777777" w:rsidR="001834BD" w:rsidRPr="00AD25AE" w:rsidRDefault="001834BD" w:rsidP="00FA7FCF">
            <w:pPr>
              <w:spacing w:before="0"/>
            </w:pPr>
            <w:r w:rsidRPr="00AD25AE">
              <w:rPr>
                <w:noProof/>
                <w:lang w:val="en-US"/>
              </w:rPr>
              <w:drawing>
                <wp:inline distT="0" distB="0" distL="0" distR="0" wp14:anchorId="0EF0D6FE" wp14:editId="48747802">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834BD" w:rsidRPr="00AD25AE" w14:paraId="1FC1879E" w14:textId="77777777" w:rsidTr="00FA7FCF">
        <w:trPr>
          <w:cantSplit/>
        </w:trPr>
        <w:tc>
          <w:tcPr>
            <w:tcW w:w="6911" w:type="dxa"/>
            <w:tcBorders>
              <w:bottom w:val="single" w:sz="12" w:space="0" w:color="auto"/>
            </w:tcBorders>
          </w:tcPr>
          <w:p w14:paraId="53BD1201" w14:textId="77777777" w:rsidR="001834BD" w:rsidRPr="00AD25AE" w:rsidRDefault="001834BD" w:rsidP="00FA7FCF">
            <w:pPr>
              <w:spacing w:before="0" w:after="48"/>
              <w:rPr>
                <w:b/>
                <w:smallCaps/>
                <w:szCs w:val="24"/>
              </w:rPr>
            </w:pPr>
          </w:p>
        </w:tc>
        <w:tc>
          <w:tcPr>
            <w:tcW w:w="3120" w:type="dxa"/>
            <w:tcBorders>
              <w:bottom w:val="single" w:sz="12" w:space="0" w:color="auto"/>
            </w:tcBorders>
          </w:tcPr>
          <w:p w14:paraId="176884F6" w14:textId="77777777" w:rsidR="001834BD" w:rsidRPr="00AD25AE" w:rsidRDefault="001834BD" w:rsidP="00FA7FCF">
            <w:pPr>
              <w:spacing w:before="0"/>
              <w:rPr>
                <w:szCs w:val="24"/>
              </w:rPr>
            </w:pPr>
          </w:p>
        </w:tc>
      </w:tr>
      <w:tr w:rsidR="001834BD" w:rsidRPr="00AD25AE" w14:paraId="3CCD2B52" w14:textId="77777777" w:rsidTr="00FA7FCF">
        <w:trPr>
          <w:cantSplit/>
        </w:trPr>
        <w:tc>
          <w:tcPr>
            <w:tcW w:w="6911" w:type="dxa"/>
            <w:tcBorders>
              <w:top w:val="single" w:sz="12" w:space="0" w:color="auto"/>
            </w:tcBorders>
          </w:tcPr>
          <w:p w14:paraId="5E7C7F5B" w14:textId="77777777" w:rsidR="001834BD" w:rsidRPr="00AD25AE" w:rsidRDefault="001834BD" w:rsidP="00FA7FCF">
            <w:pPr>
              <w:spacing w:before="0" w:after="48"/>
              <w:rPr>
                <w:b/>
                <w:smallCaps/>
                <w:szCs w:val="24"/>
              </w:rPr>
            </w:pPr>
          </w:p>
        </w:tc>
        <w:tc>
          <w:tcPr>
            <w:tcW w:w="3120" w:type="dxa"/>
            <w:tcBorders>
              <w:top w:val="single" w:sz="12" w:space="0" w:color="auto"/>
            </w:tcBorders>
          </w:tcPr>
          <w:p w14:paraId="692EA06C" w14:textId="77777777" w:rsidR="001834BD" w:rsidRPr="00AD25AE" w:rsidRDefault="001834BD" w:rsidP="001834BD">
            <w:pPr>
              <w:spacing w:before="240"/>
              <w:rPr>
                <w:szCs w:val="24"/>
              </w:rPr>
            </w:pPr>
            <w:r>
              <w:rPr>
                <w:b/>
                <w:bCs/>
                <w:szCs w:val="24"/>
              </w:rPr>
              <w:t xml:space="preserve">Documento </w:t>
            </w:r>
            <w:r w:rsidR="00491AC1">
              <w:rPr>
                <w:b/>
                <w:bCs/>
                <w:szCs w:val="24"/>
              </w:rPr>
              <w:t>VC</w:t>
            </w:r>
            <w:r w:rsidR="005472BD">
              <w:rPr>
                <w:b/>
                <w:bCs/>
                <w:szCs w:val="24"/>
              </w:rPr>
              <w:t>/9-S</w:t>
            </w:r>
            <w:r w:rsidR="005472BD">
              <w:rPr>
                <w:b/>
                <w:bCs/>
                <w:szCs w:val="24"/>
              </w:rPr>
              <w:br/>
              <w:t>29 de mayo</w:t>
            </w:r>
            <w:r>
              <w:rPr>
                <w:b/>
                <w:bCs/>
                <w:szCs w:val="24"/>
              </w:rPr>
              <w:t xml:space="preserve"> de 2020</w:t>
            </w:r>
            <w:r>
              <w:rPr>
                <w:b/>
                <w:bCs/>
                <w:szCs w:val="24"/>
              </w:rPr>
              <w:br/>
              <w:t>Original: inglés</w:t>
            </w:r>
          </w:p>
        </w:tc>
      </w:tr>
    </w:tbl>
    <w:p w14:paraId="2603CBB2" w14:textId="77777777" w:rsidR="001834BD" w:rsidRPr="00AD25AE" w:rsidRDefault="001834BD" w:rsidP="001834BD">
      <w:pPr>
        <w:spacing w:before="0"/>
        <w:rPr>
          <w:b/>
          <w:bCs/>
          <w:sz w:val="28"/>
        </w:rPr>
      </w:pPr>
    </w:p>
    <w:tbl>
      <w:tblPr>
        <w:tblW w:w="10093" w:type="dxa"/>
        <w:tblLayout w:type="fixed"/>
        <w:tblLook w:val="0000" w:firstRow="0" w:lastRow="0" w:firstColumn="0" w:lastColumn="0" w:noHBand="0" w:noVBand="0"/>
      </w:tblPr>
      <w:tblGrid>
        <w:gridCol w:w="2835"/>
        <w:gridCol w:w="7258"/>
      </w:tblGrid>
      <w:tr w:rsidR="001834BD" w:rsidRPr="00AD25AE" w14:paraId="0A12B96F" w14:textId="77777777" w:rsidTr="00FA7FCF">
        <w:trPr>
          <w:cantSplit/>
        </w:trPr>
        <w:tc>
          <w:tcPr>
            <w:tcW w:w="2835" w:type="dxa"/>
            <w:tcBorders>
              <w:right w:val="single" w:sz="12" w:space="0" w:color="auto"/>
            </w:tcBorders>
            <w:vAlign w:val="center"/>
          </w:tcPr>
          <w:p w14:paraId="7AAA3C82" w14:textId="77777777" w:rsidR="001834BD" w:rsidRPr="00AD25AE" w:rsidRDefault="001834BD" w:rsidP="00FA7FCF">
            <w:pPr>
              <w:spacing w:before="0"/>
              <w:rPr>
                <w:b/>
                <w:bCs/>
              </w:rPr>
            </w:pPr>
            <w:bookmarkStart w:id="2" w:name="lt_pId450"/>
            <w:r w:rsidRPr="00AD25AE">
              <w:rPr>
                <w:b/>
                <w:bCs/>
              </w:rPr>
              <w:t>Nombre del/de los Estado(s) Miembro(s) que la presenta(n):</w:t>
            </w:r>
            <w:bookmarkEnd w:id="2"/>
          </w:p>
        </w:tc>
        <w:tc>
          <w:tcPr>
            <w:tcW w:w="7258" w:type="dxa"/>
            <w:tcBorders>
              <w:top w:val="single" w:sz="12" w:space="0" w:color="auto"/>
              <w:left w:val="single" w:sz="12" w:space="0" w:color="auto"/>
              <w:bottom w:val="single" w:sz="12" w:space="0" w:color="auto"/>
              <w:right w:val="single" w:sz="12" w:space="0" w:color="auto"/>
            </w:tcBorders>
            <w:vAlign w:val="center"/>
          </w:tcPr>
          <w:p w14:paraId="6FE0470D" w14:textId="77777777" w:rsidR="001834BD" w:rsidRPr="00CB034A" w:rsidRDefault="005472BD" w:rsidP="00FA7FCF">
            <w:pPr>
              <w:spacing w:before="0"/>
              <w:rPr>
                <w:b/>
                <w:bCs/>
              </w:rPr>
            </w:pPr>
            <w:r>
              <w:rPr>
                <w:b/>
                <w:bCs/>
              </w:rPr>
              <w:t>Túnez</w:t>
            </w:r>
          </w:p>
        </w:tc>
      </w:tr>
      <w:tr w:rsidR="001834BD" w:rsidRPr="00AD25AE" w14:paraId="7BA6B6F3" w14:textId="77777777" w:rsidTr="00FA7FCF">
        <w:trPr>
          <w:cantSplit/>
        </w:trPr>
        <w:tc>
          <w:tcPr>
            <w:tcW w:w="2835" w:type="dxa"/>
          </w:tcPr>
          <w:p w14:paraId="0B60869C" w14:textId="77777777" w:rsidR="001834BD" w:rsidRPr="00AD25AE" w:rsidRDefault="001834BD" w:rsidP="00FA7FCF">
            <w:pPr>
              <w:spacing w:before="0"/>
              <w:rPr>
                <w:sz w:val="16"/>
                <w:szCs w:val="16"/>
              </w:rPr>
            </w:pPr>
          </w:p>
        </w:tc>
        <w:tc>
          <w:tcPr>
            <w:tcW w:w="7258" w:type="dxa"/>
            <w:tcBorders>
              <w:top w:val="single" w:sz="12" w:space="0" w:color="auto"/>
              <w:bottom w:val="single" w:sz="12" w:space="0" w:color="auto"/>
            </w:tcBorders>
          </w:tcPr>
          <w:p w14:paraId="1118B364" w14:textId="77777777" w:rsidR="001834BD" w:rsidRPr="00AD25AE" w:rsidRDefault="001834BD" w:rsidP="00FA7FCF">
            <w:pPr>
              <w:spacing w:before="0"/>
              <w:rPr>
                <w:sz w:val="16"/>
                <w:szCs w:val="16"/>
              </w:rPr>
            </w:pPr>
          </w:p>
        </w:tc>
      </w:tr>
      <w:tr w:rsidR="001834BD" w:rsidRPr="00AD25AE" w14:paraId="59A25E07" w14:textId="77777777" w:rsidTr="00FA7FCF">
        <w:trPr>
          <w:cantSplit/>
        </w:trPr>
        <w:tc>
          <w:tcPr>
            <w:tcW w:w="2835" w:type="dxa"/>
            <w:tcBorders>
              <w:right w:val="single" w:sz="12" w:space="0" w:color="auto"/>
            </w:tcBorders>
          </w:tcPr>
          <w:p w14:paraId="45C58E40" w14:textId="77777777" w:rsidR="001834BD" w:rsidRPr="00AD25AE" w:rsidRDefault="001834BD" w:rsidP="00FA7FCF">
            <w:pPr>
              <w:spacing w:after="120"/>
              <w:rPr>
                <w:b/>
                <w:bCs/>
              </w:rPr>
            </w:pPr>
            <w:bookmarkStart w:id="3" w:name="lt_pId451"/>
            <w:r w:rsidRPr="00AD25AE">
              <w:rPr>
                <w:b/>
                <w:bCs/>
              </w:rPr>
              <w:t>Título del documento:</w:t>
            </w:r>
            <w:bookmarkEnd w:id="3"/>
          </w:p>
        </w:tc>
        <w:tc>
          <w:tcPr>
            <w:tcW w:w="7258" w:type="dxa"/>
            <w:tcBorders>
              <w:top w:val="single" w:sz="12" w:space="0" w:color="auto"/>
              <w:left w:val="single" w:sz="12" w:space="0" w:color="auto"/>
              <w:bottom w:val="single" w:sz="12" w:space="0" w:color="auto"/>
              <w:right w:val="single" w:sz="12" w:space="0" w:color="auto"/>
            </w:tcBorders>
          </w:tcPr>
          <w:p w14:paraId="46EEFE66" w14:textId="77777777" w:rsidR="001834BD" w:rsidRPr="00CB034A" w:rsidRDefault="005472BD" w:rsidP="00783A70">
            <w:pPr>
              <w:spacing w:after="120"/>
              <w:rPr>
                <w:b/>
                <w:bCs/>
              </w:rPr>
            </w:pPr>
            <w:r w:rsidRPr="005472BD">
              <w:rPr>
                <w:b/>
                <w:bCs/>
              </w:rPr>
              <w:t>Implementación de la Resolución 559 (CMR-19)</w:t>
            </w:r>
            <w:r w:rsidR="00783A70">
              <w:rPr>
                <w:b/>
                <w:bCs/>
              </w:rPr>
              <w:br/>
            </w:r>
            <w:r w:rsidRPr="005472BD">
              <w:rPr>
                <w:b/>
                <w:bCs/>
              </w:rPr>
              <w:t>Nueva presentación de TUN27200 en virtud del Artículo 4</w:t>
            </w:r>
          </w:p>
        </w:tc>
      </w:tr>
      <w:tr w:rsidR="001834BD" w:rsidRPr="00AD25AE" w14:paraId="4AD1C2AC" w14:textId="77777777" w:rsidTr="00FA7FCF">
        <w:trPr>
          <w:cantSplit/>
          <w:trHeight w:val="269"/>
        </w:trPr>
        <w:tc>
          <w:tcPr>
            <w:tcW w:w="2835" w:type="dxa"/>
          </w:tcPr>
          <w:p w14:paraId="44FE1D9E" w14:textId="77777777" w:rsidR="001834BD" w:rsidRPr="00AD25AE" w:rsidRDefault="001834BD" w:rsidP="00FA7FCF">
            <w:pPr>
              <w:spacing w:before="0"/>
              <w:rPr>
                <w:sz w:val="16"/>
                <w:szCs w:val="16"/>
              </w:rPr>
            </w:pPr>
          </w:p>
        </w:tc>
        <w:tc>
          <w:tcPr>
            <w:tcW w:w="7258" w:type="dxa"/>
            <w:tcBorders>
              <w:top w:val="single" w:sz="12" w:space="0" w:color="auto"/>
              <w:bottom w:val="single" w:sz="2" w:space="0" w:color="auto"/>
            </w:tcBorders>
          </w:tcPr>
          <w:p w14:paraId="63C2FF87" w14:textId="77777777" w:rsidR="001834BD" w:rsidRPr="00AD25AE" w:rsidRDefault="001834BD" w:rsidP="00FA7FCF">
            <w:pPr>
              <w:spacing w:before="0"/>
              <w:rPr>
                <w:sz w:val="16"/>
                <w:szCs w:val="16"/>
              </w:rPr>
            </w:pPr>
          </w:p>
        </w:tc>
      </w:tr>
      <w:tr w:rsidR="001834BD" w:rsidRPr="00AD25AE" w14:paraId="2621804A" w14:textId="77777777" w:rsidTr="004A386F">
        <w:trPr>
          <w:cantSplit/>
          <w:trHeight w:val="668"/>
        </w:trPr>
        <w:tc>
          <w:tcPr>
            <w:tcW w:w="2835" w:type="dxa"/>
            <w:tcBorders>
              <w:right w:val="single" w:sz="2" w:space="0" w:color="auto"/>
            </w:tcBorders>
            <w:vAlign w:val="center"/>
          </w:tcPr>
          <w:p w14:paraId="6C261826" w14:textId="77777777" w:rsidR="001834BD" w:rsidRPr="00AD25AE" w:rsidRDefault="001834BD" w:rsidP="00FA7FCF">
            <w:pPr>
              <w:spacing w:before="0"/>
              <w:rPr>
                <w:b/>
                <w:bCs/>
              </w:rPr>
            </w:pPr>
            <w:bookmarkStart w:id="4" w:name="lt_pId452"/>
            <w:r w:rsidRPr="00AD25AE">
              <w:rPr>
                <w:b/>
                <w:bCs/>
              </w:rPr>
              <w:t>Referencia al proyecto de orden del día de la consulta virtual:</w:t>
            </w:r>
            <w:bookmarkEnd w:id="4"/>
          </w:p>
        </w:tc>
        <w:bookmarkStart w:id="5" w:name="lt_pId453"/>
        <w:tc>
          <w:tcPr>
            <w:tcW w:w="7258" w:type="dxa"/>
            <w:tcBorders>
              <w:top w:val="single" w:sz="2" w:space="0" w:color="auto"/>
              <w:left w:val="single" w:sz="2" w:space="0" w:color="auto"/>
              <w:bottom w:val="single" w:sz="12" w:space="0" w:color="auto"/>
              <w:right w:val="single" w:sz="2" w:space="0" w:color="auto"/>
            </w:tcBorders>
            <w:vAlign w:val="center"/>
          </w:tcPr>
          <w:p w14:paraId="0C795794" w14:textId="77777777" w:rsidR="001834BD" w:rsidRPr="00AD25AE" w:rsidRDefault="005472BD" w:rsidP="00FA7FCF">
            <w:pPr>
              <w:spacing w:before="240" w:after="120"/>
              <w:rPr>
                <w:b/>
                <w:bCs/>
              </w:rPr>
            </w:pPr>
            <w:r>
              <w:rPr>
                <w:b/>
                <w:bCs/>
              </w:rPr>
              <w:fldChar w:fldCharType="begin"/>
            </w:r>
            <w:r>
              <w:rPr>
                <w:b/>
                <w:bCs/>
              </w:rPr>
              <w:instrText xml:space="preserve"> HYPERLINK "https://www.itu.int/md/S20-CL-C-0027/es" </w:instrText>
            </w:r>
            <w:r>
              <w:rPr>
                <w:b/>
                <w:bCs/>
              </w:rPr>
              <w:fldChar w:fldCharType="separate"/>
            </w:r>
            <w:r w:rsidR="001834BD" w:rsidRPr="005472BD">
              <w:rPr>
                <w:rStyle w:val="Hyperlink"/>
                <w:b/>
                <w:bCs/>
              </w:rPr>
              <w:t>Documento C20/</w:t>
            </w:r>
            <w:bookmarkEnd w:id="5"/>
            <w:r w:rsidRPr="005472BD">
              <w:rPr>
                <w:rStyle w:val="Hyperlink"/>
                <w:b/>
                <w:bCs/>
              </w:rPr>
              <w:t>27</w:t>
            </w:r>
            <w:r>
              <w:rPr>
                <w:b/>
                <w:bCs/>
              </w:rPr>
              <w:fldChar w:fldCharType="end"/>
            </w:r>
          </w:p>
        </w:tc>
      </w:tr>
      <w:tr w:rsidR="001834BD" w:rsidRPr="00AD25AE" w14:paraId="3F1803D6" w14:textId="77777777" w:rsidTr="004A386F">
        <w:trPr>
          <w:cantSplit/>
          <w:trHeight w:val="156"/>
        </w:trPr>
        <w:tc>
          <w:tcPr>
            <w:tcW w:w="2835" w:type="dxa"/>
          </w:tcPr>
          <w:p w14:paraId="6E436136" w14:textId="77777777" w:rsidR="001834BD" w:rsidRPr="00AD25AE" w:rsidRDefault="001834BD" w:rsidP="00FA7FCF">
            <w:pPr>
              <w:spacing w:before="0"/>
              <w:rPr>
                <w:sz w:val="16"/>
                <w:szCs w:val="16"/>
              </w:rPr>
            </w:pPr>
          </w:p>
        </w:tc>
        <w:tc>
          <w:tcPr>
            <w:tcW w:w="7258" w:type="dxa"/>
            <w:tcBorders>
              <w:top w:val="single" w:sz="12" w:space="0" w:color="auto"/>
            </w:tcBorders>
          </w:tcPr>
          <w:p w14:paraId="29F535A7" w14:textId="77777777" w:rsidR="001834BD" w:rsidRPr="00AD25AE" w:rsidRDefault="001834BD" w:rsidP="00FA7FCF">
            <w:pPr>
              <w:spacing w:before="0"/>
              <w:rPr>
                <w:sz w:val="16"/>
                <w:szCs w:val="16"/>
              </w:rPr>
            </w:pPr>
          </w:p>
        </w:tc>
      </w:tr>
    </w:tbl>
    <w:p w14:paraId="1757FD1D" w14:textId="77777777" w:rsidR="001834BD" w:rsidRPr="00AD25AE" w:rsidRDefault="001834BD" w:rsidP="001834BD">
      <w:pPr>
        <w:rPr>
          <w:sz w:val="4"/>
          <w:szCs w:val="4"/>
        </w:rPr>
      </w:pPr>
    </w:p>
    <w:p w14:paraId="1A0B431A" w14:textId="77777777" w:rsidR="00DA4188" w:rsidRDefault="00DA4188" w:rsidP="00FA7FCF">
      <w:pPr>
        <w:pStyle w:val="Headingb"/>
        <w:spacing w:before="120" w:after="120"/>
        <w:sectPr w:rsidR="00DA4188"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bookmarkStart w:id="6" w:name="lt_pId455"/>
    </w:p>
    <w:tbl>
      <w:tblPr>
        <w:tblW w:w="10093" w:type="dxa"/>
        <w:tblInd w:w="-15" w:type="dxa"/>
        <w:tblLayout w:type="fixed"/>
        <w:tblLook w:val="0000" w:firstRow="0" w:lastRow="0" w:firstColumn="0" w:lastColumn="0" w:noHBand="0" w:noVBand="0"/>
      </w:tblPr>
      <w:tblGrid>
        <w:gridCol w:w="10093"/>
      </w:tblGrid>
      <w:tr w:rsidR="001834BD" w:rsidRPr="00AD25AE" w14:paraId="658F5B62"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2596093E" w14:textId="6BAAFF26" w:rsidR="001834BD" w:rsidRPr="00AD25AE" w:rsidRDefault="001834BD" w:rsidP="00FA7FCF">
            <w:pPr>
              <w:pStyle w:val="Headingb"/>
              <w:spacing w:before="120" w:after="120"/>
            </w:pPr>
            <w:r w:rsidRPr="00AD25AE">
              <w:lastRenderedPageBreak/>
              <w:t>Comentarios relativos al Documento C20/</w:t>
            </w:r>
            <w:bookmarkEnd w:id="6"/>
            <w:r w:rsidR="005472BD" w:rsidRPr="005472BD">
              <w:t>27</w:t>
            </w:r>
          </w:p>
          <w:p w14:paraId="07ED62D9" w14:textId="77777777" w:rsidR="005472BD" w:rsidRPr="005D2F70" w:rsidRDefault="005472BD" w:rsidP="00783A70">
            <w:pPr>
              <w:rPr>
                <w:rFonts w:eastAsia="Calibri"/>
              </w:rPr>
            </w:pPr>
            <w:bookmarkStart w:id="7" w:name="lt_pId014"/>
            <w:r w:rsidRPr="00DF2FE6">
              <w:rPr>
                <w:rFonts w:eastAsia="Calibri"/>
              </w:rPr>
              <w:t xml:space="preserve">En el presente documento se señalan a la atención del Consejo las cuestiones relacionadas con la </w:t>
            </w:r>
            <w:r>
              <w:rPr>
                <w:rFonts w:eastAsia="Calibri"/>
              </w:rPr>
              <w:t>implement</w:t>
            </w:r>
            <w:r w:rsidRPr="00DF2FE6">
              <w:rPr>
                <w:rFonts w:eastAsia="Calibri"/>
              </w:rPr>
              <w:t xml:space="preserve">ación de la Resolución 559 (CMR-19) </w:t>
            </w:r>
            <w:r w:rsidRPr="00783A70">
              <w:rPr>
                <w:rFonts w:eastAsia="Calibri"/>
              </w:rPr>
              <w:t>planteadas</w:t>
            </w:r>
            <w:r w:rsidRPr="00DF2FE6">
              <w:rPr>
                <w:rFonts w:eastAsia="Calibri"/>
              </w:rPr>
              <w:t xml:space="preserve"> por la administración tunecina</w:t>
            </w:r>
            <w:r>
              <w:rPr>
                <w:rFonts w:eastAsia="Calibri"/>
              </w:rPr>
              <w:t xml:space="preserve">. </w:t>
            </w:r>
            <w:bookmarkEnd w:id="7"/>
          </w:p>
          <w:p w14:paraId="38F5D1B6" w14:textId="77777777" w:rsidR="005472BD" w:rsidRDefault="005472BD" w:rsidP="00783A70">
            <w:pPr>
              <w:rPr>
                <w:rFonts w:eastAsia="Calibri"/>
                <w:b/>
              </w:rPr>
            </w:pPr>
            <w:r>
              <w:rPr>
                <w:rFonts w:eastAsia="Calibri"/>
              </w:rPr>
              <w:t>E</w:t>
            </w:r>
            <w:r w:rsidRPr="00DF2FE6">
              <w:rPr>
                <w:rFonts w:eastAsia="Calibri"/>
              </w:rPr>
              <w:t>l Artículo 44 de la Consti</w:t>
            </w:r>
            <w:r w:rsidR="00783A70">
              <w:rPr>
                <w:rFonts w:eastAsia="Calibri"/>
              </w:rPr>
              <w:t xml:space="preserve">tución de la UIT estipula que: </w:t>
            </w:r>
            <w:r w:rsidR="00783A70" w:rsidRPr="00783A70">
              <w:rPr>
                <w:rFonts w:eastAsia="Calibri"/>
                <w:i/>
              </w:rPr>
              <w:t>"</w:t>
            </w:r>
            <w:r w:rsidRPr="00783A70">
              <w:rPr>
                <w:rFonts w:eastAsia="Calibri"/>
                <w:i/>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00783A70" w:rsidRPr="00783A70">
              <w:rPr>
                <w:rFonts w:eastAsia="Calibri"/>
                <w:i/>
              </w:rPr>
              <w:t>"</w:t>
            </w:r>
            <w:r w:rsidRPr="00783A70">
              <w:rPr>
                <w:rFonts w:eastAsia="Calibri"/>
                <w:i/>
              </w:rPr>
              <w:t>.</w:t>
            </w:r>
          </w:p>
          <w:p w14:paraId="497AF368" w14:textId="77777777" w:rsidR="005472BD" w:rsidRDefault="005472BD" w:rsidP="00783A70">
            <w:pPr>
              <w:rPr>
                <w:rFonts w:eastAsia="Calibri"/>
              </w:rPr>
            </w:pPr>
            <w:r>
              <w:rPr>
                <w:rFonts w:eastAsia="Calibri"/>
              </w:rPr>
              <w:t xml:space="preserve">En el Artículo 11 del Apéndice 30 se </w:t>
            </w:r>
            <w:r w:rsidRPr="00783A70">
              <w:rPr>
                <w:rFonts w:eastAsia="Calibri"/>
              </w:rPr>
              <w:t>estipula</w:t>
            </w:r>
            <w:r w:rsidR="00783A70">
              <w:rPr>
                <w:rFonts w:eastAsia="Calibri"/>
              </w:rPr>
              <w:t xml:space="preserve"> que: </w:t>
            </w:r>
            <w:r w:rsidR="00783A70" w:rsidRPr="00783A70">
              <w:rPr>
                <w:rFonts w:eastAsia="Calibri"/>
                <w:i/>
              </w:rPr>
              <w:t>"</w:t>
            </w:r>
            <w:r w:rsidRPr="00783A70">
              <w:rPr>
                <w:rFonts w:eastAsia="Calibri"/>
                <w:i/>
              </w:rPr>
              <w:t xml:space="preserve">la asignación </w:t>
            </w:r>
            <w:r w:rsidR="00783A70" w:rsidRPr="00783A70">
              <w:rPr>
                <w:rFonts w:eastAsia="Calibri"/>
                <w:i/>
              </w:rPr>
              <w:t xml:space="preserve">del haz TUN27200 </w:t>
            </w:r>
            <w:r w:rsidRPr="00783A70">
              <w:rPr>
                <w:rFonts w:eastAsia="Calibri"/>
                <w:i/>
              </w:rPr>
              <w:t xml:space="preserve">está destinada a asegurar la cobertura de Argelia, Libia, Marruecos, Mauritania y Túnez, con el acuerdo de los países </w:t>
            </w:r>
            <w:r w:rsidRPr="00DA4188">
              <w:rPr>
                <w:rFonts w:eastAsia="Calibri"/>
                <w:i/>
                <w:spacing w:val="-4"/>
              </w:rPr>
              <w:t>implicados.</w:t>
            </w:r>
            <w:r w:rsidRPr="00DA4188">
              <w:rPr>
                <w:i/>
                <w:spacing w:val="-4"/>
              </w:rPr>
              <w:t xml:space="preserve"> </w:t>
            </w:r>
            <w:r w:rsidRPr="00DA4188">
              <w:rPr>
                <w:rFonts w:eastAsia="Calibri"/>
                <w:i/>
                <w:spacing w:val="-4"/>
              </w:rPr>
              <w:t>Esta asignación puede utilizarse con las características del haz TUN15000, si así se requiere</w:t>
            </w:r>
            <w:r w:rsidR="00783A70" w:rsidRPr="00DA4188">
              <w:rPr>
                <w:rFonts w:eastAsia="Calibri"/>
                <w:i/>
                <w:spacing w:val="-4"/>
              </w:rPr>
              <w:t>"</w:t>
            </w:r>
            <w:r w:rsidRPr="00DA4188">
              <w:rPr>
                <w:rFonts w:eastAsia="Calibri"/>
                <w:spacing w:val="-4"/>
              </w:rPr>
              <w:t>.</w:t>
            </w:r>
          </w:p>
          <w:p w14:paraId="0CD8B0C8" w14:textId="77777777" w:rsidR="005472BD" w:rsidRDefault="005472BD" w:rsidP="00783A70">
            <w:pPr>
              <w:rPr>
                <w:rFonts w:eastAsia="Calibri"/>
              </w:rPr>
            </w:pPr>
            <w:r>
              <w:rPr>
                <w:rFonts w:eastAsia="Calibri"/>
              </w:rPr>
              <w:t xml:space="preserve">Las posiciones </w:t>
            </w:r>
            <w:r w:rsidRPr="00783A70">
              <w:rPr>
                <w:rFonts w:eastAsia="Calibri"/>
              </w:rPr>
              <w:t>orbitales</w:t>
            </w:r>
            <w:r>
              <w:rPr>
                <w:rFonts w:eastAsia="Calibri"/>
              </w:rPr>
              <w:t xml:space="preserve"> reservadas para los </w:t>
            </w:r>
            <w:r w:rsidRPr="00783A70">
              <w:rPr>
                <w:rFonts w:eastAsia="Calibri"/>
              </w:rPr>
              <w:t>países</w:t>
            </w:r>
            <w:r>
              <w:rPr>
                <w:rFonts w:eastAsia="Calibri"/>
              </w:rPr>
              <w:t xml:space="preserve"> en desarrollo resultaron afectadas como consecuencia de la falta de recursos para poder llevar a cabo una coordinación apropiada. </w:t>
            </w:r>
          </w:p>
          <w:p w14:paraId="70028D85" w14:textId="77777777" w:rsidR="005472BD" w:rsidRDefault="005472BD" w:rsidP="00783A70">
            <w:pPr>
              <w:rPr>
                <w:rFonts w:eastAsia="Calibri"/>
              </w:rPr>
            </w:pPr>
            <w:r w:rsidRPr="009120F9">
              <w:rPr>
                <w:rFonts w:eastAsia="Calibri"/>
              </w:rPr>
              <w:t xml:space="preserve">La Conferencia </w:t>
            </w:r>
            <w:r w:rsidRPr="00783A70">
              <w:rPr>
                <w:rFonts w:eastAsia="Calibri"/>
              </w:rPr>
              <w:t>Mundial</w:t>
            </w:r>
            <w:r w:rsidRPr="009120F9">
              <w:rPr>
                <w:rFonts w:eastAsia="Calibri"/>
              </w:rPr>
              <w:t xml:space="preserve"> de Radiocomunicaciones (CMR-19) adoptó la Resolución 559 que ayudará a las Administraciones que tienen asignaciones afectadas en el plan del Apéndice 30, 30A, a sustituirlas; por lo tanto, no deben aplicarse tasas de recuperación de costes.</w:t>
            </w:r>
          </w:p>
          <w:p w14:paraId="2CFC0F3E" w14:textId="77777777" w:rsidR="005472BD" w:rsidRDefault="005472BD" w:rsidP="00783A70">
            <w:pPr>
              <w:rPr>
                <w:rFonts w:eastAsia="Calibri"/>
              </w:rPr>
            </w:pPr>
            <w:r w:rsidRPr="009120F9">
              <w:rPr>
                <w:rFonts w:eastAsia="Calibri"/>
              </w:rPr>
              <w:t xml:space="preserve">La Resolución 559 (CMR-19) </w:t>
            </w:r>
            <w:r w:rsidRPr="00783A70">
              <w:rPr>
                <w:rFonts w:eastAsia="Calibri"/>
              </w:rPr>
              <w:t>tiene</w:t>
            </w:r>
            <w:r w:rsidRPr="009120F9">
              <w:rPr>
                <w:rFonts w:eastAsia="Calibri"/>
              </w:rPr>
              <w:t xml:space="preserve"> por objeto abarcar los territorios nacionales de las Administraciones interesadas. Al referirse a esta Resolución, la Ofici</w:t>
            </w:r>
            <w:r w:rsidR="00783A70">
              <w:rPr>
                <w:rFonts w:eastAsia="Calibri"/>
              </w:rPr>
              <w:t>na de Radiocomunicaciones de la </w:t>
            </w:r>
            <w:r w:rsidRPr="009120F9">
              <w:rPr>
                <w:rFonts w:eastAsia="Calibri"/>
              </w:rPr>
              <w:t xml:space="preserve">UIT ayudó a las Administraciones interesadas a encontrar nuevas </w:t>
            </w:r>
            <w:r>
              <w:rPr>
                <w:rFonts w:eastAsia="Calibri"/>
              </w:rPr>
              <w:t>posiciones</w:t>
            </w:r>
            <w:r w:rsidRPr="009120F9">
              <w:rPr>
                <w:rFonts w:eastAsia="Calibri"/>
              </w:rPr>
              <w:t xml:space="preserve"> orbitales y el espectro de frecuencias correspondiente.</w:t>
            </w:r>
          </w:p>
          <w:p w14:paraId="5CE194F7" w14:textId="77777777" w:rsidR="005472BD" w:rsidRDefault="005472BD" w:rsidP="00783A70">
            <w:pPr>
              <w:rPr>
                <w:rFonts w:eastAsia="Calibri"/>
              </w:rPr>
            </w:pPr>
            <w:r w:rsidRPr="009120F9">
              <w:rPr>
                <w:rFonts w:eastAsia="Calibri"/>
              </w:rPr>
              <w:t xml:space="preserve">Como parte de los resultados del punto 1.4 del orden del día de la Conferencia Mundial de Radiocomunicaciones (CMR-19), </w:t>
            </w:r>
            <w:r w:rsidRPr="00783A70">
              <w:rPr>
                <w:rFonts w:eastAsia="Calibri"/>
              </w:rPr>
              <w:t>Túnez</w:t>
            </w:r>
            <w:r w:rsidRPr="009120F9">
              <w:rPr>
                <w:rFonts w:eastAsia="Calibri"/>
              </w:rPr>
              <w:t xml:space="preserve"> presentó una propuesta para sustituir el haz TUN27200 y la envió el 1</w:t>
            </w:r>
            <w:r w:rsidR="00783A70">
              <w:rPr>
                <w:rFonts w:eastAsia="Calibri"/>
              </w:rPr>
              <w:t>º</w:t>
            </w:r>
            <w:r w:rsidRPr="009120F9">
              <w:rPr>
                <w:rFonts w:eastAsia="Calibri"/>
              </w:rPr>
              <w:t xml:space="preserve"> de abril de 2020 a la Oficina de Radiocomunicaciones. Sin embargo, la Oficina de Radiocomunicaciones no la aceptó con arreglo al procedimiento esp</w:t>
            </w:r>
            <w:r w:rsidR="00783A70">
              <w:rPr>
                <w:rFonts w:eastAsia="Calibri"/>
              </w:rPr>
              <w:t>ecial previsto en la Resolución </w:t>
            </w:r>
            <w:r w:rsidRPr="009120F9">
              <w:rPr>
                <w:rFonts w:eastAsia="Calibri"/>
              </w:rPr>
              <w:t>559 (CMR-19).</w:t>
            </w:r>
          </w:p>
          <w:p w14:paraId="551CA098" w14:textId="77777777" w:rsidR="001834BD" w:rsidRPr="005472BD" w:rsidRDefault="005472BD" w:rsidP="00783A70">
            <w:pPr>
              <w:rPr>
                <w:szCs w:val="24"/>
                <w:lang w:eastAsia="zh-CN"/>
              </w:rPr>
            </w:pPr>
            <w:r w:rsidRPr="009120F9">
              <w:rPr>
                <w:rFonts w:eastAsia="Calibri"/>
              </w:rPr>
              <w:t xml:space="preserve">La Administración de Túnez presentó la nueva asignación del haz TUN27200 con arreglo al procedimiento previsto </w:t>
            </w:r>
            <w:r w:rsidRPr="00783A70">
              <w:rPr>
                <w:rFonts w:eastAsia="Calibri"/>
              </w:rPr>
              <w:t>en</w:t>
            </w:r>
            <w:r w:rsidRPr="009120F9">
              <w:rPr>
                <w:rFonts w:eastAsia="Calibri"/>
              </w:rPr>
              <w:t xml:space="preserve"> el artículo 4 de los Apéndices 30 y 30A.</w:t>
            </w:r>
          </w:p>
          <w:p w14:paraId="4649D164" w14:textId="77777777" w:rsidR="001834BD" w:rsidRPr="00AD25AE" w:rsidRDefault="001834BD" w:rsidP="00FA7FCF">
            <w:pPr>
              <w:pStyle w:val="Headingb"/>
              <w:spacing w:before="120" w:after="120"/>
            </w:pPr>
            <w:bookmarkStart w:id="8" w:name="lt_pId456"/>
            <w:r w:rsidRPr="00AD25AE">
              <w:t>Camino a seguir propuesto</w:t>
            </w:r>
            <w:bookmarkEnd w:id="8"/>
          </w:p>
          <w:p w14:paraId="18F2D1EE" w14:textId="77777777" w:rsidR="005472BD" w:rsidRDefault="005472BD" w:rsidP="00783A70">
            <w:pPr>
              <w:rPr>
                <w:rFonts w:eastAsia="Calibri"/>
              </w:rPr>
            </w:pPr>
            <w:r w:rsidRPr="009120F9">
              <w:rPr>
                <w:rFonts w:eastAsia="Calibri"/>
              </w:rPr>
              <w:t xml:space="preserve">En respuesta a las </w:t>
            </w:r>
            <w:r w:rsidRPr="00783A70">
              <w:rPr>
                <w:rFonts w:eastAsia="Calibri"/>
              </w:rPr>
              <w:t>inquietudes</w:t>
            </w:r>
            <w:r w:rsidRPr="009120F9">
              <w:rPr>
                <w:rFonts w:eastAsia="Calibri"/>
              </w:rPr>
              <w:t xml:space="preserve"> mencionadas, Túnez pide al Consejo que incluya en el acta de la reunión del Consejo el siguiente texto</w:t>
            </w:r>
            <w:r>
              <w:rPr>
                <w:rFonts w:eastAsia="Calibri"/>
              </w:rPr>
              <w:t>:</w:t>
            </w:r>
          </w:p>
          <w:p w14:paraId="366C60D1" w14:textId="77777777" w:rsidR="001834BD" w:rsidRPr="00783A70" w:rsidRDefault="00783A70" w:rsidP="00783A70">
            <w:pPr>
              <w:rPr>
                <w:rFonts w:eastAsia="Calibri"/>
                <w:i/>
              </w:rPr>
            </w:pPr>
            <w:r w:rsidRPr="00783A70">
              <w:rPr>
                <w:rFonts w:eastAsia="Calibri"/>
                <w:i/>
              </w:rPr>
              <w:t>"</w:t>
            </w:r>
            <w:r w:rsidR="005472BD" w:rsidRPr="00783A70">
              <w:rPr>
                <w:rFonts w:eastAsia="Calibri"/>
                <w:i/>
              </w:rPr>
              <w:t>la reunión virtual consultiva del Consejo</w:t>
            </w:r>
            <w:r>
              <w:rPr>
                <w:rFonts w:eastAsia="Calibri"/>
                <w:i/>
              </w:rPr>
              <w:t>,</w:t>
            </w:r>
            <w:r w:rsidR="005472BD" w:rsidRPr="00783A70">
              <w:rPr>
                <w:rFonts w:eastAsia="Calibri"/>
                <w:i/>
              </w:rPr>
              <w:t xml:space="preserve"> celebrada del 9 al 15 de junio de 2020, ha considerado y agradecido los amplios esfuerzos desplegados por la Oficina de Radiocomunicaciones de la UIT para ayudar a las Administraciones de la Región 1 afectadas por la Resolución 559 a identificar las posiciones orbitales y el espectro de frecuencias adecuados (en adelante, las presentaciones en virtud de la Resolución 559) para sustituir las asignaciones afectadas en el Plan del servicio de radiodifusión por satélite de los Apéndices 30 y 30A.</w:t>
            </w:r>
          </w:p>
          <w:p w14:paraId="76CB0518" w14:textId="77777777" w:rsidR="005472BD" w:rsidRPr="00AD25AE" w:rsidRDefault="005472BD" w:rsidP="00783A70">
            <w:pPr>
              <w:spacing w:after="120"/>
            </w:pPr>
            <w:r w:rsidRPr="00783A70">
              <w:rPr>
                <w:i/>
              </w:rPr>
              <w:t>El Consejo encarga a la Oficina de Radiocomunicaciones que no aplique ninguna tasa de recuperación de costos para la presentación de TUN27200".</w:t>
            </w:r>
          </w:p>
        </w:tc>
      </w:tr>
    </w:tbl>
    <w:p w14:paraId="28B04FC4" w14:textId="78EF16BF" w:rsidR="00C2727F" w:rsidRDefault="005472BD" w:rsidP="00DA4188">
      <w:pPr>
        <w:spacing w:before="360"/>
        <w:jc w:val="center"/>
      </w:pPr>
      <w:r>
        <w:t>______________</w:t>
      </w:r>
    </w:p>
    <w:sectPr w:rsidR="00C2727F" w:rsidSect="00DA4188">
      <w:headerReference w:type="first" r:id="rId13"/>
      <w:footerReference w:type="first" r:id="rId14"/>
      <w:pgSz w:w="11907" w:h="16834"/>
      <w:pgMar w:top="1418" w:right="1134" w:bottom="1247" w:left="1134" w:header="720" w:footer="720" w:gutter="0"/>
      <w:paperSrc w:first="1264" w:other="126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319EB" w14:textId="77777777" w:rsidR="005472BD" w:rsidRDefault="005472BD">
      <w:r>
        <w:separator/>
      </w:r>
    </w:p>
  </w:endnote>
  <w:endnote w:type="continuationSeparator" w:id="0">
    <w:p w14:paraId="41934227" w14:textId="77777777" w:rsidR="005472BD" w:rsidRDefault="0054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7968C" w14:textId="77777777" w:rsidR="00760F1C" w:rsidRPr="00DA4188" w:rsidRDefault="004A386F">
    <w:pPr>
      <w:pStyle w:val="Footer"/>
      <w:rPr>
        <w:color w:val="D9D9D9" w:themeColor="background1" w:themeShade="D9"/>
        <w:lang w:val="fr-CH"/>
      </w:rPr>
    </w:pPr>
    <w:r w:rsidRPr="00DA4188">
      <w:rPr>
        <w:color w:val="D9D9D9" w:themeColor="background1" w:themeShade="D9"/>
      </w:rPr>
      <w:fldChar w:fldCharType="begin"/>
    </w:r>
    <w:r w:rsidRPr="00DA4188">
      <w:rPr>
        <w:color w:val="D9D9D9" w:themeColor="background1" w:themeShade="D9"/>
      </w:rPr>
      <w:instrText xml:space="preserve"> FILENAME \p \* MERGEFORMAT </w:instrText>
    </w:r>
    <w:r w:rsidRPr="00DA4188">
      <w:rPr>
        <w:color w:val="D9D9D9" w:themeColor="background1" w:themeShade="D9"/>
      </w:rPr>
      <w:fldChar w:fldCharType="separate"/>
    </w:r>
    <w:r w:rsidR="00C0546B" w:rsidRPr="00DA4188">
      <w:rPr>
        <w:color w:val="D9D9D9" w:themeColor="background1" w:themeShade="D9"/>
        <w:lang w:val="fr-CH"/>
      </w:rPr>
      <w:t>P</w:t>
    </w:r>
    <w:r w:rsidR="00C0546B" w:rsidRPr="00DA4188">
      <w:rPr>
        <w:color w:val="D9D9D9" w:themeColor="background1" w:themeShade="D9"/>
      </w:rPr>
      <w:t>:\ESP\SG\CONSEIL\VC\000\009S.docx</w:t>
    </w:r>
    <w:r w:rsidRPr="00DA4188">
      <w:rPr>
        <w:color w:val="D9D9D9" w:themeColor="background1" w:themeShade="D9"/>
        <w:lang w:val="en-US"/>
      </w:rPr>
      <w:fldChar w:fldCharType="end"/>
    </w:r>
    <w:r w:rsidR="00C0546B" w:rsidRPr="00DA4188">
      <w:rPr>
        <w:color w:val="D9D9D9" w:themeColor="background1" w:themeShade="D9"/>
        <w:lang w:val="fr-CH"/>
      </w:rPr>
      <w:t xml:space="preserve"> (</w:t>
    </w:r>
    <w:r w:rsidR="00783A70" w:rsidRPr="00DA4188">
      <w:rPr>
        <w:color w:val="D9D9D9" w:themeColor="background1" w:themeShade="D9"/>
        <w:lang w:val="fr-CH"/>
      </w:rPr>
      <w:t>471776</w:t>
    </w:r>
    <w:r w:rsidR="00C0546B" w:rsidRPr="00DA4188">
      <w:rPr>
        <w:color w:val="D9D9D9" w:themeColor="background1" w:themeShade="D9"/>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0F55E" w14:textId="21D296AC" w:rsidR="00760F1C" w:rsidRPr="00DA4188" w:rsidRDefault="00DA4188" w:rsidP="00DA4188">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1AFEB" w14:textId="0EC6BA8B" w:rsidR="00DA4188" w:rsidRPr="00DA4188" w:rsidRDefault="00DA4188" w:rsidP="00DA4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CC53C" w14:textId="77777777" w:rsidR="005472BD" w:rsidRDefault="005472BD">
      <w:r>
        <w:t>____________________</w:t>
      </w:r>
    </w:p>
  </w:footnote>
  <w:footnote w:type="continuationSeparator" w:id="0">
    <w:p w14:paraId="0A5109FE" w14:textId="77777777" w:rsidR="005472BD" w:rsidRDefault="0054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D9A0" w14:textId="77777777" w:rsidR="00760F1C" w:rsidRDefault="000B7C15" w:rsidP="007657F0">
    <w:pPr>
      <w:pStyle w:val="Header"/>
    </w:pPr>
    <w:r>
      <w:fldChar w:fldCharType="begin"/>
    </w:r>
    <w:r>
      <w:instrText>PAGE</w:instrText>
    </w:r>
    <w:r>
      <w:fldChar w:fldCharType="separate"/>
    </w:r>
    <w:r w:rsidR="004A386F">
      <w:rPr>
        <w:noProof/>
      </w:rPr>
      <w:t>2</w:t>
    </w:r>
    <w:r>
      <w:rPr>
        <w:noProof/>
      </w:rPr>
      <w:fldChar w:fldCharType="end"/>
    </w:r>
  </w:p>
  <w:p w14:paraId="0D828FCB" w14:textId="77777777" w:rsidR="00760F1C" w:rsidRDefault="001834BD" w:rsidP="00C2727F">
    <w:pPr>
      <w:pStyle w:val="Header"/>
    </w:pPr>
    <w:r>
      <w:t>VC</w:t>
    </w:r>
    <w:r w:rsidR="005472BD">
      <w:t>/9</w:t>
    </w:r>
    <w:r w:rsidR="00760F1C">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E14D" w14:textId="77777777" w:rsidR="00DA4188" w:rsidRDefault="00DA4188" w:rsidP="00DA4188">
    <w:pPr>
      <w:pStyle w:val="Header"/>
    </w:pPr>
    <w:r>
      <w:fldChar w:fldCharType="begin"/>
    </w:r>
    <w:r>
      <w:instrText>PAGE</w:instrText>
    </w:r>
    <w:r>
      <w:fldChar w:fldCharType="separate"/>
    </w:r>
    <w:r>
      <w:t>2</w:t>
    </w:r>
    <w:r>
      <w:rPr>
        <w:noProof/>
      </w:rPr>
      <w:fldChar w:fldCharType="end"/>
    </w:r>
  </w:p>
  <w:p w14:paraId="1C1D18F2" w14:textId="3A3B71AB" w:rsidR="00DA4188" w:rsidRDefault="00DA4188" w:rsidP="00DA4188">
    <w:pPr>
      <w:pStyle w:val="Header"/>
      <w:spacing w:after="120"/>
    </w:pPr>
    <w:r>
      <w:t>VC/</w:t>
    </w:r>
    <w:r>
      <w:t>9</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BD"/>
    <w:rsid w:val="00093EEB"/>
    <w:rsid w:val="000B0D00"/>
    <w:rsid w:val="000B7C15"/>
    <w:rsid w:val="000D1D0F"/>
    <w:rsid w:val="000F5290"/>
    <w:rsid w:val="0010165C"/>
    <w:rsid w:val="00146BFB"/>
    <w:rsid w:val="001834BD"/>
    <w:rsid w:val="001F14A2"/>
    <w:rsid w:val="002801AA"/>
    <w:rsid w:val="002C4676"/>
    <w:rsid w:val="002C70B0"/>
    <w:rsid w:val="002F3CC4"/>
    <w:rsid w:val="00491AC1"/>
    <w:rsid w:val="004A386F"/>
    <w:rsid w:val="00513630"/>
    <w:rsid w:val="005472BD"/>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83A70"/>
    <w:rsid w:val="007955DA"/>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0546B"/>
    <w:rsid w:val="00C20C59"/>
    <w:rsid w:val="00C2727F"/>
    <w:rsid w:val="00C55B1F"/>
    <w:rsid w:val="00CB034A"/>
    <w:rsid w:val="00CE1AFA"/>
    <w:rsid w:val="00CF1A67"/>
    <w:rsid w:val="00D2750E"/>
    <w:rsid w:val="00D62446"/>
    <w:rsid w:val="00DA4188"/>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B8D3B1"/>
  <w15:docId w15:val="{E15BAF4D-7E8C-4326-8B80-9001002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NoTitle">
    <w:name w:val="Annex_NoTitle"/>
    <w:basedOn w:val="Normal"/>
    <w:next w:val="Normal"/>
    <w:rsid w:val="001834BD"/>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B3460-21CE-456E-935E-6A7045212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2AB55-9E69-4A25-8954-48157716F8F4}">
  <ds:schemaRefs>
    <ds:schemaRef ds:uri="http://schemas.microsoft.com/sharepoint/v3/contenttype/forms"/>
  </ds:schemaRefs>
</ds:datastoreItem>
</file>

<file path=customXml/itemProps3.xml><?xml version="1.0" encoding="utf-8"?>
<ds:datastoreItem xmlns:ds="http://schemas.openxmlformats.org/officeDocument/2006/customXml" ds:itemID="{5D0F2F24-6D43-4338-8EC7-9AFC3A84C7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2</TotalTime>
  <Pages>2</Pages>
  <Words>579</Words>
  <Characters>3294</Characters>
  <Application>Microsoft Office Word</Application>
  <DocSecurity>4</DocSecurity>
  <Lines>27</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3866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Túnez - Implementación de la Resolución 559 (CMR-19) - Nueva presentación de TUN27200 en virtud del Artículo 4</dc:title>
  <dc:subject>Virtual consultation of councillors</dc:subject>
  <dc:creator>Callejon, Miguel</dc:creator>
  <cp:keywords>VCC, VC</cp:keywords>
  <dc:description/>
  <cp:lastModifiedBy>Brouard, Ricarda</cp:lastModifiedBy>
  <cp:revision>2</cp:revision>
  <cp:lastPrinted>2006-03-24T09:51:00Z</cp:lastPrinted>
  <dcterms:created xsi:type="dcterms:W3CDTF">2020-06-02T09:49:00Z</dcterms:created>
  <dcterms:modified xsi:type="dcterms:W3CDTF">2020-06-02T09:49:00Z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