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ED4F28" w:rsidRPr="00F82261" w14:paraId="5EBA1C00" w14:textId="77777777" w:rsidTr="00FA7FCF">
        <w:trPr>
          <w:cantSplit/>
          <w:trHeight w:val="1276"/>
        </w:trPr>
        <w:tc>
          <w:tcPr>
            <w:tcW w:w="6911" w:type="dxa"/>
          </w:tcPr>
          <w:p w14:paraId="31AD0730" w14:textId="77777777" w:rsidR="00ED4F28" w:rsidRPr="00F82261" w:rsidRDefault="00ED4F28" w:rsidP="00F448E5">
            <w:pPr>
              <w:spacing w:before="360" w:after="48" w:line="240" w:lineRule="auto"/>
              <w:jc w:val="left"/>
              <w:rPr>
                <w:b/>
                <w:bCs/>
                <w:position w:val="6"/>
                <w:sz w:val="26"/>
                <w:szCs w:val="26"/>
              </w:rPr>
            </w:pPr>
            <w:r w:rsidRPr="00F82261">
              <w:rPr>
                <w:b/>
                <w:bCs/>
                <w:position w:val="6"/>
                <w:sz w:val="26"/>
                <w:szCs w:val="26"/>
              </w:rPr>
              <w:t xml:space="preserve">Consultation virtuelle des Conseillers </w:t>
            </w:r>
            <w:r w:rsidRPr="00F82261">
              <w:rPr>
                <w:b/>
                <w:bCs/>
                <w:position w:val="6"/>
                <w:sz w:val="26"/>
                <w:szCs w:val="26"/>
              </w:rPr>
              <w:br/>
              <w:t>débutant le 9 juin 2020</w:t>
            </w:r>
          </w:p>
        </w:tc>
        <w:tc>
          <w:tcPr>
            <w:tcW w:w="3120" w:type="dxa"/>
            <w:vAlign w:val="center"/>
          </w:tcPr>
          <w:p w14:paraId="55F97995" w14:textId="77777777" w:rsidR="00ED4F28" w:rsidRPr="00F82261" w:rsidRDefault="00ED4F28" w:rsidP="00F448E5">
            <w:pPr>
              <w:spacing w:before="0" w:line="240" w:lineRule="auto"/>
            </w:pPr>
            <w:bookmarkStart w:id="0" w:name="ditulogo"/>
            <w:bookmarkEnd w:id="0"/>
            <w:r w:rsidRPr="00F82261">
              <w:rPr>
                <w:noProof/>
              </w:rPr>
              <w:drawing>
                <wp:inline distT="0" distB="0" distL="0" distR="0" wp14:anchorId="70F1B33A" wp14:editId="0375A445">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F82261" w14:paraId="5AD08796" w14:textId="77777777" w:rsidTr="00FA7FCF">
        <w:trPr>
          <w:cantSplit/>
        </w:trPr>
        <w:tc>
          <w:tcPr>
            <w:tcW w:w="6911" w:type="dxa"/>
            <w:tcBorders>
              <w:bottom w:val="single" w:sz="12" w:space="0" w:color="auto"/>
            </w:tcBorders>
          </w:tcPr>
          <w:p w14:paraId="24D101CB" w14:textId="77777777" w:rsidR="00ED4F28" w:rsidRPr="00F82261" w:rsidRDefault="00ED4F28" w:rsidP="00F448E5">
            <w:pPr>
              <w:spacing w:before="0" w:after="48" w:line="240" w:lineRule="auto"/>
              <w:rPr>
                <w:b/>
                <w:smallCaps/>
                <w:szCs w:val="24"/>
              </w:rPr>
            </w:pPr>
          </w:p>
        </w:tc>
        <w:tc>
          <w:tcPr>
            <w:tcW w:w="3120" w:type="dxa"/>
            <w:tcBorders>
              <w:bottom w:val="single" w:sz="12" w:space="0" w:color="auto"/>
            </w:tcBorders>
          </w:tcPr>
          <w:p w14:paraId="013EA1C4" w14:textId="77777777" w:rsidR="00ED4F28" w:rsidRPr="00F82261" w:rsidRDefault="00ED4F28" w:rsidP="00F448E5">
            <w:pPr>
              <w:spacing w:before="0" w:line="240" w:lineRule="auto"/>
              <w:rPr>
                <w:szCs w:val="24"/>
              </w:rPr>
            </w:pPr>
          </w:p>
        </w:tc>
      </w:tr>
      <w:tr w:rsidR="00ED4F28" w:rsidRPr="00F82261" w14:paraId="3E6FF050" w14:textId="77777777" w:rsidTr="00FA7FCF">
        <w:trPr>
          <w:cantSplit/>
        </w:trPr>
        <w:tc>
          <w:tcPr>
            <w:tcW w:w="6911" w:type="dxa"/>
            <w:tcBorders>
              <w:top w:val="single" w:sz="12" w:space="0" w:color="auto"/>
            </w:tcBorders>
          </w:tcPr>
          <w:p w14:paraId="0CEE65DB" w14:textId="77777777" w:rsidR="00ED4F28" w:rsidRPr="00F82261" w:rsidRDefault="00ED4F28" w:rsidP="00F448E5">
            <w:pPr>
              <w:spacing w:before="0" w:after="48" w:line="240" w:lineRule="auto"/>
              <w:rPr>
                <w:b/>
                <w:smallCaps/>
                <w:szCs w:val="24"/>
              </w:rPr>
            </w:pPr>
          </w:p>
        </w:tc>
        <w:tc>
          <w:tcPr>
            <w:tcW w:w="3120" w:type="dxa"/>
            <w:tcBorders>
              <w:top w:val="single" w:sz="12" w:space="0" w:color="auto"/>
            </w:tcBorders>
          </w:tcPr>
          <w:p w14:paraId="6EA12AD3" w14:textId="7404BBDA" w:rsidR="00ED4F28" w:rsidRPr="00F82261" w:rsidRDefault="00ED4F28" w:rsidP="00F448E5">
            <w:pPr>
              <w:spacing w:before="240" w:line="240" w:lineRule="auto"/>
              <w:rPr>
                <w:b/>
                <w:bCs/>
                <w:szCs w:val="24"/>
              </w:rPr>
            </w:pPr>
            <w:r w:rsidRPr="00F82261">
              <w:rPr>
                <w:b/>
                <w:bCs/>
              </w:rPr>
              <w:t>Document VC/</w:t>
            </w:r>
            <w:r w:rsidR="004D7229" w:rsidRPr="00F82261">
              <w:rPr>
                <w:b/>
                <w:bCs/>
              </w:rPr>
              <w:t>9</w:t>
            </w:r>
            <w:r w:rsidRPr="00F82261">
              <w:rPr>
                <w:b/>
                <w:bCs/>
              </w:rPr>
              <w:t>-F</w:t>
            </w:r>
          </w:p>
          <w:p w14:paraId="37F4C522" w14:textId="0BC49AA7" w:rsidR="00ED4F28" w:rsidRPr="00F82261" w:rsidRDefault="004D7229" w:rsidP="00F448E5">
            <w:pPr>
              <w:spacing w:before="0" w:line="240" w:lineRule="auto"/>
              <w:rPr>
                <w:b/>
                <w:bCs/>
                <w:szCs w:val="24"/>
              </w:rPr>
            </w:pPr>
            <w:r w:rsidRPr="00F82261">
              <w:rPr>
                <w:b/>
                <w:bCs/>
              </w:rPr>
              <w:t>29 mai</w:t>
            </w:r>
            <w:r w:rsidR="00ED4F28" w:rsidRPr="00F82261">
              <w:rPr>
                <w:b/>
                <w:bCs/>
              </w:rPr>
              <w:t xml:space="preserve"> 2020</w:t>
            </w:r>
          </w:p>
          <w:p w14:paraId="30C631C4" w14:textId="1D2AABE1" w:rsidR="00ED4F28" w:rsidRPr="00F82261" w:rsidRDefault="00ED4F28" w:rsidP="00F448E5">
            <w:pPr>
              <w:spacing w:before="0" w:line="240" w:lineRule="auto"/>
              <w:rPr>
                <w:szCs w:val="24"/>
              </w:rPr>
            </w:pPr>
            <w:r w:rsidRPr="00F82261">
              <w:rPr>
                <w:b/>
                <w:bCs/>
              </w:rPr>
              <w:t>Original: anglais</w:t>
            </w:r>
          </w:p>
        </w:tc>
      </w:tr>
    </w:tbl>
    <w:p w14:paraId="5DB07637" w14:textId="77777777" w:rsidR="00ED4F28" w:rsidRPr="00F82261" w:rsidRDefault="00ED4F28" w:rsidP="00F448E5">
      <w:pPr>
        <w:spacing w:before="0" w:line="240" w:lineRule="auto"/>
        <w:rPr>
          <w:b/>
          <w:bCs/>
          <w:sz w:val="28"/>
        </w:rPr>
      </w:pPr>
      <w:bookmarkStart w:id="1" w:name="dorlang" w:colFirst="1" w:colLast="1"/>
    </w:p>
    <w:tbl>
      <w:tblPr>
        <w:tblW w:w="10093" w:type="dxa"/>
        <w:tblLayout w:type="fixed"/>
        <w:tblLook w:val="0000" w:firstRow="0" w:lastRow="0" w:firstColumn="0" w:lastColumn="0" w:noHBand="0" w:noVBand="0"/>
      </w:tblPr>
      <w:tblGrid>
        <w:gridCol w:w="2835"/>
        <w:gridCol w:w="7258"/>
      </w:tblGrid>
      <w:tr w:rsidR="00ED4F28" w:rsidRPr="00F82261" w14:paraId="5223D652" w14:textId="77777777" w:rsidTr="00FA7FCF">
        <w:trPr>
          <w:cantSplit/>
        </w:trPr>
        <w:tc>
          <w:tcPr>
            <w:tcW w:w="2835" w:type="dxa"/>
            <w:tcBorders>
              <w:right w:val="single" w:sz="12" w:space="0" w:color="auto"/>
            </w:tcBorders>
            <w:vAlign w:val="center"/>
          </w:tcPr>
          <w:p w14:paraId="55B41703" w14:textId="77777777" w:rsidR="00ED4F28" w:rsidRPr="00F82261" w:rsidRDefault="00ED4F28" w:rsidP="00F448E5">
            <w:pPr>
              <w:spacing w:before="0" w:line="240" w:lineRule="auto"/>
              <w:jc w:val="left"/>
              <w:rPr>
                <w:b/>
                <w:bCs/>
              </w:rPr>
            </w:pPr>
            <w:bookmarkStart w:id="2" w:name="dsource" w:colFirst="0" w:colLast="0"/>
            <w:bookmarkEnd w:id="1"/>
            <w:r w:rsidRPr="00F82261">
              <w:rPr>
                <w:b/>
                <w:bCs/>
              </w:rPr>
              <w:t>Nom(s) de l'État Membre/des États Membres présentant la contribution:</w:t>
            </w:r>
          </w:p>
        </w:tc>
        <w:tc>
          <w:tcPr>
            <w:tcW w:w="7258" w:type="dxa"/>
            <w:tcBorders>
              <w:top w:val="single" w:sz="12" w:space="0" w:color="auto"/>
              <w:left w:val="single" w:sz="12" w:space="0" w:color="auto"/>
              <w:bottom w:val="single" w:sz="12" w:space="0" w:color="auto"/>
              <w:right w:val="single" w:sz="12" w:space="0" w:color="auto"/>
            </w:tcBorders>
            <w:vAlign w:val="center"/>
          </w:tcPr>
          <w:p w14:paraId="78E3B1AB" w14:textId="3E701842" w:rsidR="00ED4F28" w:rsidRPr="00F82261" w:rsidRDefault="004D7229" w:rsidP="00F448E5">
            <w:pPr>
              <w:spacing w:before="0" w:line="240" w:lineRule="auto"/>
              <w:rPr>
                <w:b/>
                <w:bCs/>
              </w:rPr>
            </w:pPr>
            <w:r w:rsidRPr="00F82261">
              <w:rPr>
                <w:b/>
                <w:bCs/>
              </w:rPr>
              <w:t>Tunisie</w:t>
            </w:r>
          </w:p>
        </w:tc>
      </w:tr>
      <w:tr w:rsidR="00ED4F28" w:rsidRPr="00F82261" w14:paraId="0D2E87FA" w14:textId="77777777" w:rsidTr="00FA7FCF">
        <w:trPr>
          <w:cantSplit/>
        </w:trPr>
        <w:tc>
          <w:tcPr>
            <w:tcW w:w="2835" w:type="dxa"/>
          </w:tcPr>
          <w:p w14:paraId="43E1E287" w14:textId="77777777" w:rsidR="00ED4F28" w:rsidRPr="00F82261" w:rsidRDefault="00ED4F28" w:rsidP="00F448E5">
            <w:pPr>
              <w:spacing w:before="0" w:line="240" w:lineRule="auto"/>
              <w:rPr>
                <w:sz w:val="16"/>
                <w:szCs w:val="16"/>
              </w:rPr>
            </w:pPr>
          </w:p>
        </w:tc>
        <w:tc>
          <w:tcPr>
            <w:tcW w:w="7258" w:type="dxa"/>
            <w:tcBorders>
              <w:top w:val="single" w:sz="12" w:space="0" w:color="auto"/>
              <w:bottom w:val="single" w:sz="12" w:space="0" w:color="auto"/>
            </w:tcBorders>
          </w:tcPr>
          <w:p w14:paraId="4BBC2D9C" w14:textId="77777777" w:rsidR="00ED4F28" w:rsidRPr="00F82261" w:rsidRDefault="00ED4F28" w:rsidP="00F448E5">
            <w:pPr>
              <w:spacing w:before="0" w:line="240" w:lineRule="auto"/>
              <w:rPr>
                <w:sz w:val="16"/>
                <w:szCs w:val="16"/>
              </w:rPr>
            </w:pPr>
          </w:p>
        </w:tc>
      </w:tr>
      <w:tr w:rsidR="00ED4F28" w:rsidRPr="00F82261" w14:paraId="386535EF" w14:textId="77777777" w:rsidTr="00FA7FCF">
        <w:trPr>
          <w:cantSplit/>
        </w:trPr>
        <w:tc>
          <w:tcPr>
            <w:tcW w:w="2835" w:type="dxa"/>
            <w:tcBorders>
              <w:right w:val="single" w:sz="12" w:space="0" w:color="auto"/>
            </w:tcBorders>
          </w:tcPr>
          <w:p w14:paraId="4D232E2D" w14:textId="77777777" w:rsidR="00ED4F28" w:rsidRPr="00F82261" w:rsidRDefault="00ED4F28" w:rsidP="00F448E5">
            <w:pPr>
              <w:spacing w:after="120" w:line="240" w:lineRule="auto"/>
              <w:rPr>
                <w:b/>
                <w:bCs/>
              </w:rPr>
            </w:pPr>
            <w:r w:rsidRPr="00F82261">
              <w:rPr>
                <w:b/>
                <w:bCs/>
              </w:rPr>
              <w:t>Titre du document:</w:t>
            </w:r>
          </w:p>
        </w:tc>
        <w:tc>
          <w:tcPr>
            <w:tcW w:w="7258" w:type="dxa"/>
            <w:tcBorders>
              <w:top w:val="single" w:sz="12" w:space="0" w:color="auto"/>
              <w:left w:val="single" w:sz="12" w:space="0" w:color="auto"/>
              <w:bottom w:val="single" w:sz="12" w:space="0" w:color="auto"/>
              <w:right w:val="single" w:sz="12" w:space="0" w:color="auto"/>
            </w:tcBorders>
          </w:tcPr>
          <w:p w14:paraId="59AF6291" w14:textId="12C63EE9" w:rsidR="00ED4F28" w:rsidRPr="00F82261" w:rsidRDefault="00593F0B" w:rsidP="00F448E5">
            <w:pPr>
              <w:spacing w:after="120" w:line="240" w:lineRule="auto"/>
              <w:rPr>
                <w:b/>
                <w:bCs/>
              </w:rPr>
            </w:pPr>
            <w:r w:rsidRPr="00F82261">
              <w:rPr>
                <w:b/>
                <w:bCs/>
              </w:rPr>
              <w:t xml:space="preserve">Mise en œuvre de la </w:t>
            </w:r>
            <w:r w:rsidR="003B0E02" w:rsidRPr="00F82261">
              <w:rPr>
                <w:b/>
                <w:bCs/>
              </w:rPr>
              <w:t>Résolution</w:t>
            </w:r>
            <w:r w:rsidR="004D7229" w:rsidRPr="00F82261">
              <w:rPr>
                <w:b/>
                <w:bCs/>
              </w:rPr>
              <w:t xml:space="preserve"> 559 (</w:t>
            </w:r>
            <w:r w:rsidR="003B0E02" w:rsidRPr="00F82261">
              <w:rPr>
                <w:b/>
                <w:bCs/>
              </w:rPr>
              <w:t>CMR</w:t>
            </w:r>
            <w:r w:rsidR="004D7229" w:rsidRPr="00F82261">
              <w:rPr>
                <w:b/>
                <w:bCs/>
              </w:rPr>
              <w:t>-19)</w:t>
            </w:r>
            <w:r w:rsidR="004D7229" w:rsidRPr="00F82261">
              <w:rPr>
                <w:b/>
                <w:bCs/>
              </w:rPr>
              <w:br/>
            </w:r>
            <w:r w:rsidR="00AB5DE9" w:rsidRPr="00F82261">
              <w:rPr>
                <w:b/>
                <w:bCs/>
              </w:rPr>
              <w:t>N</w:t>
            </w:r>
            <w:r w:rsidRPr="00F82261">
              <w:rPr>
                <w:b/>
                <w:bCs/>
              </w:rPr>
              <w:t xml:space="preserve">ouvelle soumission du faisceau </w:t>
            </w:r>
            <w:r w:rsidR="004D7229" w:rsidRPr="00F82261">
              <w:rPr>
                <w:b/>
                <w:bCs/>
              </w:rPr>
              <w:t>TUN27200</w:t>
            </w:r>
            <w:r w:rsidRPr="00F82261">
              <w:rPr>
                <w:b/>
                <w:bCs/>
              </w:rPr>
              <w:t xml:space="preserve"> au titre de l</w:t>
            </w:r>
            <w:r w:rsidR="00E66C42" w:rsidRPr="00F82261">
              <w:rPr>
                <w:b/>
                <w:bCs/>
              </w:rPr>
              <w:t>'</w:t>
            </w:r>
            <w:r w:rsidR="004D7229" w:rsidRPr="00F82261">
              <w:rPr>
                <w:b/>
                <w:bCs/>
              </w:rPr>
              <w:t>article 4</w:t>
            </w:r>
          </w:p>
        </w:tc>
      </w:tr>
      <w:tr w:rsidR="00ED4F28" w:rsidRPr="00F82261" w14:paraId="49CD4840" w14:textId="77777777" w:rsidTr="00FA7FCF">
        <w:trPr>
          <w:cantSplit/>
          <w:trHeight w:val="269"/>
        </w:trPr>
        <w:tc>
          <w:tcPr>
            <w:tcW w:w="2835" w:type="dxa"/>
          </w:tcPr>
          <w:p w14:paraId="1DD2E2D3" w14:textId="77777777" w:rsidR="00ED4F28" w:rsidRPr="00F82261" w:rsidRDefault="00ED4F28" w:rsidP="00F448E5">
            <w:pPr>
              <w:spacing w:before="0" w:line="240" w:lineRule="auto"/>
              <w:rPr>
                <w:sz w:val="16"/>
                <w:szCs w:val="16"/>
              </w:rPr>
            </w:pPr>
          </w:p>
        </w:tc>
        <w:tc>
          <w:tcPr>
            <w:tcW w:w="7258" w:type="dxa"/>
            <w:tcBorders>
              <w:top w:val="single" w:sz="12" w:space="0" w:color="auto"/>
              <w:bottom w:val="single" w:sz="2" w:space="0" w:color="auto"/>
            </w:tcBorders>
          </w:tcPr>
          <w:p w14:paraId="3E5479B1" w14:textId="77777777" w:rsidR="00ED4F28" w:rsidRPr="00F82261" w:rsidRDefault="00ED4F28" w:rsidP="00F448E5">
            <w:pPr>
              <w:spacing w:before="0" w:line="240" w:lineRule="auto"/>
              <w:rPr>
                <w:sz w:val="16"/>
                <w:szCs w:val="16"/>
              </w:rPr>
            </w:pPr>
          </w:p>
        </w:tc>
      </w:tr>
      <w:tr w:rsidR="00ED4F28" w:rsidRPr="00F82261" w14:paraId="571A226D" w14:textId="77777777" w:rsidTr="00FA7FCF">
        <w:trPr>
          <w:cantSplit/>
          <w:trHeight w:val="668"/>
        </w:trPr>
        <w:tc>
          <w:tcPr>
            <w:tcW w:w="2835" w:type="dxa"/>
            <w:tcBorders>
              <w:right w:val="single" w:sz="2" w:space="0" w:color="auto"/>
            </w:tcBorders>
            <w:vAlign w:val="center"/>
          </w:tcPr>
          <w:p w14:paraId="6359ADFE" w14:textId="77777777" w:rsidR="00ED4F28" w:rsidRPr="00F82261" w:rsidRDefault="00ED4F28" w:rsidP="00F448E5">
            <w:pPr>
              <w:spacing w:before="0" w:line="240" w:lineRule="auto"/>
              <w:jc w:val="left"/>
              <w:rPr>
                <w:b/>
                <w:bCs/>
              </w:rPr>
            </w:pPr>
            <w:r w:rsidRPr="00F82261">
              <w:rPr>
                <w:b/>
                <w:bCs/>
              </w:rPr>
              <w:t>Référence au projet d'ordre du jour de la consultation virtuelle:</w:t>
            </w:r>
          </w:p>
        </w:tc>
        <w:tc>
          <w:tcPr>
            <w:tcW w:w="7258" w:type="dxa"/>
            <w:tcBorders>
              <w:top w:val="single" w:sz="2" w:space="0" w:color="auto"/>
              <w:left w:val="single" w:sz="2" w:space="0" w:color="auto"/>
              <w:bottom w:val="single" w:sz="2" w:space="0" w:color="auto"/>
              <w:right w:val="single" w:sz="2" w:space="0" w:color="auto"/>
            </w:tcBorders>
            <w:vAlign w:val="center"/>
          </w:tcPr>
          <w:p w14:paraId="0274D4F3" w14:textId="11AA8023" w:rsidR="00ED4F28" w:rsidRPr="00F82261" w:rsidRDefault="00AE50E5" w:rsidP="00F448E5">
            <w:pPr>
              <w:spacing w:before="240" w:after="120" w:line="240" w:lineRule="auto"/>
              <w:rPr>
                <w:b/>
                <w:bCs/>
              </w:rPr>
            </w:pPr>
            <w:hyperlink r:id="rId7" w:history="1">
              <w:r w:rsidR="00ED4F28" w:rsidRPr="00F82261">
                <w:rPr>
                  <w:rStyle w:val="Hyperlink"/>
                  <w:b/>
                  <w:bCs/>
                </w:rPr>
                <w:t>Document C20/</w:t>
              </w:r>
              <w:r w:rsidR="004D7229" w:rsidRPr="00F82261">
                <w:rPr>
                  <w:rStyle w:val="Hyperlink"/>
                  <w:b/>
                  <w:bCs/>
                </w:rPr>
                <w:t>27</w:t>
              </w:r>
            </w:hyperlink>
          </w:p>
        </w:tc>
      </w:tr>
      <w:tr w:rsidR="00ED4F28" w:rsidRPr="00F82261" w14:paraId="7342F67D" w14:textId="77777777" w:rsidTr="00FA7FCF">
        <w:trPr>
          <w:cantSplit/>
          <w:trHeight w:val="156"/>
        </w:trPr>
        <w:tc>
          <w:tcPr>
            <w:tcW w:w="2835" w:type="dxa"/>
          </w:tcPr>
          <w:p w14:paraId="20A799A0" w14:textId="77777777" w:rsidR="00ED4F28" w:rsidRPr="00F82261" w:rsidRDefault="00ED4F28" w:rsidP="00F448E5">
            <w:pPr>
              <w:spacing w:before="0" w:line="240" w:lineRule="auto"/>
              <w:rPr>
                <w:sz w:val="16"/>
                <w:szCs w:val="16"/>
              </w:rPr>
            </w:pPr>
          </w:p>
        </w:tc>
        <w:tc>
          <w:tcPr>
            <w:tcW w:w="7258" w:type="dxa"/>
            <w:tcBorders>
              <w:top w:val="single" w:sz="12" w:space="0" w:color="auto"/>
              <w:bottom w:val="single" w:sz="2" w:space="0" w:color="auto"/>
            </w:tcBorders>
          </w:tcPr>
          <w:p w14:paraId="58BD5A6D" w14:textId="77777777" w:rsidR="00ED4F28" w:rsidRPr="00F82261" w:rsidRDefault="00ED4F28" w:rsidP="00F448E5">
            <w:pPr>
              <w:spacing w:before="0" w:line="240" w:lineRule="auto"/>
              <w:rPr>
                <w:sz w:val="16"/>
                <w:szCs w:val="16"/>
              </w:rPr>
            </w:pPr>
          </w:p>
        </w:tc>
      </w:tr>
    </w:tbl>
    <w:p w14:paraId="6AF71304" w14:textId="77777777" w:rsidR="00ED4F28" w:rsidRPr="00F82261" w:rsidRDefault="00ED4F28" w:rsidP="00F448E5">
      <w:pPr>
        <w:spacing w:line="240" w:lineRule="auto"/>
        <w:rPr>
          <w:sz w:val="4"/>
          <w:szCs w:val="4"/>
        </w:rPr>
      </w:pPr>
    </w:p>
    <w:tbl>
      <w:tblPr>
        <w:tblW w:w="10093" w:type="dxa"/>
        <w:tblInd w:w="-15" w:type="dxa"/>
        <w:tblLayout w:type="fixed"/>
        <w:tblLook w:val="0000" w:firstRow="0" w:lastRow="0" w:firstColumn="0" w:lastColumn="0" w:noHBand="0" w:noVBand="0"/>
      </w:tblPr>
      <w:tblGrid>
        <w:gridCol w:w="10093"/>
      </w:tblGrid>
      <w:tr w:rsidR="00ED4F28" w:rsidRPr="00F82261" w14:paraId="772FC35A"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3D781B96" w14:textId="4F760957" w:rsidR="00ED4F28" w:rsidRPr="00F82261" w:rsidRDefault="00ED4F28" w:rsidP="00F448E5">
            <w:pPr>
              <w:pStyle w:val="Headingb"/>
            </w:pPr>
            <w:r w:rsidRPr="00F82261">
              <w:lastRenderedPageBreak/>
              <w:t>Observations relatives au Document C20/</w:t>
            </w:r>
            <w:r w:rsidR="004D7229" w:rsidRPr="00F82261">
              <w:t>27</w:t>
            </w:r>
          </w:p>
          <w:p w14:paraId="43C7147F" w14:textId="12D42933" w:rsidR="00ED4F28" w:rsidRPr="00F82261" w:rsidRDefault="000160DD" w:rsidP="00F448E5">
            <w:pPr>
              <w:spacing w:after="120" w:line="240" w:lineRule="auto"/>
              <w:jc w:val="left"/>
              <w:rPr>
                <w:szCs w:val="24"/>
                <w:lang w:eastAsia="zh-CN"/>
              </w:rPr>
            </w:pPr>
            <w:r w:rsidRPr="00F82261">
              <w:rPr>
                <w:color w:val="000000"/>
              </w:rPr>
              <w:t>Le présent document vise à porter à l'attention du Conseil des questions soulevées par l</w:t>
            </w:r>
            <w:r w:rsidR="00E66C42" w:rsidRPr="00F82261">
              <w:rPr>
                <w:color w:val="000000"/>
              </w:rPr>
              <w:t>'</w:t>
            </w:r>
            <w:r w:rsidR="00AB5DE9" w:rsidRPr="00F82261">
              <w:rPr>
                <w:color w:val="000000"/>
              </w:rPr>
              <w:t>A</w:t>
            </w:r>
            <w:r w:rsidRPr="00F82261">
              <w:rPr>
                <w:color w:val="000000"/>
              </w:rPr>
              <w:t>dministration tunisienne en ce qui concerne</w:t>
            </w:r>
            <w:r w:rsidR="00E66C42" w:rsidRPr="00F82261">
              <w:rPr>
                <w:color w:val="000000"/>
              </w:rPr>
              <w:t xml:space="preserve"> </w:t>
            </w:r>
            <w:r w:rsidRPr="00F82261">
              <w:rPr>
                <w:color w:val="000000"/>
              </w:rPr>
              <w:t>la mise en œuvre de la</w:t>
            </w:r>
            <w:r w:rsidR="00E66C42" w:rsidRPr="00F82261">
              <w:rPr>
                <w:color w:val="000000"/>
              </w:rPr>
              <w:t xml:space="preserve"> </w:t>
            </w:r>
            <w:r w:rsidR="003B0E02" w:rsidRPr="00F82261">
              <w:rPr>
                <w:szCs w:val="24"/>
                <w:lang w:eastAsia="zh-CN"/>
              </w:rPr>
              <w:t>Résolution</w:t>
            </w:r>
            <w:r w:rsidR="004D7229" w:rsidRPr="00F82261">
              <w:rPr>
                <w:szCs w:val="24"/>
                <w:lang w:eastAsia="zh-CN"/>
              </w:rPr>
              <w:t xml:space="preserve"> 559</w:t>
            </w:r>
            <w:r w:rsidR="00D27415" w:rsidRPr="00F82261">
              <w:rPr>
                <w:szCs w:val="24"/>
                <w:lang w:eastAsia="zh-CN"/>
              </w:rPr>
              <w:t> </w:t>
            </w:r>
            <w:r w:rsidR="004D7229" w:rsidRPr="00F82261">
              <w:rPr>
                <w:szCs w:val="24"/>
                <w:lang w:eastAsia="zh-CN"/>
              </w:rPr>
              <w:t>(</w:t>
            </w:r>
            <w:r w:rsidR="003B0E02" w:rsidRPr="00F82261">
              <w:rPr>
                <w:szCs w:val="24"/>
                <w:lang w:eastAsia="zh-CN"/>
              </w:rPr>
              <w:t>CMR</w:t>
            </w:r>
            <w:r w:rsidR="004D7229" w:rsidRPr="00F82261">
              <w:rPr>
                <w:szCs w:val="24"/>
                <w:lang w:eastAsia="zh-CN"/>
              </w:rPr>
              <w:t>-19)</w:t>
            </w:r>
            <w:r w:rsidR="00D27415" w:rsidRPr="00F82261">
              <w:rPr>
                <w:szCs w:val="24"/>
                <w:lang w:eastAsia="zh-CN"/>
              </w:rPr>
              <w:t>.</w:t>
            </w:r>
          </w:p>
          <w:p w14:paraId="476A1F28" w14:textId="5DF43FCE" w:rsidR="00ED4F28" w:rsidRPr="00F82261" w:rsidRDefault="004D7229" w:rsidP="00F448E5">
            <w:pPr>
              <w:spacing w:after="120" w:line="240" w:lineRule="auto"/>
              <w:jc w:val="left"/>
              <w:rPr>
                <w:szCs w:val="24"/>
                <w:lang w:eastAsia="zh-CN"/>
              </w:rPr>
            </w:pPr>
            <w:r w:rsidRPr="00F82261">
              <w:rPr>
                <w:szCs w:val="24"/>
                <w:lang w:eastAsia="zh-CN"/>
              </w:rPr>
              <w:t xml:space="preserve">Aux termes de l'article 44 de la Constitution de l'UIT: </w:t>
            </w:r>
            <w:r w:rsidR="00B75C34" w:rsidRPr="00F82261">
              <w:rPr>
                <w:szCs w:val="24"/>
                <w:lang w:eastAsia="zh-CN"/>
              </w:rPr>
              <w:t>"</w:t>
            </w:r>
            <w:r w:rsidRPr="00F82261">
              <w:rPr>
                <w:i/>
                <w:iCs/>
                <w:szCs w:val="24"/>
                <w:lang w:eastAsia="zh-CN"/>
              </w:rPr>
              <w:t>Lors de l'utilisation de bandes de fréquences pour les services de radiocommunication, les États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00B75C34" w:rsidRPr="00F82261">
              <w:rPr>
                <w:szCs w:val="24"/>
                <w:lang w:eastAsia="zh-CN"/>
              </w:rPr>
              <w:t>"</w:t>
            </w:r>
            <w:r w:rsidRPr="00F82261">
              <w:rPr>
                <w:szCs w:val="24"/>
                <w:lang w:eastAsia="zh-CN"/>
              </w:rPr>
              <w:t>.</w:t>
            </w:r>
          </w:p>
          <w:p w14:paraId="4D3A2543" w14:textId="57A9916E" w:rsidR="00ED4F28" w:rsidRPr="00F82261" w:rsidRDefault="000160DD" w:rsidP="00D27415">
            <w:pPr>
              <w:spacing w:after="120" w:line="240" w:lineRule="auto"/>
              <w:jc w:val="left"/>
              <w:rPr>
                <w:szCs w:val="24"/>
                <w:lang w:eastAsia="zh-CN"/>
              </w:rPr>
            </w:pPr>
            <w:r w:rsidRPr="00F82261">
              <w:rPr>
                <w:color w:val="000000"/>
              </w:rPr>
              <w:t xml:space="preserve">L'Article 11 de l'Appendice 30 dispose que </w:t>
            </w:r>
            <w:r w:rsidR="00B75C34" w:rsidRPr="00F82261">
              <w:rPr>
                <w:color w:val="000000"/>
              </w:rPr>
              <w:t>"</w:t>
            </w:r>
            <w:r w:rsidR="00236FD5" w:rsidRPr="00F82261">
              <w:rPr>
                <w:i/>
                <w:iCs/>
                <w:color w:val="000000"/>
              </w:rPr>
              <w:t>L</w:t>
            </w:r>
            <w:r w:rsidR="00E66C42" w:rsidRPr="00F82261">
              <w:rPr>
                <w:i/>
                <w:iCs/>
                <w:color w:val="000000"/>
              </w:rPr>
              <w:t>'</w:t>
            </w:r>
            <w:r w:rsidRPr="00F82261">
              <w:rPr>
                <w:i/>
                <w:iCs/>
                <w:color w:val="000000"/>
              </w:rPr>
              <w:t>a</w:t>
            </w:r>
            <w:r w:rsidR="004D7229" w:rsidRPr="00F82261">
              <w:rPr>
                <w:i/>
                <w:iCs/>
                <w:szCs w:val="24"/>
                <w:lang w:eastAsia="zh-CN"/>
              </w:rPr>
              <w:t xml:space="preserve">ssignation </w:t>
            </w:r>
            <w:r w:rsidR="00D27415" w:rsidRPr="00F82261">
              <w:rPr>
                <w:i/>
                <w:iCs/>
                <w:szCs w:val="24"/>
                <w:lang w:eastAsia="zh-CN"/>
              </w:rPr>
              <w:t>correspondant</w:t>
            </w:r>
            <w:r w:rsidRPr="00F82261">
              <w:rPr>
                <w:i/>
                <w:iCs/>
                <w:szCs w:val="24"/>
                <w:lang w:eastAsia="zh-CN"/>
              </w:rPr>
              <w:t xml:space="preserve"> au faisceau TUN27200 est </w:t>
            </w:r>
            <w:r w:rsidR="004D7229" w:rsidRPr="00F82261">
              <w:rPr>
                <w:i/>
                <w:iCs/>
                <w:szCs w:val="24"/>
                <w:lang w:eastAsia="zh-CN"/>
              </w:rPr>
              <w:t>destinée à assurer la couverture de l'Algérie, de la Libye, du Maroc, de la Mauritanie et de la Tunisie, avec l'accord de ces pays. Si nécessaire, elle peut être utilisée avec les caractéristiques du faisceau</w:t>
            </w:r>
            <w:r w:rsidR="00D27415" w:rsidRPr="00F82261">
              <w:rPr>
                <w:i/>
                <w:iCs/>
                <w:szCs w:val="24"/>
                <w:lang w:eastAsia="zh-CN"/>
              </w:rPr>
              <w:t> </w:t>
            </w:r>
            <w:r w:rsidR="004D7229" w:rsidRPr="00F82261">
              <w:rPr>
                <w:i/>
                <w:iCs/>
                <w:szCs w:val="24"/>
                <w:lang w:eastAsia="zh-CN"/>
              </w:rPr>
              <w:t>TUN15000</w:t>
            </w:r>
            <w:r w:rsidR="00B75C34" w:rsidRPr="00F82261">
              <w:rPr>
                <w:szCs w:val="24"/>
                <w:lang w:eastAsia="zh-CN"/>
              </w:rPr>
              <w:t>"</w:t>
            </w:r>
            <w:r w:rsidR="004D7229" w:rsidRPr="00F82261">
              <w:rPr>
                <w:szCs w:val="24"/>
                <w:lang w:eastAsia="zh-CN"/>
              </w:rPr>
              <w:t>.</w:t>
            </w:r>
          </w:p>
          <w:p w14:paraId="6E3D8C7E" w14:textId="44D023E4" w:rsidR="004D7229" w:rsidRPr="00F82261" w:rsidRDefault="000160DD" w:rsidP="00F448E5">
            <w:pPr>
              <w:spacing w:line="240" w:lineRule="auto"/>
              <w:jc w:val="left"/>
            </w:pPr>
            <w:r w:rsidRPr="00F82261">
              <w:t>Les créneaux orbitaux réservés aux pays en développement ont été affectés</w:t>
            </w:r>
            <w:r w:rsidR="00AB5DE9" w:rsidRPr="00F82261">
              <w:t xml:space="preserve"> </w:t>
            </w:r>
            <w:r w:rsidRPr="00F82261">
              <w:t>en raison du manque de ressources pour procéder à une bonne coordination</w:t>
            </w:r>
            <w:r w:rsidR="00D27415" w:rsidRPr="00F82261">
              <w:t>.</w:t>
            </w:r>
          </w:p>
          <w:p w14:paraId="4A43AA1F" w14:textId="15C69B71" w:rsidR="004D7229" w:rsidRPr="00F82261" w:rsidRDefault="000160DD" w:rsidP="00F448E5">
            <w:pPr>
              <w:spacing w:line="240" w:lineRule="auto"/>
              <w:jc w:val="left"/>
            </w:pPr>
            <w:r w:rsidRPr="00F82261">
              <w:t>La Conférence mondiale des radiocommunications</w:t>
            </w:r>
            <w:r w:rsidR="00E66C42" w:rsidRPr="00F82261">
              <w:t xml:space="preserve"> </w:t>
            </w:r>
            <w:r w:rsidR="004D7229" w:rsidRPr="00F82261">
              <w:t>(</w:t>
            </w:r>
            <w:r w:rsidR="003B0E02" w:rsidRPr="00F82261">
              <w:t>CMR</w:t>
            </w:r>
            <w:r w:rsidR="004D7229" w:rsidRPr="00F82261">
              <w:t>-19)</w:t>
            </w:r>
            <w:r w:rsidRPr="00F82261">
              <w:t xml:space="preserve"> a adopté la </w:t>
            </w:r>
            <w:r w:rsidR="003B0E02" w:rsidRPr="00F82261">
              <w:t>Résolution</w:t>
            </w:r>
            <w:r w:rsidR="004D7229" w:rsidRPr="00F82261">
              <w:t xml:space="preserve"> 559</w:t>
            </w:r>
            <w:r w:rsidR="00AB5DE9" w:rsidRPr="00F82261">
              <w:t>,</w:t>
            </w:r>
            <w:r w:rsidR="00E66C42" w:rsidRPr="00F82261">
              <w:t xml:space="preserve"> </w:t>
            </w:r>
            <w:r w:rsidRPr="00F82261">
              <w:t>qui aidera les administrations dont des assignations sont affectées dans le Plan des Appendices</w:t>
            </w:r>
            <w:r w:rsidR="00E66C42" w:rsidRPr="00F82261">
              <w:t xml:space="preserve"> </w:t>
            </w:r>
            <w:r w:rsidR="004D7229" w:rsidRPr="00F82261">
              <w:t>30</w:t>
            </w:r>
            <w:r w:rsidRPr="00F82261">
              <w:t xml:space="preserve"> et </w:t>
            </w:r>
            <w:r w:rsidR="004D7229" w:rsidRPr="00F82261">
              <w:t>30A</w:t>
            </w:r>
            <w:r w:rsidRPr="00F82261">
              <w:t xml:space="preserve"> à remplacer ces assignations</w:t>
            </w:r>
            <w:r w:rsidR="00E66C42" w:rsidRPr="00F82261">
              <w:t xml:space="preserve">; </w:t>
            </w:r>
            <w:r w:rsidRPr="00F82261">
              <w:t xml:space="preserve">en conséquence, aucun </w:t>
            </w:r>
            <w:r w:rsidRPr="00F82261">
              <w:rPr>
                <w:color w:val="000000"/>
              </w:rPr>
              <w:t>droit ne devrait être perçu au titre du recouvrement des coûts</w:t>
            </w:r>
            <w:r w:rsidRPr="00F82261">
              <w:t xml:space="preserve">. </w:t>
            </w:r>
          </w:p>
          <w:p w14:paraId="20E233EA" w14:textId="06ADFF6F" w:rsidR="004D7229" w:rsidRPr="00F82261" w:rsidRDefault="000160DD" w:rsidP="00F448E5">
            <w:pPr>
              <w:spacing w:line="240" w:lineRule="auto"/>
              <w:jc w:val="left"/>
            </w:pPr>
            <w:r w:rsidRPr="00F82261">
              <w:t>La</w:t>
            </w:r>
            <w:r w:rsidR="00E66C42" w:rsidRPr="00F82261">
              <w:t xml:space="preserve"> </w:t>
            </w:r>
            <w:r w:rsidR="003B0E02" w:rsidRPr="00F82261">
              <w:t>Résolution</w:t>
            </w:r>
            <w:r w:rsidR="004D7229" w:rsidRPr="00F82261">
              <w:t xml:space="preserve"> 559 (</w:t>
            </w:r>
            <w:r w:rsidR="003B0E02" w:rsidRPr="00F82261">
              <w:t>CMR</w:t>
            </w:r>
            <w:r w:rsidR="004D7229" w:rsidRPr="00F82261">
              <w:t xml:space="preserve">-19) </w:t>
            </w:r>
            <w:r w:rsidRPr="00F82261">
              <w:t>vise à couvrir le territoire national des administrations concernées.</w:t>
            </w:r>
            <w:r w:rsidR="00485E67" w:rsidRPr="00F82261">
              <w:t xml:space="preserve"> En faisant mention de cette Résolution, le Bureau des radiocommunications de l</w:t>
            </w:r>
            <w:r w:rsidR="00E66C42" w:rsidRPr="00F82261">
              <w:t>'</w:t>
            </w:r>
            <w:r w:rsidR="00485E67" w:rsidRPr="00F82261">
              <w:t>UIT a aidé les administrations concernées à trouver de nouveaux créneau</w:t>
            </w:r>
            <w:r w:rsidR="00070471" w:rsidRPr="00F82261">
              <w:t>x</w:t>
            </w:r>
            <w:r w:rsidR="00485E67" w:rsidRPr="00F82261">
              <w:t xml:space="preserve"> orbitaux et des bandes de fréquences associées.</w:t>
            </w:r>
            <w:r w:rsidR="00E66C42" w:rsidRPr="00F82261">
              <w:t xml:space="preserve"> </w:t>
            </w:r>
          </w:p>
          <w:p w14:paraId="20EE6AE1" w14:textId="0EEA3CA6" w:rsidR="004D7229" w:rsidRPr="00F82261" w:rsidRDefault="00485E67" w:rsidP="00F448E5">
            <w:pPr>
              <w:spacing w:line="240" w:lineRule="auto"/>
              <w:jc w:val="left"/>
            </w:pPr>
            <w:r w:rsidRPr="00F82261">
              <w:t>Au titre des résultats de l</w:t>
            </w:r>
            <w:r w:rsidR="00E66C42" w:rsidRPr="00F82261">
              <w:t>'</w:t>
            </w:r>
            <w:r w:rsidRPr="00F82261">
              <w:t>examen du point 1.4 de l</w:t>
            </w:r>
            <w:r w:rsidR="00E66C42" w:rsidRPr="00F82261">
              <w:t>'</w:t>
            </w:r>
            <w:r w:rsidRPr="00F82261">
              <w:t xml:space="preserve">ordre du jour de la Conférence mondiale des radiocommunications </w:t>
            </w:r>
            <w:r w:rsidR="004D7229" w:rsidRPr="00F82261">
              <w:t>(</w:t>
            </w:r>
            <w:r w:rsidR="003B0E02" w:rsidRPr="00F82261">
              <w:t>CMR</w:t>
            </w:r>
            <w:r w:rsidR="004D7229" w:rsidRPr="00F82261">
              <w:t xml:space="preserve">-19), </w:t>
            </w:r>
            <w:r w:rsidRPr="00F82261">
              <w:t>la Tunisie a soumis une proposition visant à remplacer le faisceau</w:t>
            </w:r>
            <w:r w:rsidR="00126AD8">
              <w:t> </w:t>
            </w:r>
            <w:r w:rsidR="004D7229" w:rsidRPr="00F82261">
              <w:t xml:space="preserve">TUN27200 </w:t>
            </w:r>
            <w:r w:rsidRPr="00F82261">
              <w:t>et l</w:t>
            </w:r>
            <w:r w:rsidR="00E66C42" w:rsidRPr="00F82261">
              <w:t>'</w:t>
            </w:r>
            <w:r w:rsidRPr="00F82261">
              <w:t>a envoyée le 1er avril 2020 au Bureau des radiocommunications. Cependant, le Bureau des radiocommunications n</w:t>
            </w:r>
            <w:r w:rsidR="00E66C42" w:rsidRPr="00F82261">
              <w:t>'</w:t>
            </w:r>
            <w:r w:rsidRPr="00F82261">
              <w:t>a pas accepté cette proposition au titre de la procédure spéciale prévue dans la</w:t>
            </w:r>
            <w:r w:rsidR="00E66C42" w:rsidRPr="00F82261">
              <w:t xml:space="preserve"> </w:t>
            </w:r>
            <w:r w:rsidR="003B0E02" w:rsidRPr="00F82261">
              <w:t>Résolution</w:t>
            </w:r>
            <w:r w:rsidR="004D7229" w:rsidRPr="00F82261">
              <w:t xml:space="preserve"> 559 (</w:t>
            </w:r>
            <w:r w:rsidR="003B0E02" w:rsidRPr="00F82261">
              <w:t>CMR</w:t>
            </w:r>
            <w:r w:rsidR="004D7229" w:rsidRPr="00F82261">
              <w:t>-19).</w:t>
            </w:r>
          </w:p>
          <w:p w14:paraId="533D7148" w14:textId="510650BE" w:rsidR="00ED4F28" w:rsidRPr="00F82261" w:rsidRDefault="00485E67" w:rsidP="00126AD8">
            <w:pPr>
              <w:overflowPunct/>
              <w:spacing w:after="120" w:line="240" w:lineRule="auto"/>
              <w:jc w:val="left"/>
              <w:textAlignment w:val="auto"/>
            </w:pPr>
            <w:r w:rsidRPr="00F82261">
              <w:t>L</w:t>
            </w:r>
            <w:r w:rsidR="00E66C42" w:rsidRPr="00F82261">
              <w:t>'</w:t>
            </w:r>
            <w:r w:rsidR="00AB5DE9" w:rsidRPr="00F82261">
              <w:t>A</w:t>
            </w:r>
            <w:r w:rsidRPr="00F82261">
              <w:t>dministration tunisienne a soumis la nouvelle assignation correspondant au faisceau</w:t>
            </w:r>
            <w:r w:rsidR="00E66C42" w:rsidRPr="00F82261">
              <w:t xml:space="preserve"> </w:t>
            </w:r>
            <w:r w:rsidR="004D7229" w:rsidRPr="00F82261">
              <w:t xml:space="preserve">TUN27200 </w:t>
            </w:r>
            <w:r w:rsidRPr="00F82261">
              <w:t>conformément à la procédure énoncée dans l</w:t>
            </w:r>
            <w:r w:rsidR="00E66C42" w:rsidRPr="00F82261">
              <w:t>'</w:t>
            </w:r>
            <w:r w:rsidRPr="00F82261">
              <w:t>Article 4</w:t>
            </w:r>
            <w:r w:rsidR="00E66C42" w:rsidRPr="00F82261">
              <w:t xml:space="preserve"> </w:t>
            </w:r>
            <w:r w:rsidRPr="00F82261">
              <w:t>des</w:t>
            </w:r>
            <w:r w:rsidR="00E66C42" w:rsidRPr="00F82261">
              <w:t xml:space="preserve"> </w:t>
            </w:r>
            <w:r w:rsidR="004D7229" w:rsidRPr="00F82261">
              <w:t xml:space="preserve">Appendices 30 </w:t>
            </w:r>
            <w:r w:rsidRPr="00F82261">
              <w:t xml:space="preserve">et </w:t>
            </w:r>
            <w:r w:rsidR="004D7229" w:rsidRPr="00F82261">
              <w:t>30A.</w:t>
            </w:r>
          </w:p>
        </w:tc>
      </w:tr>
      <w:tr w:rsidR="00236FD5" w:rsidRPr="00F82261" w14:paraId="65C6AC16"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4F846C16" w14:textId="77777777" w:rsidR="00236FD5" w:rsidRPr="00F82261" w:rsidRDefault="00236FD5" w:rsidP="00236FD5">
            <w:pPr>
              <w:pStyle w:val="Headingb"/>
              <w:rPr>
                <w:szCs w:val="28"/>
                <w:lang w:eastAsia="zh-CN"/>
              </w:rPr>
            </w:pPr>
            <w:r w:rsidRPr="00F82261">
              <w:lastRenderedPageBreak/>
              <w:t>Marche à suivre proposée</w:t>
            </w:r>
          </w:p>
          <w:p w14:paraId="2633570B" w14:textId="77777777" w:rsidR="00236FD5" w:rsidRPr="00F82261" w:rsidRDefault="00236FD5" w:rsidP="00236FD5">
            <w:pPr>
              <w:keepNext/>
              <w:keepLines/>
              <w:overflowPunct/>
              <w:spacing w:after="120" w:line="240" w:lineRule="auto"/>
              <w:jc w:val="left"/>
              <w:textAlignment w:val="auto"/>
              <w:rPr>
                <w:szCs w:val="24"/>
                <w:lang w:eastAsia="zh-CN"/>
              </w:rPr>
            </w:pPr>
            <w:bookmarkStart w:id="3" w:name="lt_pId027"/>
            <w:r w:rsidRPr="00F82261">
              <w:rPr>
                <w:szCs w:val="24"/>
                <w:lang w:eastAsia="zh-CN"/>
              </w:rPr>
              <w:t>Afin que les préoccupations susmentionnées soient prises en considération, la Tunisie demande au Conseil</w:t>
            </w:r>
            <w:r w:rsidRPr="00F82261">
              <w:rPr>
                <w:color w:val="000000"/>
              </w:rPr>
              <w:t xml:space="preserve"> de faire figurer dans le procès-verbal de la réunion du Conseil le texte suivant:</w:t>
            </w:r>
            <w:bookmarkEnd w:id="3"/>
            <w:r w:rsidRPr="00F82261">
              <w:rPr>
                <w:szCs w:val="24"/>
                <w:lang w:eastAsia="zh-CN"/>
              </w:rPr>
              <w:t xml:space="preserve"> </w:t>
            </w:r>
          </w:p>
          <w:p w14:paraId="1A9F0CAD" w14:textId="77777777" w:rsidR="00236FD5" w:rsidRPr="00F82261" w:rsidRDefault="00236FD5" w:rsidP="00236FD5">
            <w:pPr>
              <w:keepNext/>
              <w:keepLines/>
              <w:overflowPunct/>
              <w:spacing w:after="120" w:line="240" w:lineRule="auto"/>
              <w:jc w:val="left"/>
              <w:textAlignment w:val="auto"/>
              <w:rPr>
                <w:i/>
                <w:iCs/>
                <w:szCs w:val="24"/>
                <w:lang w:eastAsia="zh-CN"/>
              </w:rPr>
            </w:pPr>
            <w:bookmarkStart w:id="4" w:name="lt_pId028"/>
            <w:r w:rsidRPr="00F82261">
              <w:rPr>
                <w:szCs w:val="24"/>
                <w:lang w:eastAsia="zh-CN"/>
              </w:rPr>
              <w:t>"</w:t>
            </w:r>
            <w:r w:rsidRPr="00F82261">
              <w:rPr>
                <w:i/>
                <w:iCs/>
                <w:szCs w:val="24"/>
                <w:lang w:eastAsia="zh-CN"/>
              </w:rPr>
              <w:t xml:space="preserve">Lors de la consultation virtuelle tenue du 9 au 15 juin 2020, le Conseil a examiné et salué les efforts considérables déployés par le Bureau des radiocommunications de l'UIT pour aider les administrations de la Région 1 concernées par la Résolution 559 à identifier des créneaux orbitaux et des bandes de fréquences appropriés (dénommés ci-après soumissions au titre de la Résolution 559 ), afin de remplacer les assignations affectées figurant dans le Plan </w:t>
            </w:r>
            <w:r w:rsidRPr="00F82261">
              <w:rPr>
                <w:i/>
                <w:iCs/>
                <w:color w:val="000000"/>
              </w:rPr>
              <w:t xml:space="preserve">pour le service de radiodiffusion par satellite </w:t>
            </w:r>
            <w:r w:rsidRPr="00F82261">
              <w:rPr>
                <w:i/>
                <w:iCs/>
                <w:szCs w:val="24"/>
                <w:lang w:eastAsia="zh-CN"/>
              </w:rPr>
              <w:t>des Appendices 30 et 30A</w:t>
            </w:r>
            <w:bookmarkEnd w:id="4"/>
            <w:r w:rsidRPr="00F82261">
              <w:rPr>
                <w:i/>
                <w:iCs/>
                <w:szCs w:val="24"/>
                <w:lang w:eastAsia="zh-CN"/>
              </w:rPr>
              <w:t>.</w:t>
            </w:r>
          </w:p>
          <w:p w14:paraId="36C95B77" w14:textId="62B60DDB" w:rsidR="00236FD5" w:rsidRPr="00F82261" w:rsidRDefault="00236FD5" w:rsidP="00AE50E5">
            <w:pPr>
              <w:spacing w:before="120" w:after="120"/>
              <w:jc w:val="left"/>
            </w:pPr>
            <w:bookmarkStart w:id="5" w:name="lt_pId029"/>
            <w:r w:rsidRPr="00F82261">
              <w:rPr>
                <w:i/>
                <w:iCs/>
                <w:lang w:eastAsia="zh-CN"/>
              </w:rPr>
              <w:t>Le Conseil charge le Bureau des radiocommunications de n'appliquer aucun droit au titre du recouvrement des coûts en ce qui concerne la soumission TUN27200.</w:t>
            </w:r>
            <w:bookmarkEnd w:id="5"/>
            <w:r w:rsidRPr="00F82261">
              <w:rPr>
                <w:iCs/>
                <w:lang w:eastAsia="zh-CN"/>
              </w:rPr>
              <w:t>"</w:t>
            </w:r>
          </w:p>
        </w:tc>
      </w:tr>
    </w:tbl>
    <w:bookmarkEnd w:id="2"/>
    <w:p w14:paraId="21FD38F8" w14:textId="4DB53F90" w:rsidR="004D7229" w:rsidRPr="00F82261" w:rsidRDefault="004D7229" w:rsidP="00F448E5">
      <w:pPr>
        <w:spacing w:line="240" w:lineRule="auto"/>
        <w:jc w:val="center"/>
        <w:rPr>
          <w:sz w:val="22"/>
          <w:lang w:eastAsia="fr-CH"/>
        </w:rPr>
      </w:pPr>
      <w:r w:rsidRPr="00F82261">
        <w:t>______________</w:t>
      </w:r>
    </w:p>
    <w:p w14:paraId="08876DE1" w14:textId="77777777" w:rsidR="009C353C" w:rsidRPr="00F82261" w:rsidRDefault="009C353C" w:rsidP="00F448E5">
      <w:pPr>
        <w:spacing w:line="240" w:lineRule="auto"/>
      </w:pPr>
    </w:p>
    <w:sectPr w:rsidR="009C353C" w:rsidRPr="00F82261"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01925" w14:textId="77777777" w:rsidR="00ED4F28" w:rsidRDefault="00ED4F28">
      <w:r>
        <w:separator/>
      </w:r>
    </w:p>
  </w:endnote>
  <w:endnote w:type="continuationSeparator" w:id="0">
    <w:p w14:paraId="2CE60E12" w14:textId="77777777" w:rsidR="00ED4F28" w:rsidRDefault="00ED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F63FE" w14:textId="5F8696B8" w:rsidR="00732045" w:rsidRDefault="00AE50E5">
    <w:pPr>
      <w:pStyle w:val="Footer"/>
    </w:pPr>
    <w:r>
      <w:fldChar w:fldCharType="begin"/>
    </w:r>
    <w:r>
      <w:instrText xml:space="preserve"> FILENAME \p \* MERGEFORMAT </w:instrText>
    </w:r>
    <w:r>
      <w:fldChar w:fldCharType="separate"/>
    </w:r>
    <w:r>
      <w:t>P:\FRA\SG\CONSEIL\VC\000\009F.docx</w:t>
    </w:r>
    <w:r>
      <w:fldChar w:fldCharType="end"/>
    </w:r>
    <w:r w:rsidR="00732045">
      <w:tab/>
    </w:r>
    <w:r w:rsidR="002F1B76">
      <w:fldChar w:fldCharType="begin"/>
    </w:r>
    <w:r w:rsidR="00732045">
      <w:instrText xml:space="preserve"> savedate \@ dd.MM.yy </w:instrText>
    </w:r>
    <w:r w:rsidR="002F1B76">
      <w:fldChar w:fldCharType="separate"/>
    </w:r>
    <w:r>
      <w:t>02.06.20</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2DFE8" w14:textId="411703EF" w:rsidR="00732045" w:rsidRDefault="00AE50E5">
    <w:pPr>
      <w:pStyle w:val="Footer"/>
    </w:pPr>
    <w:r>
      <w:fldChar w:fldCharType="begin"/>
    </w:r>
    <w:r>
      <w:instrText xml:space="preserve"> FILENAME \p \* MERGEFORMAT </w:instrText>
    </w:r>
    <w:r>
      <w:fldChar w:fldCharType="separate"/>
    </w:r>
    <w:r>
      <w:t>P:\FRA\SG\CONSEIL\VC\000\009F.docx</w:t>
    </w:r>
    <w:r>
      <w:fldChar w:fldCharType="end"/>
    </w:r>
    <w:r w:rsidR="004D7229">
      <w:t xml:space="preserve"> (471776)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7271"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D3656" w14:textId="77777777" w:rsidR="00ED4F28" w:rsidRDefault="00ED4F28">
      <w:r>
        <w:t>____________________</w:t>
      </w:r>
    </w:p>
  </w:footnote>
  <w:footnote w:type="continuationSeparator" w:id="0">
    <w:p w14:paraId="66F4FBE5" w14:textId="77777777" w:rsidR="00ED4F28" w:rsidRDefault="00ED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B52F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C9ADC6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856D"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329B708E" w14:textId="27539A71" w:rsidR="00732045" w:rsidRDefault="00ED4F28" w:rsidP="00106B19">
    <w:pPr>
      <w:pStyle w:val="Header"/>
    </w:pPr>
    <w:r>
      <w:t>VC</w:t>
    </w:r>
    <w:r w:rsidR="00732045">
      <w:t>/</w:t>
    </w:r>
    <w:r w:rsidR="004D7229">
      <w:t>9</w:t>
    </w:r>
    <w:r w:rsidR="00732045">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EFC0E84-AEF0-4CA9-A7F7-F38DB144A86B}"/>
    <w:docVar w:name="dgnword-eventsink" w:val="1274002013728"/>
  </w:docVars>
  <w:rsids>
    <w:rsidRoot w:val="00ED4F28"/>
    <w:rsid w:val="000160DD"/>
    <w:rsid w:val="00070471"/>
    <w:rsid w:val="000D0D0A"/>
    <w:rsid w:val="00103163"/>
    <w:rsid w:val="00106B19"/>
    <w:rsid w:val="00115D93"/>
    <w:rsid w:val="001247A8"/>
    <w:rsid w:val="00126AD8"/>
    <w:rsid w:val="001378C0"/>
    <w:rsid w:val="0018694A"/>
    <w:rsid w:val="001A3287"/>
    <w:rsid w:val="001A6508"/>
    <w:rsid w:val="001D4C31"/>
    <w:rsid w:val="001E4D21"/>
    <w:rsid w:val="00207CD1"/>
    <w:rsid w:val="00236FD5"/>
    <w:rsid w:val="002477A2"/>
    <w:rsid w:val="00263A51"/>
    <w:rsid w:val="00267E02"/>
    <w:rsid w:val="002A5D44"/>
    <w:rsid w:val="002E0BC4"/>
    <w:rsid w:val="002F1B76"/>
    <w:rsid w:val="0033568E"/>
    <w:rsid w:val="00355FF5"/>
    <w:rsid w:val="00361350"/>
    <w:rsid w:val="003B0E02"/>
    <w:rsid w:val="003C3FAE"/>
    <w:rsid w:val="004038CB"/>
    <w:rsid w:val="0040546F"/>
    <w:rsid w:val="0042404A"/>
    <w:rsid w:val="0044618F"/>
    <w:rsid w:val="0046769A"/>
    <w:rsid w:val="00472A0E"/>
    <w:rsid w:val="00475FB3"/>
    <w:rsid w:val="00485E67"/>
    <w:rsid w:val="004C37A9"/>
    <w:rsid w:val="004D7229"/>
    <w:rsid w:val="004F259E"/>
    <w:rsid w:val="00511F1D"/>
    <w:rsid w:val="00520F36"/>
    <w:rsid w:val="00540615"/>
    <w:rsid w:val="00540A6D"/>
    <w:rsid w:val="00571EEA"/>
    <w:rsid w:val="00575417"/>
    <w:rsid w:val="005768E1"/>
    <w:rsid w:val="00593F0B"/>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53EED"/>
    <w:rsid w:val="009C307F"/>
    <w:rsid w:val="009C353C"/>
    <w:rsid w:val="00A2113E"/>
    <w:rsid w:val="00A23A51"/>
    <w:rsid w:val="00A24607"/>
    <w:rsid w:val="00A25CD3"/>
    <w:rsid w:val="00A82767"/>
    <w:rsid w:val="00AA332F"/>
    <w:rsid w:val="00AA7BBB"/>
    <w:rsid w:val="00AB5DE9"/>
    <w:rsid w:val="00AB64A8"/>
    <w:rsid w:val="00AC0266"/>
    <w:rsid w:val="00AD24EC"/>
    <w:rsid w:val="00AE50E5"/>
    <w:rsid w:val="00B12CBC"/>
    <w:rsid w:val="00B27B09"/>
    <w:rsid w:val="00B309F9"/>
    <w:rsid w:val="00B32B60"/>
    <w:rsid w:val="00B61619"/>
    <w:rsid w:val="00B75C34"/>
    <w:rsid w:val="00BB4545"/>
    <w:rsid w:val="00BD5873"/>
    <w:rsid w:val="00C04BE3"/>
    <w:rsid w:val="00C25D14"/>
    <w:rsid w:val="00C25D29"/>
    <w:rsid w:val="00C27A7C"/>
    <w:rsid w:val="00CA08ED"/>
    <w:rsid w:val="00CA67A2"/>
    <w:rsid w:val="00CF183B"/>
    <w:rsid w:val="00D27415"/>
    <w:rsid w:val="00D375CD"/>
    <w:rsid w:val="00D553A2"/>
    <w:rsid w:val="00D774D3"/>
    <w:rsid w:val="00D904E8"/>
    <w:rsid w:val="00DA08C3"/>
    <w:rsid w:val="00DB5A3E"/>
    <w:rsid w:val="00DC22AA"/>
    <w:rsid w:val="00DD5FFC"/>
    <w:rsid w:val="00DF74DD"/>
    <w:rsid w:val="00E25AD0"/>
    <w:rsid w:val="00E66C42"/>
    <w:rsid w:val="00EA47B7"/>
    <w:rsid w:val="00EB6350"/>
    <w:rsid w:val="00ED4F28"/>
    <w:rsid w:val="00F15B57"/>
    <w:rsid w:val="00F427DB"/>
    <w:rsid w:val="00F448E5"/>
    <w:rsid w:val="00F82261"/>
    <w:rsid w:val="00FA5EB1"/>
    <w:rsid w:val="00FA7439"/>
    <w:rsid w:val="00FC312F"/>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4A6718"/>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B0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jc w:val="left"/>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jc w:val="left"/>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jc w:val="left"/>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jc w:val="left"/>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jc w:val="left"/>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line="240" w:lineRule="auto"/>
      <w:jc w:val="left"/>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jc w:val="left"/>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jc w:val="left"/>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spacing w:line="240" w:lineRule="auto"/>
      <w:ind w:left="567"/>
      <w:jc w:val="left"/>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jc w:val="left"/>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rPr>
  </w:style>
  <w:style w:type="paragraph" w:customStyle="1" w:styleId="Reasons">
    <w:name w:val="Reasons"/>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jc w:val="left"/>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jc w:val="left"/>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left"/>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jc w:val="left"/>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jc w:val="left"/>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after="1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7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414907">
      <w:bodyDiv w:val="1"/>
      <w:marLeft w:val="0"/>
      <w:marRight w:val="0"/>
      <w:marTop w:val="0"/>
      <w:marBottom w:val="0"/>
      <w:divBdr>
        <w:top w:val="none" w:sz="0" w:space="0" w:color="auto"/>
        <w:left w:val="none" w:sz="0" w:space="0" w:color="auto"/>
        <w:bottom w:val="none" w:sz="0" w:space="0" w:color="auto"/>
        <w:right w:val="none" w:sz="0" w:space="0" w:color="auto"/>
      </w:divBdr>
    </w:div>
    <w:div w:id="140282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20-CL-C-0027/en"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47</TotalTime>
  <Pages>3</Pages>
  <Words>587</Words>
  <Characters>3414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3994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VC 2020</dc:subject>
  <dc:creator>English</dc:creator>
  <cp:keywords>VC</cp:keywords>
  <dc:description/>
  <cp:lastModifiedBy>French</cp:lastModifiedBy>
  <cp:revision>10</cp:revision>
  <cp:lastPrinted>2000-07-18T08:55:00Z</cp:lastPrinted>
  <dcterms:created xsi:type="dcterms:W3CDTF">2020-06-02T09:04:00Z</dcterms:created>
  <dcterms:modified xsi:type="dcterms:W3CDTF">2020-06-02T10:01:00Z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