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3C274935" w14:textId="77777777" w:rsidTr="00FA7FCF">
        <w:trPr>
          <w:cantSplit/>
          <w:trHeight w:val="1276"/>
        </w:trPr>
        <w:tc>
          <w:tcPr>
            <w:tcW w:w="6911" w:type="dxa"/>
          </w:tcPr>
          <w:p w14:paraId="5B3F61F9" w14:textId="77777777" w:rsidR="001834BD" w:rsidRPr="00AD25AE" w:rsidRDefault="001834BD" w:rsidP="00FA7FCF">
            <w:pPr>
              <w:spacing w:before="360" w:after="48"/>
              <w:rPr>
                <w:b/>
                <w:bCs/>
                <w:position w:val="6"/>
                <w:sz w:val="26"/>
                <w:szCs w:val="26"/>
              </w:rPr>
            </w:pPr>
            <w:bookmarkStart w:id="0" w:name="lt_pId446"/>
            <w:r w:rsidRPr="00AD25AE">
              <w:rPr>
                <w:b/>
                <w:bCs/>
                <w:position w:val="6"/>
                <w:sz w:val="26"/>
                <w:szCs w:val="26"/>
              </w:rPr>
              <w:t xml:space="preserve">Consulta virtual de los consejeros </w:t>
            </w:r>
            <w:bookmarkEnd w:id="0"/>
            <w:r w:rsidRPr="00AD25AE">
              <w:rPr>
                <w:b/>
                <w:bCs/>
                <w:position w:val="6"/>
                <w:sz w:val="26"/>
                <w:szCs w:val="26"/>
              </w:rPr>
              <w:br/>
            </w:r>
            <w:bookmarkStart w:id="1" w:name="lt_pId447"/>
            <w:r w:rsidRPr="00AD25AE">
              <w:rPr>
                <w:b/>
                <w:bCs/>
                <w:position w:val="6"/>
                <w:sz w:val="26"/>
                <w:szCs w:val="26"/>
              </w:rPr>
              <w:t>que comienza el 9 de junio de 2020</w:t>
            </w:r>
            <w:bookmarkEnd w:id="1"/>
          </w:p>
        </w:tc>
        <w:tc>
          <w:tcPr>
            <w:tcW w:w="3120" w:type="dxa"/>
            <w:vAlign w:val="center"/>
          </w:tcPr>
          <w:p w14:paraId="299E6221" w14:textId="77777777" w:rsidR="001834BD" w:rsidRPr="00AD25AE" w:rsidRDefault="001834BD" w:rsidP="00FA7FCF">
            <w:pPr>
              <w:spacing w:before="0"/>
            </w:pPr>
            <w:r w:rsidRPr="00AD25AE">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3C5C2B49" w14:textId="77777777" w:rsidTr="00FA7FCF">
        <w:trPr>
          <w:cantSplit/>
        </w:trPr>
        <w:tc>
          <w:tcPr>
            <w:tcW w:w="6911" w:type="dxa"/>
            <w:tcBorders>
              <w:bottom w:val="single" w:sz="12" w:space="0" w:color="auto"/>
            </w:tcBorders>
          </w:tcPr>
          <w:p w14:paraId="4A303917"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370B0218" w14:textId="77777777" w:rsidR="001834BD" w:rsidRPr="00AD25AE" w:rsidRDefault="001834BD" w:rsidP="00FA7FCF">
            <w:pPr>
              <w:spacing w:before="0"/>
              <w:rPr>
                <w:szCs w:val="24"/>
              </w:rPr>
            </w:pPr>
          </w:p>
        </w:tc>
      </w:tr>
      <w:tr w:rsidR="001834BD" w:rsidRPr="00AD25AE" w14:paraId="3C957EF2" w14:textId="77777777" w:rsidTr="00FA7FCF">
        <w:trPr>
          <w:cantSplit/>
        </w:trPr>
        <w:tc>
          <w:tcPr>
            <w:tcW w:w="6911" w:type="dxa"/>
            <w:tcBorders>
              <w:top w:val="single" w:sz="12" w:space="0" w:color="auto"/>
            </w:tcBorders>
          </w:tcPr>
          <w:p w14:paraId="36F55DD2"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7E1D1402" w14:textId="428559F8" w:rsidR="001834BD" w:rsidRPr="00AD25AE" w:rsidRDefault="001834BD" w:rsidP="001834BD">
            <w:pPr>
              <w:spacing w:before="240"/>
              <w:rPr>
                <w:szCs w:val="24"/>
              </w:rPr>
            </w:pPr>
            <w:r>
              <w:rPr>
                <w:b/>
                <w:bCs/>
                <w:szCs w:val="24"/>
              </w:rPr>
              <w:t xml:space="preserve">Documento </w:t>
            </w:r>
            <w:r w:rsidR="00491AC1">
              <w:rPr>
                <w:b/>
                <w:bCs/>
                <w:szCs w:val="24"/>
              </w:rPr>
              <w:t>VC</w:t>
            </w:r>
            <w:r>
              <w:rPr>
                <w:b/>
                <w:bCs/>
                <w:szCs w:val="24"/>
              </w:rPr>
              <w:t>/</w:t>
            </w:r>
            <w:r w:rsidR="004F7538">
              <w:rPr>
                <w:b/>
                <w:bCs/>
                <w:szCs w:val="24"/>
              </w:rPr>
              <w:t>8</w:t>
            </w:r>
            <w:r>
              <w:rPr>
                <w:b/>
                <w:bCs/>
                <w:szCs w:val="24"/>
              </w:rPr>
              <w:t>-S</w:t>
            </w:r>
            <w:r>
              <w:rPr>
                <w:b/>
                <w:bCs/>
                <w:szCs w:val="24"/>
              </w:rPr>
              <w:br/>
            </w:r>
            <w:r w:rsidR="004F7538" w:rsidRPr="004F7538">
              <w:rPr>
                <w:b/>
                <w:bCs/>
                <w:szCs w:val="24"/>
              </w:rPr>
              <w:t>29 de mayo de 2020</w:t>
            </w:r>
            <w:r>
              <w:rPr>
                <w:b/>
                <w:bCs/>
                <w:szCs w:val="24"/>
              </w:rPr>
              <w:br/>
              <w:t>Original: inglés</w:t>
            </w:r>
          </w:p>
        </w:tc>
      </w:tr>
    </w:tbl>
    <w:p w14:paraId="38D4A7DA" w14:textId="77777777" w:rsidR="001834BD" w:rsidRPr="00AD25AE" w:rsidRDefault="001834BD" w:rsidP="001834BD">
      <w:pPr>
        <w:spacing w:before="0"/>
        <w:rPr>
          <w:b/>
          <w:bCs/>
          <w:sz w:val="28"/>
        </w:rPr>
      </w:pPr>
    </w:p>
    <w:tbl>
      <w:tblPr>
        <w:tblW w:w="10093" w:type="dxa"/>
        <w:tblLayout w:type="fixed"/>
        <w:tblLook w:val="0000" w:firstRow="0" w:lastRow="0" w:firstColumn="0" w:lastColumn="0" w:noHBand="0" w:noVBand="0"/>
      </w:tblPr>
      <w:tblGrid>
        <w:gridCol w:w="2835"/>
        <w:gridCol w:w="7258"/>
      </w:tblGrid>
      <w:tr w:rsidR="001834BD" w:rsidRPr="00AD25AE" w14:paraId="60C8072A" w14:textId="77777777" w:rsidTr="00FA7FCF">
        <w:trPr>
          <w:cantSplit/>
        </w:trPr>
        <w:tc>
          <w:tcPr>
            <w:tcW w:w="2835" w:type="dxa"/>
            <w:tcBorders>
              <w:right w:val="single" w:sz="12" w:space="0" w:color="auto"/>
            </w:tcBorders>
            <w:vAlign w:val="center"/>
          </w:tcPr>
          <w:p w14:paraId="51383979" w14:textId="77777777" w:rsidR="001834BD" w:rsidRPr="00AD25AE" w:rsidRDefault="001834BD" w:rsidP="00FA7FCF">
            <w:pPr>
              <w:spacing w:before="0"/>
              <w:rPr>
                <w:b/>
                <w:bCs/>
              </w:rPr>
            </w:pPr>
            <w:bookmarkStart w:id="2" w:name="lt_pId450"/>
            <w:r w:rsidRPr="00AD25AE">
              <w:rPr>
                <w:b/>
                <w:bCs/>
              </w:rPr>
              <w:t>Nombre del/de los Estado(s) Miembro(s) que la presenta(n):</w:t>
            </w:r>
            <w:bookmarkEnd w:id="2"/>
          </w:p>
        </w:tc>
        <w:tc>
          <w:tcPr>
            <w:tcW w:w="7258" w:type="dxa"/>
            <w:tcBorders>
              <w:top w:val="single" w:sz="12" w:space="0" w:color="auto"/>
              <w:left w:val="single" w:sz="12" w:space="0" w:color="auto"/>
              <w:bottom w:val="single" w:sz="12" w:space="0" w:color="auto"/>
              <w:right w:val="single" w:sz="12" w:space="0" w:color="auto"/>
            </w:tcBorders>
            <w:vAlign w:val="center"/>
          </w:tcPr>
          <w:p w14:paraId="7501CAA5" w14:textId="0EB54DBB" w:rsidR="001834BD" w:rsidRPr="00230811" w:rsidRDefault="004F7538" w:rsidP="00FA7FCF">
            <w:pPr>
              <w:spacing w:before="0"/>
              <w:rPr>
                <w:b/>
                <w:bCs/>
              </w:rPr>
            </w:pPr>
            <w:r w:rsidRPr="00230811">
              <w:rPr>
                <w:b/>
                <w:bCs/>
              </w:rPr>
              <w:t>Estados Unidos de América</w:t>
            </w:r>
          </w:p>
        </w:tc>
      </w:tr>
      <w:tr w:rsidR="001834BD" w:rsidRPr="00AD25AE" w14:paraId="51606197" w14:textId="77777777" w:rsidTr="00FA7FCF">
        <w:trPr>
          <w:cantSplit/>
        </w:trPr>
        <w:tc>
          <w:tcPr>
            <w:tcW w:w="2835" w:type="dxa"/>
          </w:tcPr>
          <w:p w14:paraId="74C7AD66"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2B540569" w14:textId="77777777" w:rsidR="001834BD" w:rsidRPr="00AD25AE" w:rsidRDefault="001834BD" w:rsidP="00FA7FCF">
            <w:pPr>
              <w:spacing w:before="0"/>
              <w:rPr>
                <w:sz w:val="16"/>
                <w:szCs w:val="16"/>
              </w:rPr>
            </w:pPr>
          </w:p>
        </w:tc>
      </w:tr>
      <w:tr w:rsidR="001834BD" w:rsidRPr="00AD25AE" w14:paraId="01C19000" w14:textId="77777777" w:rsidTr="00FA7FCF">
        <w:trPr>
          <w:cantSplit/>
        </w:trPr>
        <w:tc>
          <w:tcPr>
            <w:tcW w:w="2835" w:type="dxa"/>
            <w:tcBorders>
              <w:right w:val="single" w:sz="12" w:space="0" w:color="auto"/>
            </w:tcBorders>
          </w:tcPr>
          <w:p w14:paraId="798CAC87" w14:textId="77777777" w:rsidR="001834BD" w:rsidRPr="00AD25AE" w:rsidRDefault="001834BD" w:rsidP="00FA7FCF">
            <w:pPr>
              <w:spacing w:after="120"/>
              <w:rPr>
                <w:b/>
                <w:bCs/>
              </w:rPr>
            </w:pPr>
            <w:bookmarkStart w:id="3" w:name="lt_pId451"/>
            <w:r w:rsidRPr="00AD25AE">
              <w:rPr>
                <w:b/>
                <w:bCs/>
              </w:rPr>
              <w:t>Título del documento:</w:t>
            </w:r>
            <w:bookmarkEnd w:id="3"/>
          </w:p>
        </w:tc>
        <w:tc>
          <w:tcPr>
            <w:tcW w:w="7258" w:type="dxa"/>
            <w:tcBorders>
              <w:top w:val="single" w:sz="12" w:space="0" w:color="auto"/>
              <w:left w:val="single" w:sz="12" w:space="0" w:color="auto"/>
              <w:bottom w:val="single" w:sz="12" w:space="0" w:color="auto"/>
              <w:right w:val="single" w:sz="12" w:space="0" w:color="auto"/>
            </w:tcBorders>
          </w:tcPr>
          <w:p w14:paraId="24C3AC9C" w14:textId="4387E729" w:rsidR="001834BD" w:rsidRPr="00230811" w:rsidRDefault="004F7538" w:rsidP="00FA7FCF">
            <w:pPr>
              <w:spacing w:after="120"/>
              <w:rPr>
                <w:b/>
                <w:bCs/>
              </w:rPr>
            </w:pPr>
            <w:r w:rsidRPr="00230811">
              <w:rPr>
                <w:b/>
                <w:bCs/>
              </w:rPr>
              <w:t>Propuesta de mandato y proceso de la nueva función de investigación</w:t>
            </w:r>
          </w:p>
        </w:tc>
      </w:tr>
      <w:tr w:rsidR="001834BD" w:rsidRPr="00AD25AE" w14:paraId="284C32F1" w14:textId="77777777" w:rsidTr="00FA7FCF">
        <w:trPr>
          <w:cantSplit/>
          <w:trHeight w:val="269"/>
        </w:trPr>
        <w:tc>
          <w:tcPr>
            <w:tcW w:w="2835" w:type="dxa"/>
          </w:tcPr>
          <w:p w14:paraId="79BE13BB" w14:textId="77777777" w:rsidR="001834BD" w:rsidRPr="00AD25AE" w:rsidRDefault="001834BD" w:rsidP="00FA7FCF">
            <w:pPr>
              <w:spacing w:before="0"/>
              <w:rPr>
                <w:sz w:val="16"/>
                <w:szCs w:val="16"/>
              </w:rPr>
            </w:pPr>
          </w:p>
        </w:tc>
        <w:tc>
          <w:tcPr>
            <w:tcW w:w="7258" w:type="dxa"/>
            <w:tcBorders>
              <w:top w:val="single" w:sz="12" w:space="0" w:color="auto"/>
              <w:bottom w:val="single" w:sz="2" w:space="0" w:color="auto"/>
            </w:tcBorders>
          </w:tcPr>
          <w:p w14:paraId="0C07F4EF" w14:textId="77777777" w:rsidR="001834BD" w:rsidRPr="00AD25AE" w:rsidRDefault="001834BD" w:rsidP="00FA7FCF">
            <w:pPr>
              <w:spacing w:before="0"/>
              <w:rPr>
                <w:sz w:val="16"/>
                <w:szCs w:val="16"/>
              </w:rPr>
            </w:pPr>
          </w:p>
        </w:tc>
      </w:tr>
      <w:tr w:rsidR="001834BD" w:rsidRPr="00AD25AE" w14:paraId="46F1A9E6" w14:textId="77777777" w:rsidTr="00FA7FCF">
        <w:trPr>
          <w:cantSplit/>
          <w:trHeight w:val="668"/>
        </w:trPr>
        <w:tc>
          <w:tcPr>
            <w:tcW w:w="2835" w:type="dxa"/>
            <w:tcBorders>
              <w:right w:val="single" w:sz="2" w:space="0" w:color="auto"/>
            </w:tcBorders>
            <w:vAlign w:val="center"/>
          </w:tcPr>
          <w:p w14:paraId="0E4B1149" w14:textId="77777777" w:rsidR="001834BD" w:rsidRPr="00AD25AE" w:rsidRDefault="001834BD" w:rsidP="00FA7FCF">
            <w:pPr>
              <w:spacing w:before="0"/>
              <w:rPr>
                <w:b/>
                <w:bCs/>
              </w:rPr>
            </w:pPr>
            <w:bookmarkStart w:id="4" w:name="lt_pId452"/>
            <w:r w:rsidRPr="00AD25AE">
              <w:rPr>
                <w:b/>
                <w:bCs/>
              </w:rPr>
              <w:t>Referencia al proyecto de orden del día de la consulta virtual:</w:t>
            </w:r>
            <w:bookmarkEnd w:id="4"/>
          </w:p>
        </w:tc>
        <w:bookmarkStart w:id="5" w:name="lt_pId453"/>
        <w:tc>
          <w:tcPr>
            <w:tcW w:w="7258" w:type="dxa"/>
            <w:tcBorders>
              <w:top w:val="single" w:sz="2" w:space="0" w:color="auto"/>
              <w:left w:val="single" w:sz="2" w:space="0" w:color="auto"/>
              <w:bottom w:val="single" w:sz="2" w:space="0" w:color="auto"/>
              <w:right w:val="single" w:sz="2" w:space="0" w:color="auto"/>
            </w:tcBorders>
            <w:vAlign w:val="center"/>
          </w:tcPr>
          <w:p w14:paraId="70E2C6CD" w14:textId="6F27536B" w:rsidR="001834BD" w:rsidRPr="00AD25AE" w:rsidRDefault="004F7538" w:rsidP="00FA7FCF">
            <w:pPr>
              <w:spacing w:before="240" w:after="120"/>
              <w:rPr>
                <w:b/>
                <w:bCs/>
              </w:rPr>
            </w:pPr>
            <w:r>
              <w:rPr>
                <w:b/>
                <w:bCs/>
              </w:rPr>
              <w:fldChar w:fldCharType="begin"/>
            </w:r>
            <w:r>
              <w:rPr>
                <w:b/>
                <w:bCs/>
              </w:rPr>
              <w:instrText xml:space="preserve"> HYPERLINK "https://www.itu.int/md/S20-CL-C-0060/es" </w:instrText>
            </w:r>
            <w:r>
              <w:rPr>
                <w:b/>
                <w:bCs/>
              </w:rPr>
            </w:r>
            <w:r>
              <w:rPr>
                <w:b/>
                <w:bCs/>
              </w:rPr>
              <w:fldChar w:fldCharType="separate"/>
            </w:r>
            <w:r w:rsidR="001834BD" w:rsidRPr="004F7538">
              <w:rPr>
                <w:rStyle w:val="Hyperlink"/>
                <w:b/>
                <w:bCs/>
              </w:rPr>
              <w:t>Documento C</w:t>
            </w:r>
            <w:r w:rsidR="001834BD" w:rsidRPr="004F7538">
              <w:rPr>
                <w:rStyle w:val="Hyperlink"/>
                <w:b/>
                <w:bCs/>
              </w:rPr>
              <w:t>2</w:t>
            </w:r>
            <w:r w:rsidR="001834BD" w:rsidRPr="004F7538">
              <w:rPr>
                <w:rStyle w:val="Hyperlink"/>
                <w:b/>
                <w:bCs/>
              </w:rPr>
              <w:t>0/</w:t>
            </w:r>
            <w:bookmarkEnd w:id="5"/>
            <w:r w:rsidRPr="004F7538">
              <w:rPr>
                <w:rStyle w:val="Hyperlink"/>
                <w:b/>
                <w:bCs/>
              </w:rPr>
              <w:t>60</w:t>
            </w:r>
            <w:r>
              <w:rPr>
                <w:b/>
                <w:bCs/>
              </w:rPr>
              <w:fldChar w:fldCharType="end"/>
            </w:r>
          </w:p>
        </w:tc>
      </w:tr>
      <w:tr w:rsidR="001834BD" w:rsidRPr="00AD25AE" w14:paraId="6A11F17A" w14:textId="77777777" w:rsidTr="00FA7FCF">
        <w:trPr>
          <w:cantSplit/>
          <w:trHeight w:val="156"/>
        </w:trPr>
        <w:tc>
          <w:tcPr>
            <w:tcW w:w="2835" w:type="dxa"/>
          </w:tcPr>
          <w:p w14:paraId="400FA71C" w14:textId="77777777" w:rsidR="001834BD" w:rsidRPr="00AD25AE" w:rsidRDefault="001834BD" w:rsidP="00FA7FCF">
            <w:pPr>
              <w:spacing w:before="0"/>
              <w:rPr>
                <w:sz w:val="16"/>
                <w:szCs w:val="16"/>
              </w:rPr>
            </w:pPr>
          </w:p>
        </w:tc>
        <w:tc>
          <w:tcPr>
            <w:tcW w:w="7258" w:type="dxa"/>
            <w:tcBorders>
              <w:top w:val="single" w:sz="12" w:space="0" w:color="auto"/>
              <w:bottom w:val="single" w:sz="2" w:space="0" w:color="auto"/>
            </w:tcBorders>
          </w:tcPr>
          <w:p w14:paraId="338AACBF" w14:textId="77777777" w:rsidR="001834BD" w:rsidRPr="00AD25AE" w:rsidRDefault="001834BD" w:rsidP="00FA7FCF">
            <w:pPr>
              <w:spacing w:before="0"/>
              <w:rPr>
                <w:sz w:val="16"/>
                <w:szCs w:val="16"/>
              </w:rPr>
            </w:pPr>
          </w:p>
        </w:tc>
      </w:tr>
    </w:tbl>
    <w:p w14:paraId="4D69CA35" w14:textId="77777777" w:rsidR="001834BD" w:rsidRPr="00230811" w:rsidRDefault="001834BD" w:rsidP="00230811">
      <w:pPr>
        <w:rPr>
          <w:sz w:val="20"/>
        </w:rPr>
      </w:pPr>
    </w:p>
    <w:tbl>
      <w:tblPr>
        <w:tblW w:w="10093" w:type="dxa"/>
        <w:tblInd w:w="-15" w:type="dxa"/>
        <w:tblLayout w:type="fixed"/>
        <w:tblLook w:val="0000" w:firstRow="0" w:lastRow="0" w:firstColumn="0" w:lastColumn="0" w:noHBand="0" w:noVBand="0"/>
      </w:tblPr>
      <w:tblGrid>
        <w:gridCol w:w="10093"/>
      </w:tblGrid>
      <w:tr w:rsidR="001834BD" w:rsidRPr="00AD25AE" w14:paraId="4ABB9B52" w14:textId="77777777" w:rsidTr="00230811">
        <w:tc>
          <w:tcPr>
            <w:tcW w:w="10093" w:type="dxa"/>
            <w:tcBorders>
              <w:top w:val="single" w:sz="12" w:space="0" w:color="auto"/>
              <w:left w:val="single" w:sz="12" w:space="0" w:color="auto"/>
              <w:bottom w:val="single" w:sz="12" w:space="0" w:color="auto"/>
              <w:right w:val="single" w:sz="12" w:space="0" w:color="auto"/>
            </w:tcBorders>
          </w:tcPr>
          <w:p w14:paraId="5B7DC8C0" w14:textId="27855E1F" w:rsidR="001834BD" w:rsidRPr="00AD25AE" w:rsidRDefault="001834BD" w:rsidP="00230811">
            <w:pPr>
              <w:pStyle w:val="Headingb"/>
              <w:keepNext w:val="0"/>
              <w:keepLines w:val="0"/>
              <w:spacing w:before="120" w:after="120"/>
            </w:pPr>
            <w:bookmarkStart w:id="6" w:name="lt_pId455"/>
            <w:r w:rsidRPr="00AD25AE">
              <w:t>Comentarios relativos al Documento C20/</w:t>
            </w:r>
            <w:bookmarkEnd w:id="6"/>
            <w:r w:rsidR="004F7538">
              <w:t>60</w:t>
            </w:r>
          </w:p>
          <w:p w14:paraId="3A62DD37" w14:textId="5DBBD45E" w:rsidR="004F7538" w:rsidRPr="004F7538" w:rsidRDefault="004F7538" w:rsidP="004F7538">
            <w:pPr>
              <w:rPr>
                <w:lang w:eastAsia="zh-CN"/>
              </w:rPr>
            </w:pPr>
            <w:bookmarkStart w:id="7" w:name="lt_pId014"/>
            <w:r w:rsidRPr="004F7538">
              <w:rPr>
                <w:lang w:eastAsia="zh-CN"/>
              </w:rPr>
              <w:t xml:space="preserve">En respuesta a la propuesta de la Unión recogida en el Documento C20/60: </w:t>
            </w:r>
            <w:r w:rsidR="003F4894" w:rsidRPr="004F7538">
              <w:rPr>
                <w:lang w:eastAsia="zh-CN"/>
              </w:rPr>
              <w:t xml:space="preserve">Creación </w:t>
            </w:r>
            <w:r w:rsidRPr="004F7538">
              <w:rPr>
                <w:lang w:eastAsia="zh-CN"/>
              </w:rPr>
              <w:t xml:space="preserve">y financiación de una nueva función de investigación, y teniendo en cuenta el Documento </w:t>
            </w:r>
            <w:hyperlink r:id="rId9" w:history="1">
              <w:r w:rsidRPr="004F7538">
                <w:rPr>
                  <w:rStyle w:val="Hyperlink"/>
                  <w:lang w:eastAsia="zh-CN"/>
                </w:rPr>
                <w:t>C</w:t>
              </w:r>
              <w:r w:rsidRPr="004F7538">
                <w:rPr>
                  <w:rStyle w:val="Hyperlink"/>
                  <w:lang w:eastAsia="zh-CN"/>
                </w:rPr>
                <w:t>W</w:t>
              </w:r>
              <w:r w:rsidRPr="004F7538">
                <w:rPr>
                  <w:rStyle w:val="Hyperlink"/>
                  <w:lang w:eastAsia="zh-CN"/>
                </w:rPr>
                <w:t>G-FHR</w:t>
              </w:r>
              <w:r w:rsidRPr="004F7538">
                <w:rPr>
                  <w:rStyle w:val="Hyperlink"/>
                  <w:lang w:eastAsia="zh-CN"/>
                </w:rPr>
                <w:t>-</w:t>
              </w:r>
              <w:r w:rsidRPr="004F7538">
                <w:rPr>
                  <w:rStyle w:val="Hyperlink"/>
                  <w:lang w:eastAsia="zh-CN"/>
                </w:rPr>
                <w:t>11/15</w:t>
              </w:r>
            </w:hyperlink>
            <w:r w:rsidRPr="004F7538">
              <w:rPr>
                <w:lang w:eastAsia="zh-CN"/>
              </w:rPr>
              <w:t xml:space="preserve">: Contribution by the United States </w:t>
            </w:r>
            <w:r w:rsidR="002F614F" w:rsidRPr="00230811">
              <w:rPr>
                <w:lang w:eastAsia="zh-CN"/>
              </w:rPr>
              <w:t>–</w:t>
            </w:r>
            <w:r w:rsidRPr="004F7538">
              <w:rPr>
                <w:lang w:eastAsia="zh-CN"/>
              </w:rPr>
              <w:t xml:space="preserve"> Proposal for a </w:t>
            </w:r>
            <w:r w:rsidR="003F4894" w:rsidRPr="004F7538">
              <w:rPr>
                <w:lang w:eastAsia="zh-CN"/>
              </w:rPr>
              <w:t>n</w:t>
            </w:r>
            <w:r w:rsidRPr="004F7538">
              <w:rPr>
                <w:lang w:eastAsia="zh-CN"/>
              </w:rPr>
              <w:t xml:space="preserve">ew </w:t>
            </w:r>
            <w:r w:rsidR="003F4894" w:rsidRPr="004F7538">
              <w:rPr>
                <w:lang w:eastAsia="zh-CN"/>
              </w:rPr>
              <w:t>i</w:t>
            </w:r>
            <w:r w:rsidRPr="004F7538">
              <w:rPr>
                <w:lang w:eastAsia="zh-CN"/>
              </w:rPr>
              <w:t xml:space="preserve">nvestigation </w:t>
            </w:r>
            <w:r w:rsidR="003F4894" w:rsidRPr="004F7538">
              <w:rPr>
                <w:lang w:eastAsia="zh-CN"/>
              </w:rPr>
              <w:t>f</w:t>
            </w:r>
            <w:r w:rsidRPr="004F7538">
              <w:rPr>
                <w:lang w:eastAsia="zh-CN"/>
              </w:rPr>
              <w:t xml:space="preserve">unction and </w:t>
            </w:r>
            <w:r w:rsidR="003F4894" w:rsidRPr="004F7538">
              <w:rPr>
                <w:lang w:eastAsia="zh-CN"/>
              </w:rPr>
              <w:t>p</w:t>
            </w:r>
            <w:r w:rsidRPr="004F7538">
              <w:rPr>
                <w:lang w:eastAsia="zh-CN"/>
              </w:rPr>
              <w:t>rocess, los Estados Unidos someten a la consideración del Consejo el mandato de la nueva función de investigación y la reforma del proceso de investigación que refleja las prácticas óptimas en el sistema de las Naciones Unidas.</w:t>
            </w:r>
            <w:bookmarkEnd w:id="7"/>
          </w:p>
          <w:p w14:paraId="7DCD477E" w14:textId="6CEED99E" w:rsidR="004F7538" w:rsidRPr="004F7538" w:rsidRDefault="004F7538" w:rsidP="004F7538">
            <w:pPr>
              <w:rPr>
                <w:lang w:eastAsia="zh-CN"/>
              </w:rPr>
            </w:pPr>
            <w:bookmarkStart w:id="8" w:name="lt_pId015"/>
            <w:r w:rsidRPr="004F7538">
              <w:rPr>
                <w:lang w:eastAsia="zh-CN"/>
              </w:rPr>
              <w:t xml:space="preserve">La nueva función de investigación sería un mecanismo de supervisión adicional de la organización, complementario de las actuales oficinas de supervisión de la UIT: la Unidad de Auditoría Interna; y la Oficina de Ética. </w:t>
            </w:r>
            <w:bookmarkStart w:id="9" w:name="lt_pId016"/>
            <w:bookmarkEnd w:id="8"/>
            <w:r w:rsidRPr="004F7538">
              <w:rPr>
                <w:lang w:eastAsia="zh-CN"/>
              </w:rPr>
              <w:t>Para funcionar eficazmente y realizar su labor de manera independiente, esta nueva función requiere las mismas protecciones que los demás mecanismos de supervisión de la UIT, y debe seguir las prácticas óptimas de otras funciones de investigación del sistema de las Naciones Unidas. Según las prácticas óptimas de otras organizaciones de las Naciones Unidas, la carta de supervisión de la organización debería incluir el mandato de la función de investigación</w:t>
            </w:r>
            <w:r w:rsidR="002F614F">
              <w:rPr>
                <w:rStyle w:val="FootnoteReference"/>
                <w:lang w:eastAsia="zh-CN"/>
              </w:rPr>
              <w:footnoteReference w:id="1"/>
            </w:r>
            <w:r w:rsidRPr="004F7538">
              <w:rPr>
                <w:lang w:eastAsia="zh-CN"/>
              </w:rPr>
              <w:t>. La actual Carta de Auditoría Interna de la UIT debería enmendarse para incluir el mandato y las atribuciones de la función de investigación. El mandato también reflejaría la autoridad y el papel de la nueva función en lo que respecta al proceso de investigación</w:t>
            </w:r>
            <w:r w:rsidR="002F614F">
              <w:rPr>
                <w:lang w:eastAsia="zh-CN"/>
              </w:rPr>
              <w:t>.</w:t>
            </w:r>
          </w:p>
          <w:p w14:paraId="115A180B" w14:textId="77777777" w:rsidR="001834BD" w:rsidRPr="00AD25AE" w:rsidRDefault="001834BD" w:rsidP="00230811">
            <w:pPr>
              <w:pStyle w:val="Headingb"/>
              <w:keepNext w:val="0"/>
              <w:keepLines w:val="0"/>
              <w:spacing w:before="120" w:after="120"/>
            </w:pPr>
            <w:bookmarkStart w:id="10" w:name="lt_pId456"/>
            <w:bookmarkEnd w:id="9"/>
            <w:r w:rsidRPr="00AD25AE">
              <w:lastRenderedPageBreak/>
              <w:t>Camino a seguir propuesto</w:t>
            </w:r>
            <w:bookmarkEnd w:id="10"/>
          </w:p>
          <w:p w14:paraId="3A24B3F8" w14:textId="0C61C476" w:rsidR="004F7538" w:rsidRPr="004F7538" w:rsidRDefault="004F7538" w:rsidP="004F7538">
            <w:pPr>
              <w:rPr>
                <w:lang w:eastAsia="zh-CN"/>
              </w:rPr>
            </w:pPr>
            <w:bookmarkStart w:id="11" w:name="lt_pId020"/>
            <w:r w:rsidRPr="004F7538">
              <w:rPr>
                <w:lang w:eastAsia="zh-CN"/>
              </w:rPr>
              <w:t>Los Estados Unidos proponen que, sobre la base de las recomendaciones de la DCI y de las prácticas óptimas del sistema de las Naciones Unidas, en la Carta de Auditoría Interna se incluyan las siguientes atribuciones para esta nueva función</w:t>
            </w:r>
            <w:r w:rsidR="002F614F">
              <w:rPr>
                <w:rStyle w:val="FootnoteReference"/>
                <w:lang w:eastAsia="zh-CN"/>
              </w:rPr>
              <w:footnoteReference w:id="2"/>
            </w:r>
            <w:r w:rsidRPr="004F7538">
              <w:rPr>
                <w:lang w:eastAsia="zh-CN"/>
              </w:rPr>
              <w:t>:</w:t>
            </w:r>
            <w:bookmarkEnd w:id="11"/>
          </w:p>
          <w:p w14:paraId="2D190445" w14:textId="197ED545" w:rsidR="004F7538" w:rsidRPr="004F7538" w:rsidRDefault="000A1B43" w:rsidP="000A1B43">
            <w:pPr>
              <w:pStyle w:val="enumlev1"/>
              <w:rPr>
                <w:lang w:eastAsia="zh-CN"/>
              </w:rPr>
            </w:pPr>
            <w:bookmarkStart w:id="12" w:name="lt_pId021"/>
            <w:r>
              <w:rPr>
                <w:lang w:eastAsia="zh-CN"/>
              </w:rPr>
              <w:t>1)</w:t>
            </w:r>
            <w:r>
              <w:rPr>
                <w:lang w:eastAsia="zh-CN"/>
              </w:rPr>
              <w:tab/>
            </w:r>
            <w:r w:rsidR="002F614F">
              <w:rPr>
                <w:lang w:eastAsia="zh-CN"/>
              </w:rPr>
              <w:t>e</w:t>
            </w:r>
            <w:r w:rsidR="004F7538" w:rsidRPr="004F7538">
              <w:rPr>
                <w:lang w:eastAsia="zh-CN"/>
              </w:rPr>
              <w:t>l nuevo investigador es el único responsable de la realización de todas las investigaciones en la UIT y es la autoridad para iniciar investigaciones;</w:t>
            </w:r>
            <w:bookmarkEnd w:id="12"/>
          </w:p>
          <w:p w14:paraId="33C58703" w14:textId="71EC387E" w:rsidR="004F7538" w:rsidRPr="004F7538" w:rsidRDefault="000A1B43" w:rsidP="000A1B43">
            <w:pPr>
              <w:pStyle w:val="enumlev1"/>
              <w:rPr>
                <w:lang w:eastAsia="zh-CN"/>
              </w:rPr>
            </w:pPr>
            <w:bookmarkStart w:id="13" w:name="lt_pId022"/>
            <w:r>
              <w:rPr>
                <w:lang w:eastAsia="zh-CN"/>
              </w:rPr>
              <w:t>2)</w:t>
            </w:r>
            <w:r>
              <w:rPr>
                <w:lang w:eastAsia="zh-CN"/>
              </w:rPr>
              <w:tab/>
            </w:r>
            <w:r w:rsidR="002F614F">
              <w:rPr>
                <w:lang w:eastAsia="zh-CN"/>
              </w:rPr>
              <w:t>e</w:t>
            </w:r>
            <w:r w:rsidR="004F7538" w:rsidRPr="004F7538">
              <w:rPr>
                <w:lang w:eastAsia="zh-CN"/>
              </w:rPr>
              <w:t>l investigador ejerce con independencia operativa en el desempeño de sus funciones; permanecerá libre de toda interferencia, incluso en lo que respecta a la selección, el alcance, los procedimientos, la frecuencia y el calendario de las actividades de la función de investigación, el acceso a los registros y la comunicación de los resultados;</w:t>
            </w:r>
          </w:p>
          <w:p w14:paraId="3BD93D8E" w14:textId="2A7CD74C" w:rsidR="004F7538" w:rsidRPr="004F7538" w:rsidRDefault="000A1B43" w:rsidP="000A1B43">
            <w:pPr>
              <w:pStyle w:val="enumlev1"/>
              <w:rPr>
                <w:lang w:eastAsia="zh-CN"/>
              </w:rPr>
            </w:pPr>
            <w:bookmarkStart w:id="14" w:name="lt_pId023"/>
            <w:bookmarkEnd w:id="13"/>
            <w:r>
              <w:rPr>
                <w:lang w:eastAsia="zh-CN"/>
              </w:rPr>
              <w:t>3)</w:t>
            </w:r>
            <w:r>
              <w:rPr>
                <w:lang w:eastAsia="zh-CN"/>
              </w:rPr>
              <w:tab/>
            </w:r>
            <w:r w:rsidR="002F614F">
              <w:rPr>
                <w:lang w:eastAsia="zh-CN"/>
              </w:rPr>
              <w:t>l</w:t>
            </w:r>
            <w:r w:rsidR="004F7538" w:rsidRPr="004F7538">
              <w:rPr>
                <w:lang w:eastAsia="zh-CN"/>
              </w:rPr>
              <w:t xml:space="preserve">a función de investigación tiene acceso libre e ilimitado al Comité Asesor Independiente sobre la Gestión (CAIG), </w:t>
            </w:r>
            <w:r w:rsidR="000C3F24">
              <w:rPr>
                <w:lang w:eastAsia="zh-CN"/>
              </w:rPr>
              <w:t>a</w:t>
            </w:r>
            <w:r w:rsidR="004F7538" w:rsidRPr="004F7538">
              <w:rPr>
                <w:lang w:eastAsia="zh-CN"/>
              </w:rPr>
              <w:t xml:space="preserve">l Consejo de la UIT, </w:t>
            </w:r>
            <w:r w:rsidR="000C3F24">
              <w:rPr>
                <w:lang w:eastAsia="zh-CN"/>
              </w:rPr>
              <w:t>a</w:t>
            </w:r>
            <w:r w:rsidR="004F7538" w:rsidRPr="004F7538">
              <w:rPr>
                <w:lang w:eastAsia="zh-CN"/>
              </w:rPr>
              <w:t>l Auditor Interno y al Auditor Externo;</w:t>
            </w:r>
            <w:bookmarkEnd w:id="14"/>
          </w:p>
          <w:p w14:paraId="181B44A9" w14:textId="2BC79F69" w:rsidR="004F7538" w:rsidRPr="004F7538" w:rsidRDefault="000A1B43" w:rsidP="000A1B43">
            <w:pPr>
              <w:pStyle w:val="enumlev1"/>
              <w:rPr>
                <w:lang w:eastAsia="zh-CN"/>
              </w:rPr>
            </w:pPr>
            <w:bookmarkStart w:id="15" w:name="lt_pId024"/>
            <w:r>
              <w:rPr>
                <w:lang w:eastAsia="zh-CN"/>
              </w:rPr>
              <w:t>4)</w:t>
            </w:r>
            <w:r>
              <w:rPr>
                <w:lang w:eastAsia="zh-CN"/>
              </w:rPr>
              <w:tab/>
            </w:r>
            <w:r w:rsidR="002F614F">
              <w:rPr>
                <w:lang w:eastAsia="zh-CN"/>
              </w:rPr>
              <w:t>e</w:t>
            </w:r>
            <w:r w:rsidR="004F7538" w:rsidRPr="004F7538">
              <w:rPr>
                <w:lang w:eastAsia="zh-CN"/>
              </w:rPr>
              <w:t>l nombramiento del puesto se hará con el asesoramiento del CAIG y tras consultar al Consejo de la UIT. El nombramiento del Investigador sólo puede ser terminado por causa justificada previa consulta con el CAIG y el Consejo de la UIT</w:t>
            </w:r>
            <w:bookmarkStart w:id="16" w:name="lt_pId025"/>
            <w:bookmarkEnd w:id="15"/>
            <w:r w:rsidR="004F7538" w:rsidRPr="004F7538">
              <w:rPr>
                <w:lang w:eastAsia="zh-CN"/>
              </w:rPr>
              <w:t>;</w:t>
            </w:r>
            <w:bookmarkEnd w:id="16"/>
          </w:p>
          <w:p w14:paraId="6925B33A" w14:textId="13B1EEA5" w:rsidR="004F7538" w:rsidRPr="004F7538" w:rsidRDefault="000A1B43" w:rsidP="000A1B43">
            <w:pPr>
              <w:pStyle w:val="enumlev1"/>
              <w:rPr>
                <w:lang w:eastAsia="zh-CN"/>
              </w:rPr>
            </w:pPr>
            <w:bookmarkStart w:id="17" w:name="lt_pId026"/>
            <w:r>
              <w:rPr>
                <w:lang w:eastAsia="zh-CN"/>
              </w:rPr>
              <w:t>5)</w:t>
            </w:r>
            <w:r>
              <w:rPr>
                <w:lang w:eastAsia="zh-CN"/>
              </w:rPr>
              <w:tab/>
            </w:r>
            <w:r w:rsidR="002F614F">
              <w:rPr>
                <w:lang w:eastAsia="zh-CN"/>
              </w:rPr>
              <w:t>u</w:t>
            </w:r>
            <w:r w:rsidR="004F7538" w:rsidRPr="004F7538">
              <w:rPr>
                <w:lang w:eastAsia="zh-CN"/>
              </w:rPr>
              <w:t>n proceso claro para tratar cualquier conflicto de intereses con una posible investigación, incluyendo cualquier acusación de irregularidades que puedan involucrar a un alto Funcionario de Elección de la UIT;</w:t>
            </w:r>
            <w:bookmarkEnd w:id="17"/>
          </w:p>
          <w:p w14:paraId="66599BDF" w14:textId="72317F67" w:rsidR="004F7538" w:rsidRPr="004F7538" w:rsidRDefault="000A1B43" w:rsidP="000A1B43">
            <w:pPr>
              <w:pStyle w:val="enumlev1"/>
              <w:rPr>
                <w:lang w:eastAsia="zh-CN"/>
              </w:rPr>
            </w:pPr>
            <w:bookmarkStart w:id="18" w:name="lt_pId027"/>
            <w:r>
              <w:rPr>
                <w:lang w:eastAsia="zh-CN"/>
              </w:rPr>
              <w:t>6)</w:t>
            </w:r>
            <w:r>
              <w:rPr>
                <w:lang w:eastAsia="zh-CN"/>
              </w:rPr>
              <w:tab/>
            </w:r>
            <w:r w:rsidR="002F614F">
              <w:rPr>
                <w:lang w:eastAsia="zh-CN"/>
              </w:rPr>
              <w:t>t</w:t>
            </w:r>
            <w:r w:rsidR="004F7538" w:rsidRPr="004F7538">
              <w:rPr>
                <w:lang w:eastAsia="zh-CN"/>
              </w:rPr>
              <w:t xml:space="preserve">eniendo en cuenta la confidencialidad, el Investigador de la UIT presentará anualmente un informe al Consejo de la UIT sobre cualquier investigación de irregularidades realizada durante el año </w:t>
            </w:r>
            <w:r w:rsidR="002F614F">
              <w:rPr>
                <w:lang w:eastAsia="zh-CN"/>
              </w:rPr>
              <w:t>–</w:t>
            </w:r>
            <w:r w:rsidR="004F7538" w:rsidRPr="004F7538">
              <w:rPr>
                <w:lang w:eastAsia="zh-CN"/>
              </w:rPr>
              <w:t>específicamente lo que se haya alegado, así como las conclusiones y resultados</w:t>
            </w:r>
            <w:r w:rsidR="002F614F">
              <w:rPr>
                <w:lang w:eastAsia="zh-CN"/>
              </w:rPr>
              <w:t>–</w:t>
            </w:r>
            <w:r w:rsidR="004F7538" w:rsidRPr="004F7538">
              <w:rPr>
                <w:lang w:eastAsia="zh-CN"/>
              </w:rPr>
              <w:t>, incluidas las medidas administrativas adoptadas;</w:t>
            </w:r>
            <w:bookmarkEnd w:id="18"/>
          </w:p>
          <w:p w14:paraId="16BDB81E" w14:textId="6E084B69" w:rsidR="004F7538" w:rsidRPr="004F7538" w:rsidRDefault="000A1B43" w:rsidP="000A1B43">
            <w:pPr>
              <w:pStyle w:val="enumlev1"/>
              <w:rPr>
                <w:lang w:eastAsia="zh-CN"/>
              </w:rPr>
            </w:pPr>
            <w:bookmarkStart w:id="19" w:name="lt_pId028"/>
            <w:r>
              <w:rPr>
                <w:lang w:eastAsia="zh-CN"/>
              </w:rPr>
              <w:t>7)</w:t>
            </w:r>
            <w:r>
              <w:rPr>
                <w:lang w:eastAsia="zh-CN"/>
              </w:rPr>
              <w:tab/>
            </w:r>
            <w:r w:rsidR="002F614F">
              <w:rPr>
                <w:lang w:eastAsia="zh-CN"/>
              </w:rPr>
              <w:t>u</w:t>
            </w:r>
            <w:r w:rsidR="004F7538" w:rsidRPr="004F7538">
              <w:rPr>
                <w:lang w:eastAsia="zh-CN"/>
              </w:rPr>
              <w:t>n proceso de investigación reformado como el que se describe en el #2 del Documento</w:t>
            </w:r>
            <w:r w:rsidR="002F614F">
              <w:rPr>
                <w:lang w:eastAsia="zh-CN"/>
              </w:rPr>
              <w:t> </w:t>
            </w:r>
            <w:hyperlink r:id="rId10" w:history="1">
              <w:r w:rsidR="004F7538" w:rsidRPr="004F7538">
                <w:rPr>
                  <w:rStyle w:val="Hyperlink"/>
                  <w:lang w:eastAsia="zh-CN"/>
                </w:rPr>
                <w:t>CWG</w:t>
              </w:r>
              <w:r w:rsidR="002F614F">
                <w:rPr>
                  <w:rStyle w:val="Hyperlink"/>
                  <w:lang w:eastAsia="zh-CN"/>
                </w:rPr>
                <w:noBreakHyphen/>
              </w:r>
              <w:r w:rsidR="004F7538" w:rsidRPr="004F7538">
                <w:rPr>
                  <w:rStyle w:val="Hyperlink"/>
                  <w:lang w:eastAsia="zh-CN"/>
                </w:rPr>
                <w:t>FH</w:t>
              </w:r>
              <w:r w:rsidR="004F7538" w:rsidRPr="004F7538">
                <w:rPr>
                  <w:rStyle w:val="Hyperlink"/>
                  <w:lang w:eastAsia="zh-CN"/>
                </w:rPr>
                <w:t>R</w:t>
              </w:r>
              <w:r w:rsidR="004F7538" w:rsidRPr="004F7538">
                <w:rPr>
                  <w:rStyle w:val="Hyperlink"/>
                  <w:lang w:eastAsia="zh-CN"/>
                </w:rPr>
                <w:t>-11/15</w:t>
              </w:r>
            </w:hyperlink>
            <w:r w:rsidR="004F7538" w:rsidRPr="004F7538">
              <w:rPr>
                <w:lang w:eastAsia="zh-CN"/>
              </w:rPr>
              <w:t xml:space="preserve">: </w:t>
            </w:r>
            <w:r w:rsidR="004F7538" w:rsidRPr="000C3F24">
              <w:rPr>
                <w:lang w:eastAsia="zh-CN"/>
              </w:rPr>
              <w:t xml:space="preserve">Contribution by the United States </w:t>
            </w:r>
            <w:r w:rsidR="002F614F" w:rsidRPr="000C3F24">
              <w:rPr>
                <w:lang w:eastAsia="zh-CN"/>
              </w:rPr>
              <w:t>–</w:t>
            </w:r>
            <w:r w:rsidR="004F7538" w:rsidRPr="000C3F24">
              <w:rPr>
                <w:lang w:eastAsia="zh-CN"/>
              </w:rPr>
              <w:t xml:space="preserve"> </w:t>
            </w:r>
            <w:r w:rsidR="003F4894" w:rsidRPr="000C3F24">
              <w:rPr>
                <w:lang w:eastAsia="zh-CN"/>
              </w:rPr>
              <w:t xml:space="preserve">Proposal </w:t>
            </w:r>
            <w:r w:rsidR="004F7538" w:rsidRPr="000C3F24">
              <w:rPr>
                <w:lang w:eastAsia="zh-CN"/>
              </w:rPr>
              <w:t>for a new investigation function and process</w:t>
            </w:r>
            <w:bookmarkEnd w:id="19"/>
            <w:r w:rsidR="004F7538" w:rsidRPr="004F7538">
              <w:rPr>
                <w:lang w:eastAsia="zh-CN"/>
              </w:rPr>
              <w:t>.</w:t>
            </w:r>
          </w:p>
          <w:p w14:paraId="45B1A2B4" w14:textId="33AE1FCB" w:rsidR="001834BD" w:rsidRPr="004F7538" w:rsidRDefault="004F7538" w:rsidP="004F7538">
            <w:pPr>
              <w:rPr>
                <w:lang w:eastAsia="zh-CN"/>
              </w:rPr>
            </w:pPr>
            <w:bookmarkStart w:id="20" w:name="lt_pId029"/>
            <w:r w:rsidRPr="004F7538">
              <w:rPr>
                <w:lang w:eastAsia="zh-CN"/>
              </w:rPr>
              <w:t xml:space="preserve">Estos términos pueden incorporarse a la Carta de Auditoría Interna para que el Consejo adopte una decisión en la próxima reunión, así como cualquier otro cambio o adición pertinente a la Carta para la nueva función y el proceso de investigación. Por consiguiente, el Consejo debería considerar la posibilidad de modificar el texto del Acuerdo que figura en el </w:t>
            </w:r>
            <w:r w:rsidR="000A1B43" w:rsidRPr="004F7538">
              <w:rPr>
                <w:b/>
                <w:bCs/>
                <w:lang w:eastAsia="zh-CN"/>
              </w:rPr>
              <w:t xml:space="preserve">Documento </w:t>
            </w:r>
            <w:r w:rsidRPr="004F7538">
              <w:rPr>
                <w:b/>
                <w:bCs/>
                <w:lang w:eastAsia="zh-CN"/>
              </w:rPr>
              <w:t>C20/ADM 27</w:t>
            </w:r>
            <w:r w:rsidRPr="004F7538">
              <w:rPr>
                <w:lang w:eastAsia="zh-CN"/>
              </w:rPr>
              <w:t xml:space="preserve"> para incluir la petición de que la Secretaría incorpore en la Carta de Auditoría Interna el nuevo mandato de la función de investigación, tal como se ha propuesto anteriormente, para su examen por el Consejo.</w:t>
            </w:r>
            <w:bookmarkEnd w:id="20"/>
          </w:p>
        </w:tc>
      </w:tr>
    </w:tbl>
    <w:p w14:paraId="6FF19743" w14:textId="77777777" w:rsidR="002F614F" w:rsidRDefault="002F614F" w:rsidP="00411C49">
      <w:pPr>
        <w:pStyle w:val="Reasons"/>
      </w:pPr>
    </w:p>
    <w:p w14:paraId="2244E77E" w14:textId="77777777" w:rsidR="002F614F" w:rsidRDefault="002F614F">
      <w:pPr>
        <w:jc w:val="center"/>
      </w:pPr>
      <w:r>
        <w:t>______________</w:t>
      </w:r>
    </w:p>
    <w:sectPr w:rsidR="002F614F"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0A55" w14:textId="77777777" w:rsidR="001834BD" w:rsidRDefault="001834BD">
      <w:r>
        <w:separator/>
      </w:r>
    </w:p>
  </w:endnote>
  <w:endnote w:type="continuationSeparator" w:id="0">
    <w:p w14:paraId="5A301263" w14:textId="77777777" w:rsidR="001834BD" w:rsidRDefault="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77DE" w14:textId="736048C9" w:rsidR="00760F1C" w:rsidRDefault="00DC4148" w:rsidP="00DC4148">
    <w:pPr>
      <w:pStyle w:val="Footer"/>
      <w:rPr>
        <w:lang w:val="en-US"/>
      </w:rPr>
    </w:pPr>
    <w:fldSimple w:instr=" FILENAME \p  \* MERGEFORMAT ">
      <w:r>
        <w:t>P:\ESP\SG\CONSEIL\VC\000\008S.docx</w:t>
      </w:r>
    </w:fldSimple>
    <w:r>
      <w:t xml:space="preserve"> (471745)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956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0416" w14:textId="77777777" w:rsidR="001834BD" w:rsidRDefault="001834BD">
      <w:r>
        <w:t>____________________</w:t>
      </w:r>
    </w:p>
  </w:footnote>
  <w:footnote w:type="continuationSeparator" w:id="0">
    <w:p w14:paraId="293AE437" w14:textId="77777777" w:rsidR="001834BD" w:rsidRDefault="001834BD">
      <w:r>
        <w:continuationSeparator/>
      </w:r>
    </w:p>
  </w:footnote>
  <w:footnote w:id="1">
    <w:p w14:paraId="4E71DE7A" w14:textId="62AAA9BB" w:rsidR="002F614F" w:rsidRPr="002F614F" w:rsidRDefault="002F614F">
      <w:pPr>
        <w:pStyle w:val="FootnoteText"/>
        <w:rPr>
          <w:lang w:val="es-ES"/>
        </w:rPr>
      </w:pPr>
      <w:r>
        <w:rPr>
          <w:rStyle w:val="FootnoteReference"/>
        </w:rPr>
        <w:footnoteRef/>
      </w:r>
      <w:r>
        <w:tab/>
      </w:r>
      <w:r w:rsidRPr="002F614F">
        <w:t xml:space="preserve">Véase la </w:t>
      </w:r>
      <w:r w:rsidRPr="002F614F">
        <w:t xml:space="preserve">Recomendación </w:t>
      </w:r>
      <w:r w:rsidRPr="002F614F">
        <w:t xml:space="preserve">2 del informe de la DCI, </w:t>
      </w:r>
      <w:r w:rsidR="00230811">
        <w:t>"</w:t>
      </w:r>
      <w:hyperlink r:id="rId1" w:history="1">
        <w:r w:rsidR="00230811" w:rsidRPr="00230811">
          <w:rPr>
            <w:rStyle w:val="Hyperlink"/>
          </w:rPr>
          <w:t>L</w:t>
        </w:r>
        <w:r w:rsidR="00DC4148" w:rsidRPr="00230811">
          <w:rPr>
            <w:rStyle w:val="Hyperlink"/>
          </w:rPr>
          <w:t>a función de investigación en el sistema de las Naciones Unidas (A</w:t>
        </w:r>
        <w:r w:rsidR="00DC4148" w:rsidRPr="00230811">
          <w:rPr>
            <w:rStyle w:val="Hyperlink"/>
          </w:rPr>
          <w:t>/</w:t>
        </w:r>
        <w:r w:rsidR="00DC4148" w:rsidRPr="00230811">
          <w:rPr>
            <w:rStyle w:val="Hyperlink"/>
          </w:rPr>
          <w:t>6</w:t>
        </w:r>
        <w:r w:rsidR="00DC4148" w:rsidRPr="00230811">
          <w:rPr>
            <w:rStyle w:val="Hyperlink"/>
          </w:rPr>
          <w:t>7</w:t>
        </w:r>
        <w:r w:rsidR="00DC4148" w:rsidRPr="00230811">
          <w:rPr>
            <w:rStyle w:val="Hyperlink"/>
          </w:rPr>
          <w:t>/140)</w:t>
        </w:r>
      </w:hyperlink>
      <w:r w:rsidR="00230811">
        <w:t>"</w:t>
      </w:r>
      <w:r w:rsidR="00230811">
        <w:t xml:space="preserve"> </w:t>
      </w:r>
      <w:r w:rsidRPr="00DC4148">
        <w:t xml:space="preserve">y como ejemplos de prácticas óptimas: la </w:t>
      </w:r>
      <w:hyperlink r:id="rId2" w:history="1">
        <w:r w:rsidRPr="002F614F">
          <w:rPr>
            <w:rStyle w:val="Hyperlink"/>
          </w:rPr>
          <w:t>Carta</w:t>
        </w:r>
        <w:r w:rsidRPr="002F614F">
          <w:rPr>
            <w:rStyle w:val="Hyperlink"/>
          </w:rPr>
          <w:t xml:space="preserve"> </w:t>
        </w:r>
        <w:r w:rsidRPr="002F614F">
          <w:rPr>
            <w:rStyle w:val="Hyperlink"/>
          </w:rPr>
          <w:t>de Auditoría Interna de la Organización Mundial de la Propiedad Intelectual</w:t>
        </w:r>
      </w:hyperlink>
      <w:r w:rsidRPr="002F614F">
        <w:t xml:space="preserve"> y la </w:t>
      </w:r>
      <w:hyperlink r:id="rId3" w:history="1">
        <w:r w:rsidRPr="002F614F">
          <w:rPr>
            <w:rStyle w:val="Hyperlink"/>
          </w:rPr>
          <w:t xml:space="preserve">Carta de la </w:t>
        </w:r>
        <w:r w:rsidRPr="002F614F">
          <w:rPr>
            <w:rStyle w:val="Hyperlink"/>
          </w:rPr>
          <w:t>O</w:t>
        </w:r>
        <w:r w:rsidRPr="002F614F">
          <w:rPr>
            <w:rStyle w:val="Hyperlink"/>
          </w:rPr>
          <w:t>ficina del Inspector General de la Organización de las Naciones Unidas para la Alimentación y la Agricultura</w:t>
        </w:r>
      </w:hyperlink>
      <w:r w:rsidRPr="002F614F">
        <w:t>.</w:t>
      </w:r>
    </w:p>
  </w:footnote>
  <w:footnote w:id="2">
    <w:p w14:paraId="0F99426E" w14:textId="7E742E29" w:rsidR="002F614F" w:rsidRPr="002F614F" w:rsidRDefault="002F614F">
      <w:pPr>
        <w:pStyle w:val="FootnoteText"/>
        <w:rPr>
          <w:lang w:val="es-ES"/>
        </w:rPr>
      </w:pPr>
      <w:r>
        <w:rPr>
          <w:rStyle w:val="FootnoteReference"/>
        </w:rPr>
        <w:footnoteRef/>
      </w:r>
      <w:r>
        <w:tab/>
      </w:r>
      <w:r w:rsidRPr="002F614F">
        <w:t xml:space="preserve">Las atribuciones propuestas se corresponden con las </w:t>
      </w:r>
      <w:r w:rsidR="00DC4148" w:rsidRPr="002F614F">
        <w:t xml:space="preserve">Recomendaciones </w:t>
      </w:r>
      <w:r w:rsidRPr="002F614F">
        <w:t>2 y 4 del informe de la</w:t>
      </w:r>
      <w:r w:rsidR="00230811">
        <w:t> </w:t>
      </w:r>
      <w:r w:rsidRPr="002F614F">
        <w:t xml:space="preserve">DCI </w:t>
      </w:r>
      <w:r w:rsidR="00230811">
        <w:t>"</w:t>
      </w:r>
      <w:hyperlink r:id="rId4" w:history="1">
        <w:r w:rsidRPr="002F614F">
          <w:rPr>
            <w:rStyle w:val="Hyperlink"/>
          </w:rPr>
          <w:t>La función de investigación en el sistema de las Naciones Unidas (A/67/140</w:t>
        </w:r>
        <w:r w:rsidRPr="00230811">
          <w:rPr>
            <w:rStyle w:val="Hyperlink"/>
            <w:iCs/>
          </w:rPr>
          <w:t>)</w:t>
        </w:r>
      </w:hyperlink>
      <w:r w:rsidR="00230811">
        <w:t>"</w:t>
      </w:r>
      <w:r w:rsidRPr="002F614F">
        <w:t xml:space="preserve"> y con la </w:t>
      </w:r>
      <w:r w:rsidR="00DC4148" w:rsidRPr="002F614F">
        <w:t xml:space="preserve">Recomendación </w:t>
      </w:r>
      <w:r w:rsidRPr="002F614F">
        <w:t xml:space="preserve">7 de </w:t>
      </w:r>
      <w:r w:rsidR="002A186D">
        <w:t>"</w:t>
      </w:r>
      <w:hyperlink r:id="rId5" w:history="1">
        <w:r w:rsidRPr="002F614F">
          <w:rPr>
            <w:rStyle w:val="Hyperlink"/>
          </w:rPr>
          <w:t>Carencias en</w:t>
        </w:r>
        <w:r w:rsidRPr="002F614F">
          <w:rPr>
            <w:rStyle w:val="Hyperlink"/>
          </w:rPr>
          <w:t xml:space="preserve"> </w:t>
        </w:r>
        <w:r w:rsidRPr="002F614F">
          <w:rPr>
            <w:rStyle w:val="Hyperlink"/>
          </w:rPr>
          <w:t>la supervisión de</w:t>
        </w:r>
        <w:r w:rsidRPr="002F614F">
          <w:rPr>
            <w:rStyle w:val="Hyperlink"/>
          </w:rPr>
          <w:t>n</w:t>
        </w:r>
        <w:r w:rsidRPr="002F614F">
          <w:rPr>
            <w:rStyle w:val="Hyperlink"/>
          </w:rPr>
          <w:t>tro del Sistema de las Naciones Unidas</w:t>
        </w:r>
      </w:hyperlink>
      <w:r w:rsidR="002A186D">
        <w:t>"</w:t>
      </w:r>
      <w:r w:rsidRPr="002F614F">
        <w:t xml:space="preserve">, así como prácticas óptimas del sistema de las Naciones Unidas, véase </w:t>
      </w:r>
      <w:hyperlink r:id="rId6" w:history="1">
        <w:r w:rsidRPr="002F614F">
          <w:rPr>
            <w:rStyle w:val="Hyperlink"/>
          </w:rPr>
          <w:t>Carta de Auditoría Interna de la Organización Mundial de la Propiedad Intelectual</w:t>
        </w:r>
      </w:hyperlink>
      <w:r w:rsidRPr="002F614F">
        <w:t xml:space="preserve"> y la </w:t>
      </w:r>
      <w:hyperlink r:id="rId7" w:history="1">
        <w:r w:rsidRPr="002F614F">
          <w:rPr>
            <w:rStyle w:val="Hyperlink"/>
          </w:rPr>
          <w:t>Carta de la Oficina del Inspector General de la Organización de las Naciones Unidas para la Alimentación y la Agricultura</w:t>
        </w:r>
      </w:hyperlink>
      <w:r w:rsidRPr="002F61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108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F9E07E8" w14:textId="7BA79C84" w:rsidR="00760F1C" w:rsidRDefault="001834BD" w:rsidP="00C2727F">
    <w:pPr>
      <w:pStyle w:val="Header"/>
    </w:pPr>
    <w:r>
      <w:t>VC</w:t>
    </w:r>
    <w:r w:rsidR="00760F1C">
      <w:t>/</w:t>
    </w:r>
    <w:r w:rsidR="000A1B43">
      <w:t>8</w:t>
    </w:r>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66115"/>
    <w:multiLevelType w:val="hybridMultilevel"/>
    <w:tmpl w:val="0E22A214"/>
    <w:lvl w:ilvl="0" w:tplc="8870C5BA">
      <w:start w:val="1"/>
      <w:numFmt w:val="decimal"/>
      <w:lvlText w:val="%1.)"/>
      <w:lvlJc w:val="left"/>
      <w:pPr>
        <w:ind w:left="720" w:hanging="360"/>
      </w:pPr>
      <w:rPr>
        <w:rFonts w:hint="default"/>
      </w:rPr>
    </w:lvl>
    <w:lvl w:ilvl="1" w:tplc="0AE09E4C" w:tentative="1">
      <w:start w:val="1"/>
      <w:numFmt w:val="lowerLetter"/>
      <w:lvlText w:val="%2."/>
      <w:lvlJc w:val="left"/>
      <w:pPr>
        <w:ind w:left="1440" w:hanging="360"/>
      </w:pPr>
    </w:lvl>
    <w:lvl w:ilvl="2" w:tplc="77487BFA" w:tentative="1">
      <w:start w:val="1"/>
      <w:numFmt w:val="lowerRoman"/>
      <w:lvlText w:val="%3."/>
      <w:lvlJc w:val="right"/>
      <w:pPr>
        <w:ind w:left="2160" w:hanging="180"/>
      </w:pPr>
    </w:lvl>
    <w:lvl w:ilvl="3" w:tplc="BF8AAEEC" w:tentative="1">
      <w:start w:val="1"/>
      <w:numFmt w:val="decimal"/>
      <w:lvlText w:val="%4."/>
      <w:lvlJc w:val="left"/>
      <w:pPr>
        <w:ind w:left="2880" w:hanging="360"/>
      </w:pPr>
    </w:lvl>
    <w:lvl w:ilvl="4" w:tplc="327ADFF6" w:tentative="1">
      <w:start w:val="1"/>
      <w:numFmt w:val="lowerLetter"/>
      <w:lvlText w:val="%5."/>
      <w:lvlJc w:val="left"/>
      <w:pPr>
        <w:ind w:left="3600" w:hanging="360"/>
      </w:pPr>
    </w:lvl>
    <w:lvl w:ilvl="5" w:tplc="80801E48" w:tentative="1">
      <w:start w:val="1"/>
      <w:numFmt w:val="lowerRoman"/>
      <w:lvlText w:val="%6."/>
      <w:lvlJc w:val="right"/>
      <w:pPr>
        <w:ind w:left="4320" w:hanging="180"/>
      </w:pPr>
    </w:lvl>
    <w:lvl w:ilvl="6" w:tplc="2804732E" w:tentative="1">
      <w:start w:val="1"/>
      <w:numFmt w:val="decimal"/>
      <w:lvlText w:val="%7."/>
      <w:lvlJc w:val="left"/>
      <w:pPr>
        <w:ind w:left="5040" w:hanging="360"/>
      </w:pPr>
    </w:lvl>
    <w:lvl w:ilvl="7" w:tplc="3B186306" w:tentative="1">
      <w:start w:val="1"/>
      <w:numFmt w:val="lowerLetter"/>
      <w:lvlText w:val="%8."/>
      <w:lvlJc w:val="left"/>
      <w:pPr>
        <w:ind w:left="5760" w:hanging="360"/>
      </w:pPr>
    </w:lvl>
    <w:lvl w:ilvl="8" w:tplc="4B02085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BD"/>
    <w:rsid w:val="00093EEB"/>
    <w:rsid w:val="000A1B43"/>
    <w:rsid w:val="000B0D00"/>
    <w:rsid w:val="000B7C15"/>
    <w:rsid w:val="000C3F24"/>
    <w:rsid w:val="000D1D0F"/>
    <w:rsid w:val="000F5290"/>
    <w:rsid w:val="0010165C"/>
    <w:rsid w:val="00146BFB"/>
    <w:rsid w:val="001834BD"/>
    <w:rsid w:val="001F14A2"/>
    <w:rsid w:val="00230811"/>
    <w:rsid w:val="0026252E"/>
    <w:rsid w:val="002801AA"/>
    <w:rsid w:val="002A186D"/>
    <w:rsid w:val="002C4676"/>
    <w:rsid w:val="002C70B0"/>
    <w:rsid w:val="002F3CC4"/>
    <w:rsid w:val="002F614F"/>
    <w:rsid w:val="003172E7"/>
    <w:rsid w:val="003F4894"/>
    <w:rsid w:val="00491AC1"/>
    <w:rsid w:val="004F7538"/>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84F06"/>
    <w:rsid w:val="00CF1A67"/>
    <w:rsid w:val="00D2750E"/>
    <w:rsid w:val="00D62446"/>
    <w:rsid w:val="00DA4EA2"/>
    <w:rsid w:val="00DC3D3E"/>
    <w:rsid w:val="00DC4148"/>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character" w:styleId="UnresolvedMention">
    <w:name w:val="Unresolved Mention"/>
    <w:basedOn w:val="DefaultParagraphFont"/>
    <w:uiPriority w:val="99"/>
    <w:semiHidden/>
    <w:unhideWhenUsed/>
    <w:rsid w:val="004F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0-CWGFHR11-C-0015/es" TargetMode="External"/><Relationship Id="rId4" Type="http://schemas.openxmlformats.org/officeDocument/2006/relationships/settings" Target="settings.xml"/><Relationship Id="rId9" Type="http://schemas.openxmlformats.org/officeDocument/2006/relationships/hyperlink" Target="https://www.itu.int/md/S20-CWGFHR11-C-0015/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ao.org/about/who-we-are/departments/office-of-the-inspector-general/es/" TargetMode="External"/><Relationship Id="rId7" Type="http://schemas.openxmlformats.org/officeDocument/2006/relationships/hyperlink" Target="http://www.fao.org/about/who-we-are/departments/office-of-the-inspector-general/es/" TargetMode="External"/><Relationship Id="rId2" Type="http://schemas.openxmlformats.org/officeDocument/2006/relationships/hyperlink" Target="https://www.wipo.int/about-wipo/es/oversight/iaod/index.html" TargetMode="External"/><Relationship Id="rId1" Type="http://schemas.openxmlformats.org/officeDocument/2006/relationships/hyperlink" Target="https://www.unjiu.org/sites/www.unjiu.org/files/jiu_document_files/products/es/reports-notes/JIU%20Products/JIU_REP_2011_7_Spanish.pdf" TargetMode="External"/><Relationship Id="rId6" Type="http://schemas.openxmlformats.org/officeDocument/2006/relationships/hyperlink" Target="https://www.wipo.int/about-wipo/es/oversight/iaod/index.html" TargetMode="External"/><Relationship Id="rId5" Type="http://schemas.openxmlformats.org/officeDocument/2006/relationships/hyperlink" Target="https://www.unjiu.org/es/content/informes" TargetMode="External"/><Relationship Id="rId4" Type="http://schemas.openxmlformats.org/officeDocument/2006/relationships/hyperlink" Target="https://www.unjiu.org/content/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28BBC-6176-4443-8A51-EC4F060E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98</TotalTime>
  <Pages>2</Pages>
  <Words>695</Words>
  <Characters>3900</Characters>
  <Application>Microsoft Office Word</Application>
  <DocSecurity>0</DocSecurity>
  <Lines>32</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4586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English</dc:creator>
  <cp:keywords>C2018, C18</cp:keywords>
  <dc:description/>
  <cp:lastModifiedBy>Spanish83</cp:lastModifiedBy>
  <cp:revision>5</cp:revision>
  <cp:lastPrinted>2006-03-24T09:51:00Z</cp:lastPrinted>
  <dcterms:created xsi:type="dcterms:W3CDTF">2020-06-02T08:46:00Z</dcterms:created>
  <dcterms:modified xsi:type="dcterms:W3CDTF">2020-06-02T14:05:00Z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