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4315A8" w14:paraId="3C274935" w14:textId="77777777" w:rsidTr="00FA7FCF">
        <w:trPr>
          <w:cantSplit/>
          <w:trHeight w:val="1276"/>
        </w:trPr>
        <w:tc>
          <w:tcPr>
            <w:tcW w:w="6911" w:type="dxa"/>
          </w:tcPr>
          <w:p w14:paraId="5B3F61F9" w14:textId="77777777" w:rsidR="001834BD" w:rsidRPr="004315A8" w:rsidRDefault="001834BD" w:rsidP="00FA7FCF">
            <w:pPr>
              <w:spacing w:before="360" w:after="48"/>
              <w:rPr>
                <w:b/>
                <w:bCs/>
                <w:position w:val="6"/>
                <w:sz w:val="26"/>
                <w:szCs w:val="26"/>
              </w:rPr>
            </w:pPr>
            <w:bookmarkStart w:id="0" w:name="lt_pId446"/>
            <w:r w:rsidRPr="004315A8">
              <w:rPr>
                <w:b/>
                <w:bCs/>
                <w:position w:val="6"/>
                <w:sz w:val="26"/>
                <w:szCs w:val="26"/>
              </w:rPr>
              <w:t xml:space="preserve">Consulta virtual de los consejeros </w:t>
            </w:r>
            <w:bookmarkEnd w:id="0"/>
            <w:r w:rsidRPr="004315A8">
              <w:rPr>
                <w:b/>
                <w:bCs/>
                <w:position w:val="6"/>
                <w:sz w:val="26"/>
                <w:szCs w:val="26"/>
              </w:rPr>
              <w:br/>
            </w:r>
            <w:bookmarkStart w:id="1" w:name="lt_pId447"/>
            <w:r w:rsidRPr="004315A8">
              <w:rPr>
                <w:b/>
                <w:bCs/>
                <w:position w:val="6"/>
                <w:sz w:val="26"/>
                <w:szCs w:val="26"/>
              </w:rPr>
              <w:t>que comienza el 9 de junio de 2020</w:t>
            </w:r>
            <w:bookmarkEnd w:id="1"/>
          </w:p>
        </w:tc>
        <w:tc>
          <w:tcPr>
            <w:tcW w:w="3120" w:type="dxa"/>
            <w:vAlign w:val="center"/>
          </w:tcPr>
          <w:p w14:paraId="299E6221" w14:textId="77777777" w:rsidR="001834BD" w:rsidRPr="004315A8" w:rsidRDefault="001834BD" w:rsidP="00FA7FCF">
            <w:pPr>
              <w:spacing w:before="0"/>
            </w:pPr>
            <w:r w:rsidRPr="004315A8">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4315A8" w14:paraId="3C5C2B49" w14:textId="77777777" w:rsidTr="00FA7FCF">
        <w:trPr>
          <w:cantSplit/>
        </w:trPr>
        <w:tc>
          <w:tcPr>
            <w:tcW w:w="6911" w:type="dxa"/>
            <w:tcBorders>
              <w:bottom w:val="single" w:sz="12" w:space="0" w:color="auto"/>
            </w:tcBorders>
          </w:tcPr>
          <w:p w14:paraId="4A303917" w14:textId="77777777" w:rsidR="001834BD" w:rsidRPr="004315A8"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4315A8" w:rsidRDefault="001834BD" w:rsidP="00FA7FCF">
            <w:pPr>
              <w:spacing w:before="0"/>
              <w:rPr>
                <w:szCs w:val="24"/>
              </w:rPr>
            </w:pPr>
          </w:p>
        </w:tc>
      </w:tr>
      <w:tr w:rsidR="001834BD" w:rsidRPr="004315A8" w14:paraId="3C957EF2" w14:textId="77777777" w:rsidTr="00FA7FCF">
        <w:trPr>
          <w:cantSplit/>
        </w:trPr>
        <w:tc>
          <w:tcPr>
            <w:tcW w:w="6911" w:type="dxa"/>
            <w:tcBorders>
              <w:top w:val="single" w:sz="12" w:space="0" w:color="auto"/>
            </w:tcBorders>
          </w:tcPr>
          <w:p w14:paraId="36F55DD2" w14:textId="77777777" w:rsidR="001834BD" w:rsidRPr="004315A8" w:rsidRDefault="001834BD" w:rsidP="00FA7FCF">
            <w:pPr>
              <w:spacing w:before="0" w:after="48"/>
              <w:rPr>
                <w:b/>
                <w:smallCaps/>
                <w:szCs w:val="24"/>
              </w:rPr>
            </w:pPr>
          </w:p>
        </w:tc>
        <w:tc>
          <w:tcPr>
            <w:tcW w:w="3120" w:type="dxa"/>
            <w:tcBorders>
              <w:top w:val="single" w:sz="12" w:space="0" w:color="auto"/>
            </w:tcBorders>
          </w:tcPr>
          <w:p w14:paraId="7E1D1402" w14:textId="690873F0" w:rsidR="001834BD" w:rsidRPr="004315A8" w:rsidRDefault="001834BD" w:rsidP="001834BD">
            <w:pPr>
              <w:spacing w:before="240"/>
              <w:rPr>
                <w:szCs w:val="24"/>
              </w:rPr>
            </w:pPr>
            <w:r w:rsidRPr="004315A8">
              <w:rPr>
                <w:b/>
                <w:bCs/>
                <w:szCs w:val="24"/>
              </w:rPr>
              <w:t xml:space="preserve">Documento </w:t>
            </w:r>
            <w:r w:rsidR="00491AC1" w:rsidRPr="004315A8">
              <w:rPr>
                <w:b/>
                <w:bCs/>
                <w:szCs w:val="24"/>
              </w:rPr>
              <w:t>VC</w:t>
            </w:r>
            <w:r w:rsidRPr="004315A8">
              <w:rPr>
                <w:b/>
                <w:bCs/>
                <w:szCs w:val="24"/>
              </w:rPr>
              <w:t>/</w:t>
            </w:r>
            <w:r w:rsidR="00E97CD7" w:rsidRPr="004315A8">
              <w:rPr>
                <w:b/>
                <w:bCs/>
                <w:szCs w:val="24"/>
              </w:rPr>
              <w:t>5</w:t>
            </w:r>
            <w:r w:rsidRPr="004315A8">
              <w:rPr>
                <w:b/>
                <w:bCs/>
                <w:szCs w:val="24"/>
              </w:rPr>
              <w:t>-S</w:t>
            </w:r>
            <w:r w:rsidRPr="004315A8">
              <w:rPr>
                <w:b/>
                <w:bCs/>
                <w:szCs w:val="24"/>
              </w:rPr>
              <w:br/>
            </w:r>
            <w:r w:rsidR="00F81A4D" w:rsidRPr="004315A8">
              <w:rPr>
                <w:b/>
                <w:bCs/>
                <w:szCs w:val="24"/>
              </w:rPr>
              <w:t>2</w:t>
            </w:r>
            <w:r w:rsidR="00E97CD7" w:rsidRPr="004315A8">
              <w:rPr>
                <w:b/>
                <w:bCs/>
                <w:szCs w:val="24"/>
              </w:rPr>
              <w:t>9</w:t>
            </w:r>
            <w:r w:rsidR="00F81A4D" w:rsidRPr="004315A8">
              <w:rPr>
                <w:b/>
                <w:bCs/>
                <w:szCs w:val="24"/>
              </w:rPr>
              <w:t xml:space="preserve"> de mayo</w:t>
            </w:r>
            <w:r w:rsidRPr="004315A8">
              <w:rPr>
                <w:b/>
                <w:bCs/>
                <w:szCs w:val="24"/>
              </w:rPr>
              <w:t xml:space="preserve"> de 2020</w:t>
            </w:r>
            <w:r w:rsidRPr="004315A8">
              <w:rPr>
                <w:b/>
                <w:bCs/>
                <w:szCs w:val="24"/>
              </w:rPr>
              <w:br/>
              <w:t xml:space="preserve">Original: </w:t>
            </w:r>
            <w:r w:rsidR="00D72C86" w:rsidRPr="004315A8">
              <w:rPr>
                <w:b/>
                <w:bCs/>
                <w:szCs w:val="24"/>
              </w:rPr>
              <w:t>inglés</w:t>
            </w:r>
          </w:p>
        </w:tc>
      </w:tr>
    </w:tbl>
    <w:p w14:paraId="38D4A7DA" w14:textId="77777777" w:rsidR="001834BD" w:rsidRPr="004315A8"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4315A8" w14:paraId="60C8072A" w14:textId="77777777" w:rsidTr="00FA7FCF">
        <w:trPr>
          <w:cantSplit/>
        </w:trPr>
        <w:tc>
          <w:tcPr>
            <w:tcW w:w="2835" w:type="dxa"/>
            <w:tcBorders>
              <w:right w:val="single" w:sz="12" w:space="0" w:color="auto"/>
            </w:tcBorders>
            <w:vAlign w:val="center"/>
          </w:tcPr>
          <w:p w14:paraId="51383979" w14:textId="77777777" w:rsidR="001834BD" w:rsidRPr="004315A8" w:rsidRDefault="001834BD" w:rsidP="00FA7FCF">
            <w:pPr>
              <w:spacing w:before="0"/>
              <w:rPr>
                <w:b/>
                <w:bCs/>
              </w:rPr>
            </w:pPr>
            <w:bookmarkStart w:id="2" w:name="lt_pId450"/>
            <w:r w:rsidRPr="004315A8">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14:paraId="7501CAA5" w14:textId="047D75FD" w:rsidR="001834BD" w:rsidRPr="004315A8" w:rsidRDefault="00E97CD7" w:rsidP="00FA7FCF">
            <w:pPr>
              <w:spacing w:before="0"/>
              <w:rPr>
                <w:b/>
                <w:bCs/>
              </w:rPr>
            </w:pPr>
            <w:r w:rsidRPr="004315A8">
              <w:rPr>
                <w:b/>
                <w:bCs/>
              </w:rPr>
              <w:t>República de la India</w:t>
            </w:r>
          </w:p>
        </w:tc>
      </w:tr>
      <w:tr w:rsidR="001834BD" w:rsidRPr="004315A8" w14:paraId="51606197" w14:textId="77777777" w:rsidTr="00FA7FCF">
        <w:trPr>
          <w:cantSplit/>
        </w:trPr>
        <w:tc>
          <w:tcPr>
            <w:tcW w:w="2835" w:type="dxa"/>
          </w:tcPr>
          <w:p w14:paraId="74C7AD66" w14:textId="77777777" w:rsidR="001834BD" w:rsidRPr="004315A8" w:rsidRDefault="001834BD" w:rsidP="00FA7FCF">
            <w:pPr>
              <w:spacing w:before="0"/>
              <w:rPr>
                <w:sz w:val="16"/>
                <w:szCs w:val="16"/>
              </w:rPr>
            </w:pPr>
          </w:p>
        </w:tc>
        <w:tc>
          <w:tcPr>
            <w:tcW w:w="7258" w:type="dxa"/>
            <w:tcBorders>
              <w:top w:val="single" w:sz="12" w:space="0" w:color="auto"/>
              <w:bottom w:val="single" w:sz="12" w:space="0" w:color="auto"/>
            </w:tcBorders>
          </w:tcPr>
          <w:p w14:paraId="2B540569" w14:textId="77777777" w:rsidR="001834BD" w:rsidRPr="004315A8" w:rsidRDefault="001834BD" w:rsidP="00FA7FCF">
            <w:pPr>
              <w:spacing w:before="0"/>
              <w:rPr>
                <w:sz w:val="16"/>
                <w:szCs w:val="16"/>
              </w:rPr>
            </w:pPr>
          </w:p>
        </w:tc>
      </w:tr>
      <w:tr w:rsidR="001834BD" w:rsidRPr="004315A8" w14:paraId="01C19000" w14:textId="77777777" w:rsidTr="00FA7FCF">
        <w:trPr>
          <w:cantSplit/>
        </w:trPr>
        <w:tc>
          <w:tcPr>
            <w:tcW w:w="2835" w:type="dxa"/>
            <w:tcBorders>
              <w:right w:val="single" w:sz="12" w:space="0" w:color="auto"/>
            </w:tcBorders>
          </w:tcPr>
          <w:p w14:paraId="798CAC87" w14:textId="77777777" w:rsidR="001834BD" w:rsidRPr="004315A8" w:rsidRDefault="001834BD" w:rsidP="00FA7FCF">
            <w:pPr>
              <w:spacing w:after="120"/>
              <w:rPr>
                <w:b/>
                <w:bCs/>
              </w:rPr>
            </w:pPr>
            <w:bookmarkStart w:id="3" w:name="lt_pId451"/>
            <w:r w:rsidRPr="004315A8">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14:paraId="24C3AC9C" w14:textId="5E152B08" w:rsidR="001834BD" w:rsidRPr="004315A8" w:rsidRDefault="00E97CD7" w:rsidP="00FA7FCF">
            <w:pPr>
              <w:spacing w:after="120"/>
              <w:rPr>
                <w:b/>
                <w:bCs/>
              </w:rPr>
            </w:pPr>
            <w:r w:rsidRPr="004315A8">
              <w:rPr>
                <w:b/>
                <w:bCs/>
              </w:rPr>
              <w:t>Acogida de la Asamblea Mundial de Normalización de las Telecomunicaciones (AMNT) en la India</w:t>
            </w:r>
          </w:p>
        </w:tc>
      </w:tr>
      <w:tr w:rsidR="001834BD" w:rsidRPr="004315A8" w14:paraId="284C32F1" w14:textId="77777777" w:rsidTr="00FA7FCF">
        <w:trPr>
          <w:cantSplit/>
          <w:trHeight w:val="269"/>
        </w:trPr>
        <w:tc>
          <w:tcPr>
            <w:tcW w:w="2835" w:type="dxa"/>
          </w:tcPr>
          <w:p w14:paraId="79BE13BB" w14:textId="77777777" w:rsidR="001834BD" w:rsidRPr="004315A8" w:rsidRDefault="001834BD" w:rsidP="00FA7FCF">
            <w:pPr>
              <w:spacing w:before="0"/>
              <w:rPr>
                <w:sz w:val="16"/>
                <w:szCs w:val="16"/>
              </w:rPr>
            </w:pPr>
          </w:p>
        </w:tc>
        <w:tc>
          <w:tcPr>
            <w:tcW w:w="7258" w:type="dxa"/>
            <w:tcBorders>
              <w:top w:val="single" w:sz="12" w:space="0" w:color="auto"/>
              <w:bottom w:val="single" w:sz="2" w:space="0" w:color="auto"/>
            </w:tcBorders>
          </w:tcPr>
          <w:p w14:paraId="0C07F4EF" w14:textId="77777777" w:rsidR="001834BD" w:rsidRPr="004315A8" w:rsidRDefault="001834BD" w:rsidP="00FA7FCF">
            <w:pPr>
              <w:spacing w:before="0"/>
              <w:rPr>
                <w:sz w:val="16"/>
                <w:szCs w:val="16"/>
              </w:rPr>
            </w:pPr>
          </w:p>
        </w:tc>
      </w:tr>
      <w:tr w:rsidR="001834BD" w:rsidRPr="004315A8" w14:paraId="46F1A9E6" w14:textId="77777777" w:rsidTr="00FA7FCF">
        <w:trPr>
          <w:cantSplit/>
          <w:trHeight w:val="668"/>
        </w:trPr>
        <w:tc>
          <w:tcPr>
            <w:tcW w:w="2835" w:type="dxa"/>
            <w:tcBorders>
              <w:right w:val="single" w:sz="2" w:space="0" w:color="auto"/>
            </w:tcBorders>
            <w:vAlign w:val="center"/>
          </w:tcPr>
          <w:p w14:paraId="0E4B1149" w14:textId="77777777" w:rsidR="001834BD" w:rsidRPr="004315A8" w:rsidRDefault="001834BD" w:rsidP="00FA7FCF">
            <w:pPr>
              <w:spacing w:before="0"/>
              <w:rPr>
                <w:b/>
                <w:bCs/>
              </w:rPr>
            </w:pPr>
            <w:bookmarkStart w:id="4" w:name="lt_pId452"/>
            <w:r w:rsidRPr="004315A8">
              <w:rPr>
                <w:b/>
                <w:bCs/>
              </w:rPr>
              <w:t>Referencia al proyecto de orden del día de la consulta virtual:</w:t>
            </w:r>
            <w:bookmarkEnd w:id="4"/>
          </w:p>
        </w:tc>
        <w:tc>
          <w:tcPr>
            <w:tcW w:w="7258" w:type="dxa"/>
            <w:tcBorders>
              <w:top w:val="single" w:sz="2" w:space="0" w:color="auto"/>
              <w:left w:val="single" w:sz="2" w:space="0" w:color="auto"/>
              <w:bottom w:val="single" w:sz="2" w:space="0" w:color="auto"/>
              <w:right w:val="single" w:sz="2" w:space="0" w:color="auto"/>
            </w:tcBorders>
            <w:vAlign w:val="center"/>
          </w:tcPr>
          <w:p w14:paraId="70E2C6CD" w14:textId="77266737" w:rsidR="001834BD" w:rsidRPr="004315A8" w:rsidRDefault="00B77D37" w:rsidP="00FA7FCF">
            <w:pPr>
              <w:spacing w:before="240" w:after="120"/>
              <w:rPr>
                <w:b/>
                <w:bCs/>
              </w:rPr>
            </w:pPr>
            <w:hyperlink r:id="rId11" w:history="1">
              <w:r w:rsidR="00D72C86" w:rsidRPr="004315A8">
                <w:rPr>
                  <w:rStyle w:val="Hyperlink"/>
                  <w:b/>
                  <w:bCs/>
                </w:rPr>
                <w:t>Documento C20/</w:t>
              </w:r>
              <w:r w:rsidR="00E97CD7" w:rsidRPr="004315A8">
                <w:rPr>
                  <w:rStyle w:val="Hyperlink"/>
                  <w:b/>
                  <w:bCs/>
                </w:rPr>
                <w:t>24</w:t>
              </w:r>
            </w:hyperlink>
          </w:p>
        </w:tc>
      </w:tr>
      <w:tr w:rsidR="001834BD" w:rsidRPr="004315A8" w14:paraId="6A11F17A" w14:textId="77777777" w:rsidTr="00FA7FCF">
        <w:trPr>
          <w:cantSplit/>
          <w:trHeight w:val="156"/>
        </w:trPr>
        <w:tc>
          <w:tcPr>
            <w:tcW w:w="2835" w:type="dxa"/>
          </w:tcPr>
          <w:p w14:paraId="400FA71C" w14:textId="77777777" w:rsidR="001834BD" w:rsidRPr="004315A8" w:rsidRDefault="001834BD" w:rsidP="00FA7FCF">
            <w:pPr>
              <w:spacing w:before="0"/>
              <w:rPr>
                <w:sz w:val="16"/>
                <w:szCs w:val="16"/>
              </w:rPr>
            </w:pPr>
          </w:p>
        </w:tc>
        <w:tc>
          <w:tcPr>
            <w:tcW w:w="7258" w:type="dxa"/>
            <w:tcBorders>
              <w:top w:val="single" w:sz="12" w:space="0" w:color="auto"/>
              <w:bottom w:val="single" w:sz="2" w:space="0" w:color="auto"/>
            </w:tcBorders>
          </w:tcPr>
          <w:p w14:paraId="338AACBF" w14:textId="77777777" w:rsidR="001834BD" w:rsidRPr="004315A8" w:rsidRDefault="001834BD" w:rsidP="00FA7FCF">
            <w:pPr>
              <w:spacing w:before="0"/>
              <w:rPr>
                <w:sz w:val="16"/>
                <w:szCs w:val="16"/>
              </w:rPr>
            </w:pPr>
          </w:p>
        </w:tc>
      </w:tr>
    </w:tbl>
    <w:p w14:paraId="4D69CA35" w14:textId="77777777" w:rsidR="001834BD" w:rsidRPr="004315A8" w:rsidRDefault="001834BD" w:rsidP="001834BD">
      <w:pPr>
        <w:rPr>
          <w:sz w:val="4"/>
          <w:szCs w:val="4"/>
        </w:rPr>
      </w:pPr>
    </w:p>
    <w:tbl>
      <w:tblPr>
        <w:tblW w:w="10093" w:type="dxa"/>
        <w:tblInd w:w="-15" w:type="dxa"/>
        <w:tblLayout w:type="fixed"/>
        <w:tblLook w:val="0000" w:firstRow="0" w:lastRow="0" w:firstColumn="0" w:lastColumn="0" w:noHBand="0" w:noVBand="0"/>
      </w:tblPr>
      <w:tblGrid>
        <w:gridCol w:w="10093"/>
      </w:tblGrid>
      <w:tr w:rsidR="001834BD" w:rsidRPr="004315A8" w14:paraId="4ABB9B52"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5B7DC8C0" w14:textId="102E356D" w:rsidR="001834BD" w:rsidRPr="004315A8" w:rsidRDefault="001834BD" w:rsidP="00D807C6">
            <w:pPr>
              <w:pStyle w:val="Headingb"/>
            </w:pPr>
            <w:bookmarkStart w:id="5" w:name="lt_pId455"/>
            <w:r w:rsidRPr="004315A8">
              <w:lastRenderedPageBreak/>
              <w:t xml:space="preserve">Comentarios relativos al Documento </w:t>
            </w:r>
            <w:bookmarkEnd w:id="5"/>
            <w:r w:rsidR="00C04166" w:rsidRPr="004315A8">
              <w:t>C20/</w:t>
            </w:r>
            <w:r w:rsidR="00E97CD7" w:rsidRPr="004315A8">
              <w:t>24</w:t>
            </w:r>
          </w:p>
          <w:p w14:paraId="7FDCA03B" w14:textId="4A063A21" w:rsidR="00C04166" w:rsidRPr="004315A8" w:rsidRDefault="00426D8F" w:rsidP="00D807C6">
            <w:pPr>
              <w:pStyle w:val="Headingb"/>
              <w:rPr>
                <w:rFonts w:eastAsia="MS Mincho"/>
              </w:rPr>
            </w:pPr>
            <w:r w:rsidRPr="004315A8">
              <w:rPr>
                <w:rFonts w:eastAsia="MS Mincho"/>
              </w:rPr>
              <w:t>Antecedentes</w:t>
            </w:r>
          </w:p>
          <w:p w14:paraId="7060E1A0" w14:textId="06FE141D" w:rsidR="00E97CD7" w:rsidRPr="004315A8" w:rsidRDefault="00E97CD7" w:rsidP="00D807C6">
            <w:pPr>
              <w:rPr>
                <w:rFonts w:eastAsia="Calibri"/>
              </w:rPr>
            </w:pPr>
            <w:r w:rsidRPr="004315A8">
              <w:rPr>
                <w:rFonts w:eastAsia="Calibri"/>
              </w:rPr>
              <w:t>1.1</w:t>
            </w:r>
            <w:r w:rsidRPr="004315A8">
              <w:rPr>
                <w:rFonts w:eastAsia="Calibri"/>
              </w:rPr>
              <w:tab/>
            </w:r>
            <w:bookmarkStart w:id="6" w:name="lt_pId017"/>
            <w:r w:rsidRPr="004315A8">
              <w:rPr>
                <w:rFonts w:eastAsia="Calibri"/>
              </w:rPr>
              <w:t>La Oficina de Normalización de las Telecomunicaciones (TSB) de la Unión Internacional de Telecomunicaciones (UIT) organiza la Asamblea Mundial de Normalización de las Telecomunicaciones (AMNT) una vez cada cuatro (4) años para planificar su programa de normalización para los cuatro años siguientes. La AMNT se celebra para que los miembros de la UIT precisen la orientación estratégica del Sector de Normalización de las Telecomunicaciones de la UIT (UIT-T). A este evento asisten delegados de 193 Estados Miembros, organismos de normalización mundiales, regionales y nacionales y la industria de las telecomunicaciones/TIC de todo el mundo.</w:t>
            </w:r>
          </w:p>
          <w:bookmarkEnd w:id="6"/>
          <w:p w14:paraId="6D3C7315" w14:textId="249AA27A" w:rsidR="00E97CD7" w:rsidRPr="004315A8" w:rsidRDefault="00E97CD7" w:rsidP="00D807C6">
            <w:pPr>
              <w:rPr>
                <w:rFonts w:eastAsia="Calibri"/>
              </w:rPr>
            </w:pPr>
            <w:r w:rsidRPr="004315A8">
              <w:rPr>
                <w:rFonts w:eastAsia="Calibri"/>
              </w:rPr>
              <w:t>1.2</w:t>
            </w:r>
            <w:r w:rsidRPr="004315A8">
              <w:rPr>
                <w:rFonts w:eastAsia="Calibri"/>
              </w:rPr>
              <w:tab/>
            </w:r>
            <w:bookmarkStart w:id="7" w:name="lt_pId021"/>
            <w:r w:rsidRPr="004315A8">
              <w:rPr>
                <w:rFonts w:eastAsia="Calibri"/>
              </w:rPr>
              <w:t>La República de la India presentó al Consejo de la UIT una p</w:t>
            </w:r>
            <w:r w:rsidR="00484AB6" w:rsidRPr="004315A8">
              <w:rPr>
                <w:rFonts w:eastAsia="Calibri"/>
              </w:rPr>
              <w:t>ropuesta para acoger la AMNT de </w:t>
            </w:r>
            <w:r w:rsidRPr="004315A8">
              <w:rPr>
                <w:rFonts w:eastAsia="Calibri"/>
              </w:rPr>
              <w:t xml:space="preserve">2020 (véase el </w:t>
            </w:r>
            <w:hyperlink r:id="rId12" w:history="1">
              <w:r w:rsidRPr="004315A8">
                <w:rPr>
                  <w:rFonts w:eastAsia="Calibri"/>
                  <w:color w:val="0000FF"/>
                  <w:u w:val="single"/>
                </w:rPr>
                <w:t>Documento C19/24</w:t>
              </w:r>
            </w:hyperlink>
            <w:r w:rsidR="00484AB6" w:rsidRPr="004315A8">
              <w:rPr>
                <w:rFonts w:eastAsia="Calibri"/>
              </w:rPr>
              <w:t xml:space="preserve"> d</w:t>
            </w:r>
            <w:r w:rsidRPr="004315A8">
              <w:rPr>
                <w:rFonts w:eastAsia="Calibri"/>
              </w:rPr>
              <w:t>e fecha 4 de junio de 2019, Anexo 1) antes de la reunión de junio de 2019 del Consejo de la UIT. El Consejo de la UIT, durante su r</w:t>
            </w:r>
            <w:r w:rsidR="00484AB6" w:rsidRPr="004315A8">
              <w:rPr>
                <w:rFonts w:eastAsia="Calibri"/>
              </w:rPr>
              <w:t>eunión del 10 al 20 de junio de </w:t>
            </w:r>
            <w:r w:rsidRPr="004315A8">
              <w:rPr>
                <w:rFonts w:eastAsia="Calibri"/>
              </w:rPr>
              <w:t xml:space="preserve">2019, adoptó </w:t>
            </w:r>
            <w:r w:rsidR="005C16D6" w:rsidRPr="004315A8">
              <w:rPr>
                <w:rFonts w:eastAsia="Calibri"/>
              </w:rPr>
              <w:t>su Acuerdo 608 (</w:t>
            </w:r>
            <w:bookmarkStart w:id="8" w:name="lt_pId022"/>
            <w:bookmarkEnd w:id="7"/>
            <w:r w:rsidRPr="004315A8">
              <w:rPr>
                <w:rFonts w:eastAsia="Calibri" w:cs="Mangal"/>
              </w:rPr>
              <w:fldChar w:fldCharType="begin"/>
            </w:r>
            <w:r w:rsidR="00484AB6" w:rsidRPr="004315A8">
              <w:rPr>
                <w:rFonts w:eastAsia="Calibri" w:cs="Mangal"/>
              </w:rPr>
              <w:instrText>HYPERLINK "https://www.itu.int/md/S19-CL-C-0125/es"</w:instrText>
            </w:r>
            <w:r w:rsidRPr="004315A8">
              <w:rPr>
                <w:rFonts w:eastAsia="Calibri" w:cs="Mangal"/>
              </w:rPr>
              <w:fldChar w:fldCharType="separate"/>
            </w:r>
            <w:r w:rsidRPr="004315A8">
              <w:rPr>
                <w:rFonts w:eastAsia="Calibri"/>
                <w:color w:val="0000FF"/>
                <w:u w:val="single"/>
              </w:rPr>
              <w:t>Document</w:t>
            </w:r>
            <w:r w:rsidR="005C16D6" w:rsidRPr="004315A8">
              <w:rPr>
                <w:rFonts w:eastAsia="Calibri"/>
                <w:color w:val="0000FF"/>
                <w:u w:val="single"/>
              </w:rPr>
              <w:t>o</w:t>
            </w:r>
            <w:r w:rsidRPr="004315A8">
              <w:rPr>
                <w:rFonts w:eastAsia="Calibri"/>
                <w:color w:val="0000FF"/>
                <w:u w:val="single"/>
              </w:rPr>
              <w:t xml:space="preserve"> C19/125</w:t>
            </w:r>
            <w:r w:rsidRPr="004315A8">
              <w:rPr>
                <w:rFonts w:eastAsia="Calibri"/>
                <w:color w:val="0000FF"/>
                <w:u w:val="single"/>
              </w:rPr>
              <w:fldChar w:fldCharType="end"/>
            </w:r>
            <w:r w:rsidRPr="004315A8">
              <w:rPr>
                <w:rFonts w:eastAsia="Calibri"/>
              </w:rPr>
              <w:t xml:space="preserve"> </w:t>
            </w:r>
            <w:r w:rsidR="005C16D6" w:rsidRPr="004315A8">
              <w:rPr>
                <w:rFonts w:eastAsia="Calibri"/>
              </w:rPr>
              <w:t>de fecha 20 de junio de 2019, Anexo 2)</w:t>
            </w:r>
            <w:r w:rsidRPr="004315A8">
              <w:rPr>
                <w:rFonts w:eastAsia="Calibri"/>
              </w:rPr>
              <w:t xml:space="preserve"> </w:t>
            </w:r>
            <w:r w:rsidR="005C16D6" w:rsidRPr="004315A8">
              <w:rPr>
                <w:rFonts w:eastAsia="Calibri"/>
              </w:rPr>
              <w:t>en el que se indicaba que</w:t>
            </w:r>
            <w:r w:rsidR="00484AB6" w:rsidRPr="004315A8">
              <w:rPr>
                <w:rFonts w:eastAsia="Calibri"/>
              </w:rPr>
              <w:t>, "</w:t>
            </w:r>
            <w:r w:rsidR="005C16D6" w:rsidRPr="004315A8">
              <w:rPr>
                <w:rFonts w:eastAsia="Calibri"/>
              </w:rPr>
              <w:t>a reserva de lo que acuerde la mayoría de los Estados Miembros de la Unión, la próxima Asamblea Mundial de Normalización de las Telecomunicaciones (AMNT-20) se celebrará en Hyderabad (India) del 16 al 27 de noviembre de 2020</w:t>
            </w:r>
            <w:r w:rsidR="00484AB6" w:rsidRPr="004315A8">
              <w:rPr>
                <w:rFonts w:eastAsia="Calibri"/>
              </w:rPr>
              <w:t>"</w:t>
            </w:r>
            <w:r w:rsidRPr="004315A8">
              <w:rPr>
                <w:rFonts w:eastAsia="Calibri"/>
              </w:rPr>
              <w:t xml:space="preserve"> </w:t>
            </w:r>
            <w:r w:rsidR="005C16D6" w:rsidRPr="004315A8">
              <w:rPr>
                <w:rFonts w:eastAsia="Calibri"/>
              </w:rPr>
              <w:t xml:space="preserve">y se encargaba al Secretario General </w:t>
            </w:r>
            <w:r w:rsidR="00484AB6" w:rsidRPr="004315A8">
              <w:rPr>
                <w:rFonts w:eastAsia="Calibri"/>
              </w:rPr>
              <w:t>"</w:t>
            </w:r>
            <w:r w:rsidR="005C16D6" w:rsidRPr="004315A8">
              <w:rPr>
                <w:rFonts w:eastAsia="Calibri"/>
              </w:rPr>
              <w:t>que celebre consultas con todos los Estados Miembros en relación con las fechas exactas y el lugar de ce</w:t>
            </w:r>
            <w:r w:rsidR="00484AB6" w:rsidRPr="004315A8">
              <w:rPr>
                <w:rFonts w:eastAsia="Calibri"/>
              </w:rPr>
              <w:t>lebración preciso de la AMNT-20"</w:t>
            </w:r>
            <w:r w:rsidRPr="004315A8">
              <w:rPr>
                <w:rFonts w:eastAsia="Calibri"/>
              </w:rPr>
              <w:t>.</w:t>
            </w:r>
            <w:bookmarkEnd w:id="8"/>
          </w:p>
          <w:p w14:paraId="26B38A0E" w14:textId="5664BDDD" w:rsidR="00CA6777" w:rsidRPr="004315A8" w:rsidRDefault="00E97CD7" w:rsidP="00D807C6">
            <w:pPr>
              <w:rPr>
                <w:rFonts w:eastAsia="Calibri"/>
              </w:rPr>
            </w:pPr>
            <w:r w:rsidRPr="004315A8">
              <w:rPr>
                <w:rFonts w:eastAsia="Calibri"/>
              </w:rPr>
              <w:t>1.3</w:t>
            </w:r>
            <w:r w:rsidRPr="004315A8">
              <w:rPr>
                <w:rFonts w:eastAsia="Calibri"/>
              </w:rPr>
              <w:tab/>
            </w:r>
            <w:bookmarkStart w:id="9" w:name="lt_pId024"/>
            <w:r w:rsidR="005C16D6" w:rsidRPr="004315A8">
              <w:rPr>
                <w:rFonts w:eastAsia="Calibri"/>
              </w:rPr>
              <w:t xml:space="preserve">En consecuencia, el Secretario General de la UIT inició la </w:t>
            </w:r>
            <w:r w:rsidR="00CA6777" w:rsidRPr="004315A8">
              <w:rPr>
                <w:rFonts w:eastAsia="Calibri"/>
              </w:rPr>
              <w:t>consulta por medio de la Carta</w:t>
            </w:r>
            <w:r w:rsidR="005C16D6" w:rsidRPr="004315A8">
              <w:rPr>
                <w:rFonts w:eastAsia="Calibri"/>
              </w:rPr>
              <w:t xml:space="preserve"> </w:t>
            </w:r>
            <w:r w:rsidR="00CA6777" w:rsidRPr="004315A8">
              <w:rPr>
                <w:rFonts w:eastAsia="Calibri"/>
              </w:rPr>
              <w:t>C</w:t>
            </w:r>
            <w:r w:rsidR="005C16D6" w:rsidRPr="004315A8">
              <w:rPr>
                <w:rFonts w:eastAsia="Calibri"/>
              </w:rPr>
              <w:t>ircular 19/33 de fecha 22 de julio de 2019 (Anexo 3), en la que se invit</w:t>
            </w:r>
            <w:r w:rsidR="0072593E" w:rsidRPr="004315A8">
              <w:rPr>
                <w:rFonts w:eastAsia="Calibri"/>
              </w:rPr>
              <w:t>ab</w:t>
            </w:r>
            <w:r w:rsidR="005C16D6" w:rsidRPr="004315A8">
              <w:rPr>
                <w:rFonts w:eastAsia="Calibri"/>
              </w:rPr>
              <w:t xml:space="preserve">a </w:t>
            </w:r>
            <w:r w:rsidR="0072593E" w:rsidRPr="004315A8">
              <w:rPr>
                <w:rFonts w:eastAsia="Calibri"/>
              </w:rPr>
              <w:t xml:space="preserve">a los Estados Miembros </w:t>
            </w:r>
            <w:r w:rsidR="005C16D6" w:rsidRPr="004315A8">
              <w:rPr>
                <w:rFonts w:eastAsia="Calibri"/>
              </w:rPr>
              <w:t>a informar al Secretario General de su conformidad con la celebración de la AMNT-20 en Hyderabad (India) del 17 al 27 de noviembre de 2020, precedida por el Simposio Mundial de Normalización (</w:t>
            </w:r>
            <w:r w:rsidR="0072593E" w:rsidRPr="004315A8">
              <w:rPr>
                <w:rFonts w:eastAsia="Calibri"/>
              </w:rPr>
              <w:t>SMN</w:t>
            </w:r>
            <w:r w:rsidR="005C16D6" w:rsidRPr="004315A8">
              <w:rPr>
                <w:rFonts w:eastAsia="Calibri"/>
              </w:rPr>
              <w:t>-</w:t>
            </w:r>
            <w:r w:rsidR="00484AB6" w:rsidRPr="004315A8">
              <w:rPr>
                <w:rFonts w:eastAsia="Calibri"/>
              </w:rPr>
              <w:t>20) el 16 de noviembre de 2020.</w:t>
            </w:r>
          </w:p>
          <w:bookmarkEnd w:id="9"/>
          <w:p w14:paraId="7695B58B" w14:textId="1402076A" w:rsidR="00E97CD7" w:rsidRPr="004315A8" w:rsidRDefault="00E97CD7" w:rsidP="00D807C6">
            <w:pPr>
              <w:rPr>
                <w:rFonts w:eastAsia="Calibri"/>
              </w:rPr>
            </w:pPr>
            <w:r w:rsidRPr="004315A8">
              <w:rPr>
                <w:rFonts w:eastAsia="Calibri"/>
              </w:rPr>
              <w:t>1.4</w:t>
            </w:r>
            <w:r w:rsidRPr="004315A8">
              <w:rPr>
                <w:rFonts w:eastAsia="Calibri"/>
              </w:rPr>
              <w:tab/>
            </w:r>
            <w:bookmarkStart w:id="10" w:name="lt_pId026"/>
            <w:r w:rsidR="0072593E" w:rsidRPr="004315A8">
              <w:rPr>
                <w:rFonts w:eastAsia="Calibri"/>
              </w:rPr>
              <w:t xml:space="preserve">En su Carta Circular 19/45 de fecha 3 de octubre de 2019 (Anexo 4), el Secretario General de la UIT informó que había recibido el acuerdo de la mayoría de </w:t>
            </w:r>
            <w:r w:rsidR="006C67C7" w:rsidRPr="004315A8">
              <w:rPr>
                <w:rFonts w:eastAsia="Calibri"/>
              </w:rPr>
              <w:t xml:space="preserve">los </w:t>
            </w:r>
            <w:r w:rsidR="0072593E" w:rsidRPr="004315A8">
              <w:rPr>
                <w:rFonts w:eastAsia="Calibri"/>
              </w:rPr>
              <w:t xml:space="preserve">Estados Miembros de la UIT requerida para celebrar la AMNT de 2020 en </w:t>
            </w:r>
            <w:r w:rsidRPr="004315A8">
              <w:rPr>
                <w:rFonts w:eastAsia="Calibri"/>
              </w:rPr>
              <w:t>Hyderabad</w:t>
            </w:r>
            <w:r w:rsidR="0072593E" w:rsidRPr="004315A8">
              <w:rPr>
                <w:rFonts w:eastAsia="Calibri"/>
              </w:rPr>
              <w:t xml:space="preserve"> (India), del 17 al 27 de noviembre de 2020, precedida por el Simposio Mundial de Normalización (SMN-20) el 16 de noviembre de 2020.</w:t>
            </w:r>
            <w:bookmarkStart w:id="11" w:name="lt_pId035"/>
            <w:bookmarkEnd w:id="10"/>
          </w:p>
          <w:p w14:paraId="431805D3" w14:textId="75C0C7B7" w:rsidR="00E97CD7" w:rsidRPr="004315A8" w:rsidRDefault="0072593E" w:rsidP="00D807C6">
            <w:pPr>
              <w:pStyle w:val="Headingb"/>
              <w:rPr>
                <w:rFonts w:eastAsia="Calibri"/>
              </w:rPr>
            </w:pPr>
            <w:bookmarkStart w:id="12" w:name="lt_pId028"/>
            <w:bookmarkEnd w:id="11"/>
            <w:r w:rsidRPr="004315A8">
              <w:rPr>
                <w:rFonts w:eastAsia="Calibri"/>
              </w:rPr>
              <w:t>Situación actual a consecuencia del</w:t>
            </w:r>
            <w:r w:rsidR="00E97CD7" w:rsidRPr="004315A8">
              <w:rPr>
                <w:rFonts w:eastAsia="Calibri"/>
              </w:rPr>
              <w:t xml:space="preserve"> COVID-19</w:t>
            </w:r>
            <w:bookmarkEnd w:id="12"/>
          </w:p>
          <w:p w14:paraId="0BA44E84" w14:textId="4F6E209B" w:rsidR="00E97CD7" w:rsidRPr="004315A8" w:rsidRDefault="00E97CD7" w:rsidP="00D807C6">
            <w:pPr>
              <w:rPr>
                <w:rFonts w:eastAsia="Calibri"/>
              </w:rPr>
            </w:pPr>
            <w:r w:rsidRPr="004315A8">
              <w:rPr>
                <w:rFonts w:eastAsia="Calibri"/>
              </w:rPr>
              <w:t>2.1</w:t>
            </w:r>
            <w:r w:rsidRPr="004315A8">
              <w:rPr>
                <w:rFonts w:eastAsia="Calibri"/>
              </w:rPr>
              <w:tab/>
            </w:r>
            <w:bookmarkStart w:id="13" w:name="lt_pId030"/>
            <w:r w:rsidR="0072593E" w:rsidRPr="004315A8">
              <w:rPr>
                <w:rFonts w:eastAsia="Calibri"/>
              </w:rPr>
              <w:t xml:space="preserve">La oficina de la UIT en Ginebra está cerrada debido al brote de COVID-19. Varias reuniones han sido pospuestas o convertidas en virtuales debido a las restricciones aplicadas a los viajes internacionales. Se ha propuesto que la reunión del Consejo de la UIT </w:t>
            </w:r>
            <w:r w:rsidR="007D6FEB" w:rsidRPr="004315A8">
              <w:rPr>
                <w:rFonts w:eastAsia="Calibri"/>
              </w:rPr>
              <w:t>de 2020, prevista para junio de </w:t>
            </w:r>
            <w:r w:rsidR="0072593E" w:rsidRPr="004315A8">
              <w:rPr>
                <w:rFonts w:eastAsia="Calibri"/>
              </w:rPr>
              <w:t>2020, se celebre en modo virtual</w:t>
            </w:r>
            <w:bookmarkStart w:id="14" w:name="lt_pId032"/>
            <w:bookmarkEnd w:id="13"/>
            <w:r w:rsidRPr="004315A8">
              <w:rPr>
                <w:rFonts w:eastAsia="Calibri"/>
              </w:rPr>
              <w:t>.</w:t>
            </w:r>
            <w:bookmarkEnd w:id="14"/>
          </w:p>
          <w:p w14:paraId="3964DB3F" w14:textId="1F314A66" w:rsidR="00E97CD7" w:rsidRPr="004315A8" w:rsidRDefault="00E97CD7" w:rsidP="00D807C6">
            <w:pPr>
              <w:rPr>
                <w:rFonts w:eastAsia="Calibri"/>
              </w:rPr>
            </w:pPr>
            <w:r w:rsidRPr="004315A8">
              <w:rPr>
                <w:rFonts w:eastAsia="Calibri"/>
              </w:rPr>
              <w:t>2.2</w:t>
            </w:r>
            <w:r w:rsidRPr="004315A8">
              <w:rPr>
                <w:rFonts w:eastAsia="Calibri"/>
              </w:rPr>
              <w:tab/>
            </w:r>
            <w:r w:rsidR="0072593E" w:rsidRPr="004315A8">
              <w:rPr>
                <w:rFonts w:eastAsia="Calibri"/>
              </w:rPr>
              <w:t>Debido al brote de COVID-19 en varios países, pasarán algunos meses antes de que la situación se estabilice y la vida se normalice. Varios países han prohibido los viajes internacionales hasta finales de 2020</w:t>
            </w:r>
            <w:r w:rsidR="007D6FEB" w:rsidRPr="004315A8">
              <w:rPr>
                <w:rFonts w:eastAsia="Calibri"/>
              </w:rPr>
              <w:t>.</w:t>
            </w:r>
          </w:p>
          <w:p w14:paraId="3FB59BA4" w14:textId="0145E90F" w:rsidR="007D6FEB" w:rsidRPr="004315A8" w:rsidRDefault="00E97CD7" w:rsidP="007D6FEB">
            <w:pPr>
              <w:rPr>
                <w:rFonts w:eastAsia="Calibri"/>
              </w:rPr>
            </w:pPr>
            <w:r w:rsidRPr="004315A8">
              <w:rPr>
                <w:rFonts w:eastAsia="Calibri"/>
              </w:rPr>
              <w:t>2.3</w:t>
            </w:r>
            <w:r w:rsidRPr="004315A8">
              <w:rPr>
                <w:rFonts w:eastAsia="Calibri"/>
              </w:rPr>
              <w:tab/>
            </w:r>
            <w:r w:rsidR="0072593E" w:rsidRPr="004315A8">
              <w:rPr>
                <w:rFonts w:eastAsia="Calibri"/>
              </w:rPr>
              <w:t>En vista de la incertidumbre creada por el brote de COVID-19, los delegados de los distintos Estados Miembros pueden tener dificultades para viajar a la India y participar en la AMNT-20. Las restricciones de viaje, los cierres y las preocupaciones relacionadas con la salud pueden impedir la participación de delegados de varios países</w:t>
            </w:r>
            <w:bookmarkStart w:id="15" w:name="lt_pId038"/>
            <w:r w:rsidRPr="004315A8">
              <w:rPr>
                <w:rFonts w:eastAsia="Calibri"/>
              </w:rPr>
              <w:t>.</w:t>
            </w:r>
            <w:bookmarkEnd w:id="15"/>
          </w:p>
          <w:p w14:paraId="630AFD19" w14:textId="6183DD67" w:rsidR="007D6FEB" w:rsidRPr="004315A8" w:rsidRDefault="007D6FEB" w:rsidP="007D6FEB">
            <w:pPr>
              <w:pStyle w:val="Headingb"/>
              <w:widowControl w:val="0"/>
            </w:pPr>
            <w:r w:rsidRPr="004315A8">
              <w:t>Propuesta</w:t>
            </w:r>
          </w:p>
          <w:p w14:paraId="324AACB8" w14:textId="31B63DBE" w:rsidR="00E97CD7" w:rsidRPr="004315A8" w:rsidRDefault="00E97CD7" w:rsidP="007D6FEB">
            <w:pPr>
              <w:pageBreakBefore/>
              <w:widowControl w:val="0"/>
            </w:pPr>
            <w:r w:rsidRPr="004315A8">
              <w:t>3.1</w:t>
            </w:r>
            <w:r w:rsidRPr="004315A8">
              <w:tab/>
            </w:r>
            <w:bookmarkStart w:id="16" w:name="lt_pId042"/>
            <w:r w:rsidR="0072593E" w:rsidRPr="004315A8">
              <w:t xml:space="preserve">Teniendo en cuenta los aspectos mencionados en los párrafos anteriores, y para asegurar el éxito del evento con una buena participación de todos los Estados Miembros, es necesario aplazar al </w:t>
            </w:r>
            <w:r w:rsidR="0072593E" w:rsidRPr="004315A8">
              <w:lastRenderedPageBreak/>
              <w:t>año 2021</w:t>
            </w:r>
            <w:r w:rsidR="007D6FEB" w:rsidRPr="004315A8">
              <w:t xml:space="preserve"> </w:t>
            </w:r>
            <w:r w:rsidR="0072593E" w:rsidRPr="004315A8">
              <w:t>el evento que estaba previsto celebrar en noviembre de 2020</w:t>
            </w:r>
            <w:r w:rsidRPr="004315A8">
              <w:t>.</w:t>
            </w:r>
            <w:bookmarkEnd w:id="16"/>
          </w:p>
          <w:p w14:paraId="75D0EED3" w14:textId="0BC7979F" w:rsidR="00E97CD7" w:rsidRPr="004315A8" w:rsidRDefault="00E97CD7" w:rsidP="00D807C6">
            <w:r w:rsidRPr="004315A8">
              <w:t>3.2</w:t>
            </w:r>
            <w:r w:rsidRPr="004315A8">
              <w:tab/>
            </w:r>
            <w:bookmarkStart w:id="17" w:name="lt_pId044"/>
            <w:r w:rsidR="0072593E" w:rsidRPr="004315A8">
              <w:t>Dado que la CMDT-2021 está prevista para noviembre de 2021, la Administración de la India considera adecuado proponer que, atendiendo a las circunstancias actuales, la celebración de la AMNT se desplace al primer trimestre de 2021</w:t>
            </w:r>
            <w:r w:rsidRPr="004315A8">
              <w:t>.</w:t>
            </w:r>
            <w:bookmarkEnd w:id="17"/>
          </w:p>
          <w:p w14:paraId="5D4D6534" w14:textId="01BC89FC" w:rsidR="0014501F" w:rsidRPr="004315A8" w:rsidRDefault="00E97CD7" w:rsidP="00D807C6">
            <w:r w:rsidRPr="004315A8">
              <w:t>3.3</w:t>
            </w:r>
            <w:r w:rsidRPr="004315A8">
              <w:tab/>
            </w:r>
            <w:bookmarkStart w:id="18" w:name="lt_pId046"/>
            <w:r w:rsidR="00A95EDB" w:rsidRPr="004315A8">
              <w:t xml:space="preserve">En vista de lo anterior, se propone reprogramar la celebración de la AMNT-21 del 23 de febrero al 5 de marzo de 2021, precedida por </w:t>
            </w:r>
            <w:r w:rsidR="00BF6362" w:rsidRPr="004315A8">
              <w:t>el SMN</w:t>
            </w:r>
            <w:r w:rsidR="00A95EDB" w:rsidRPr="004315A8">
              <w:t xml:space="preserve">-21 el 22 de febrero de 2021 en Hyderabad (India). Se </w:t>
            </w:r>
            <w:r w:rsidR="00BF6362" w:rsidRPr="004315A8">
              <w:t>somete</w:t>
            </w:r>
            <w:r w:rsidR="00A95EDB" w:rsidRPr="004315A8">
              <w:t xml:space="preserve"> a la consideración del Consejo que el aplazamiento de la AMNT a las fechas mencionadas pueda estar sujeto al restablecimiento de la normalidad y </w:t>
            </w:r>
            <w:r w:rsidR="00BF6362" w:rsidRPr="004315A8">
              <w:t>al levantamiento</w:t>
            </w:r>
            <w:r w:rsidR="00A95EDB" w:rsidRPr="004315A8">
              <w:t xml:space="preserve"> de las restricciones de viaje en la India</w:t>
            </w:r>
            <w:r w:rsidR="004315A8">
              <w:t>,</w:t>
            </w:r>
            <w:r w:rsidR="00A95EDB" w:rsidRPr="004315A8">
              <w:t xml:space="preserve"> así como en otros Estados Miembros</w:t>
            </w:r>
            <w:r w:rsidR="00BF6362" w:rsidRPr="004315A8">
              <w:t>.</w:t>
            </w:r>
          </w:p>
          <w:bookmarkEnd w:id="18"/>
          <w:p w14:paraId="63B92FB8" w14:textId="44C9A205" w:rsidR="00E97CD7" w:rsidRPr="004315A8" w:rsidRDefault="00E97CD7" w:rsidP="007D6FEB">
            <w:r w:rsidRPr="004315A8">
              <w:t>3.4</w:t>
            </w:r>
            <w:r w:rsidRPr="004315A8">
              <w:tab/>
            </w:r>
            <w:bookmarkStart w:id="19" w:name="lt_pId049"/>
            <w:r w:rsidR="00BF6362" w:rsidRPr="004315A8">
              <w:t>Se somete al Consejo de la UIT la citada propuesta de la República de la India para consulta y acuerdo.</w:t>
            </w:r>
            <w:bookmarkEnd w:id="19"/>
          </w:p>
          <w:p w14:paraId="52688AB2" w14:textId="4D4D2713" w:rsidR="00E97CD7" w:rsidRPr="004315A8" w:rsidRDefault="00BF6362" w:rsidP="00D807C6">
            <w:pPr>
              <w:pStyle w:val="Headingb"/>
            </w:pPr>
            <w:bookmarkStart w:id="20" w:name="lt_pId050"/>
            <w:r w:rsidRPr="004315A8">
              <w:t>Anexos</w:t>
            </w:r>
            <w:r w:rsidR="00E97CD7" w:rsidRPr="004315A8">
              <w:t xml:space="preserve"> 4</w:t>
            </w:r>
            <w:bookmarkEnd w:id="20"/>
          </w:p>
          <w:bookmarkStart w:id="21" w:name="lt_pId051"/>
          <w:p w14:paraId="0F9DBB3D" w14:textId="68C74D96" w:rsidR="00E97CD7" w:rsidRPr="004315A8" w:rsidRDefault="00E97CD7" w:rsidP="007D6FEB">
            <w:pPr>
              <w:tabs>
                <w:tab w:val="clear" w:pos="1134"/>
                <w:tab w:val="left" w:pos="1450"/>
              </w:tabs>
              <w:ind w:left="1024" w:hanging="1024"/>
            </w:pPr>
            <w:r w:rsidRPr="004315A8">
              <w:rPr>
                <w:rFonts w:cs="Mangal"/>
              </w:rPr>
              <w:fldChar w:fldCharType="begin"/>
            </w:r>
            <w:r w:rsidR="007D6FEB" w:rsidRPr="004315A8">
              <w:rPr>
                <w:rFonts w:cs="Mangal"/>
              </w:rPr>
              <w:instrText>HYPERLINK "https://www.itu.int/md/S19-CL-C-0024/es"</w:instrText>
            </w:r>
            <w:r w:rsidRPr="004315A8">
              <w:rPr>
                <w:rFonts w:cs="Mangal"/>
              </w:rPr>
              <w:fldChar w:fldCharType="separate"/>
            </w:r>
            <w:r w:rsidR="00BF6362" w:rsidRPr="004315A8">
              <w:rPr>
                <w:rStyle w:val="Hyperlink"/>
                <w:rFonts w:asciiTheme="minorHAnsi" w:hAnsiTheme="minorHAnsi" w:cstheme="minorHAnsi"/>
                <w:bCs/>
              </w:rPr>
              <w:t>Anexo</w:t>
            </w:r>
            <w:r w:rsidRPr="004315A8">
              <w:rPr>
                <w:rStyle w:val="Hyperlink"/>
                <w:rFonts w:asciiTheme="minorHAnsi" w:hAnsiTheme="minorHAnsi" w:cstheme="minorHAnsi"/>
                <w:bCs/>
              </w:rPr>
              <w:t xml:space="preserve"> 1</w:t>
            </w:r>
            <w:r w:rsidRPr="004315A8">
              <w:rPr>
                <w:rStyle w:val="Hyperlink"/>
                <w:rFonts w:asciiTheme="minorHAnsi" w:hAnsiTheme="minorHAnsi" w:cstheme="minorHAnsi"/>
                <w:bCs/>
              </w:rPr>
              <w:fldChar w:fldCharType="end"/>
            </w:r>
            <w:r w:rsidRPr="004315A8">
              <w:t xml:space="preserve"> </w:t>
            </w:r>
            <w:r w:rsidR="000536B4" w:rsidRPr="004315A8">
              <w:t>–</w:t>
            </w:r>
            <w:r w:rsidRPr="004315A8">
              <w:t xml:space="preserve"> </w:t>
            </w:r>
            <w:r w:rsidR="00BF6362" w:rsidRPr="004315A8">
              <w:t>Documento C19/24 de fecha 4 de junio de 2019</w:t>
            </w:r>
            <w:r w:rsidRPr="004315A8">
              <w:t xml:space="preserve">: </w:t>
            </w:r>
            <w:r w:rsidR="00BF6362" w:rsidRPr="004315A8">
              <w:t>Informe del Secretario General sobre los preparativos de la Asamblea Mundial de Normalización de las Telecomunicaciones de 2020</w:t>
            </w:r>
            <w:bookmarkEnd w:id="21"/>
            <w:r w:rsidR="000536B4" w:rsidRPr="004315A8">
              <w:t>.</w:t>
            </w:r>
          </w:p>
          <w:bookmarkStart w:id="22" w:name="lt_pId052"/>
          <w:p w14:paraId="3124CE34" w14:textId="2C6A1649" w:rsidR="00E97CD7" w:rsidRPr="004315A8" w:rsidRDefault="00E97CD7" w:rsidP="00D807C6">
            <w:pPr>
              <w:tabs>
                <w:tab w:val="clear" w:pos="1134"/>
                <w:tab w:val="left" w:pos="883"/>
              </w:tabs>
              <w:ind w:left="1024" w:hanging="1024"/>
            </w:pPr>
            <w:r w:rsidRPr="004315A8">
              <w:rPr>
                <w:rFonts w:cs="Mangal"/>
              </w:rPr>
              <w:fldChar w:fldCharType="begin"/>
            </w:r>
            <w:r w:rsidR="007D6FEB" w:rsidRPr="004315A8">
              <w:rPr>
                <w:rFonts w:cs="Mangal"/>
              </w:rPr>
              <w:instrText>HYPERLINK "https://www.itu.int/md/S19-CL-C-0125/es"</w:instrText>
            </w:r>
            <w:r w:rsidRPr="004315A8">
              <w:rPr>
                <w:rFonts w:cs="Mangal"/>
              </w:rPr>
              <w:fldChar w:fldCharType="separate"/>
            </w:r>
            <w:r w:rsidR="00BF6362" w:rsidRPr="004315A8">
              <w:rPr>
                <w:rStyle w:val="Hyperlink"/>
                <w:rFonts w:asciiTheme="minorHAnsi" w:hAnsiTheme="minorHAnsi" w:cstheme="minorHAnsi"/>
                <w:bCs/>
              </w:rPr>
              <w:t>Anexo</w:t>
            </w:r>
            <w:r w:rsidRPr="004315A8">
              <w:rPr>
                <w:rStyle w:val="Hyperlink"/>
                <w:rFonts w:asciiTheme="minorHAnsi" w:hAnsiTheme="minorHAnsi" w:cstheme="minorHAnsi"/>
                <w:bCs/>
              </w:rPr>
              <w:t xml:space="preserve"> 2</w:t>
            </w:r>
            <w:r w:rsidRPr="004315A8">
              <w:rPr>
                <w:rStyle w:val="Hyperlink"/>
                <w:rFonts w:asciiTheme="minorHAnsi" w:hAnsiTheme="minorHAnsi" w:cstheme="minorHAnsi"/>
                <w:bCs/>
              </w:rPr>
              <w:fldChar w:fldCharType="end"/>
            </w:r>
            <w:r w:rsidRPr="004315A8">
              <w:t xml:space="preserve"> </w:t>
            </w:r>
            <w:r w:rsidR="000536B4" w:rsidRPr="004315A8">
              <w:t>–</w:t>
            </w:r>
            <w:r w:rsidRPr="004315A8">
              <w:t xml:space="preserve"> </w:t>
            </w:r>
            <w:r w:rsidR="00BF6362" w:rsidRPr="004315A8">
              <w:t>Documento C19/125 de fecha 20 de junio de 2019</w:t>
            </w:r>
            <w:r w:rsidRPr="004315A8">
              <w:t xml:space="preserve">: </w:t>
            </w:r>
            <w:r w:rsidR="006C67C7" w:rsidRPr="004315A8">
              <w:t>Acuerdo</w:t>
            </w:r>
            <w:r w:rsidRPr="004315A8">
              <w:t xml:space="preserve"> 606 (adopt</w:t>
            </w:r>
            <w:r w:rsidR="006C67C7" w:rsidRPr="004315A8">
              <w:t>ado en la primera Reunión Plenaria</w:t>
            </w:r>
            <w:r w:rsidR="000536B4" w:rsidRPr="004315A8">
              <w:t>)</w:t>
            </w:r>
            <w:r w:rsidR="006C67C7" w:rsidRPr="004315A8">
              <w:t xml:space="preserve"> sobre la Convocación de la próxima Asamblea Mundial de Normalización de las Telecomunicaciones (AMNT-20)</w:t>
            </w:r>
            <w:bookmarkEnd w:id="22"/>
            <w:r w:rsidR="000536B4" w:rsidRPr="004315A8">
              <w:t>.</w:t>
            </w:r>
          </w:p>
          <w:bookmarkStart w:id="23" w:name="lt_pId053"/>
          <w:p w14:paraId="6C077FD3" w14:textId="0B181E5A" w:rsidR="00E97CD7" w:rsidRPr="004315A8" w:rsidRDefault="00E97CD7" w:rsidP="00D807C6">
            <w:pPr>
              <w:tabs>
                <w:tab w:val="clear" w:pos="1134"/>
                <w:tab w:val="left" w:pos="883"/>
              </w:tabs>
              <w:ind w:left="1024" w:hanging="1024"/>
            </w:pPr>
            <w:r w:rsidRPr="004315A8">
              <w:rPr>
                <w:rFonts w:cs="Mangal"/>
              </w:rPr>
              <w:fldChar w:fldCharType="begin"/>
            </w:r>
            <w:r w:rsidRPr="004315A8">
              <w:instrText xml:space="preserve"> HYPERLINK "https://www.itu.int/md/S19-SG-CIR-0033/en" </w:instrText>
            </w:r>
            <w:r w:rsidRPr="004315A8">
              <w:rPr>
                <w:rFonts w:cs="Mangal"/>
              </w:rPr>
              <w:fldChar w:fldCharType="separate"/>
            </w:r>
            <w:r w:rsidR="00BF6362" w:rsidRPr="004315A8">
              <w:rPr>
                <w:rStyle w:val="Hyperlink"/>
                <w:rFonts w:asciiTheme="minorHAnsi" w:hAnsiTheme="minorHAnsi" w:cstheme="minorHAnsi"/>
                <w:bCs/>
              </w:rPr>
              <w:t>Anexo</w:t>
            </w:r>
            <w:r w:rsidRPr="004315A8">
              <w:rPr>
                <w:rStyle w:val="Hyperlink"/>
                <w:rFonts w:asciiTheme="minorHAnsi" w:hAnsiTheme="minorHAnsi" w:cstheme="minorHAnsi"/>
                <w:bCs/>
              </w:rPr>
              <w:t xml:space="preserve"> 3</w:t>
            </w:r>
            <w:r w:rsidRPr="004315A8">
              <w:rPr>
                <w:rStyle w:val="Hyperlink"/>
                <w:rFonts w:asciiTheme="minorHAnsi" w:hAnsiTheme="minorHAnsi" w:cstheme="minorHAnsi"/>
                <w:bCs/>
              </w:rPr>
              <w:fldChar w:fldCharType="end"/>
            </w:r>
            <w:r w:rsidRPr="004315A8">
              <w:t xml:space="preserve"> </w:t>
            </w:r>
            <w:r w:rsidR="000536B4" w:rsidRPr="004315A8">
              <w:t>–</w:t>
            </w:r>
            <w:r w:rsidRPr="004315A8">
              <w:t xml:space="preserve"> </w:t>
            </w:r>
            <w:r w:rsidR="00BF6362" w:rsidRPr="004315A8">
              <w:t>Carta Circular 19/33 de fecha 22 de julio de 2019</w:t>
            </w:r>
            <w:r w:rsidRPr="004315A8">
              <w:t xml:space="preserve">: </w:t>
            </w:r>
            <w:r w:rsidR="000536B4" w:rsidRPr="004315A8">
              <w:t>S</w:t>
            </w:r>
            <w:r w:rsidR="006C67C7" w:rsidRPr="004315A8">
              <w:t>olicitando el acuerdo de los Estados Miembros respecto de los lugares de celebración y las fechas de la AMNT-20, la CMDT-21 y la PP-22</w:t>
            </w:r>
            <w:bookmarkEnd w:id="23"/>
            <w:r w:rsidR="000536B4" w:rsidRPr="004315A8">
              <w:t>.</w:t>
            </w:r>
          </w:p>
          <w:bookmarkStart w:id="24" w:name="lt_pId054"/>
          <w:p w14:paraId="45B1A2B4" w14:textId="2E0DB468" w:rsidR="001834BD" w:rsidRPr="004315A8" w:rsidRDefault="00E97CD7" w:rsidP="00D807C6">
            <w:pPr>
              <w:tabs>
                <w:tab w:val="clear" w:pos="1134"/>
                <w:tab w:val="left" w:pos="883"/>
              </w:tabs>
              <w:ind w:left="1024" w:hanging="1024"/>
              <w:rPr>
                <w:b/>
                <w:bCs/>
              </w:rPr>
            </w:pPr>
            <w:r w:rsidRPr="004315A8">
              <w:rPr>
                <w:rFonts w:cs="Mangal"/>
              </w:rPr>
              <w:fldChar w:fldCharType="begin"/>
            </w:r>
            <w:r w:rsidRPr="004315A8">
              <w:instrText xml:space="preserve"> HYPERLINK "https://www.itu.int/md/S19-SG-CIR-0045/en" </w:instrText>
            </w:r>
            <w:r w:rsidRPr="004315A8">
              <w:rPr>
                <w:rFonts w:cs="Mangal"/>
              </w:rPr>
              <w:fldChar w:fldCharType="separate"/>
            </w:r>
            <w:r w:rsidR="00BF6362" w:rsidRPr="004315A8">
              <w:rPr>
                <w:rStyle w:val="Hyperlink"/>
                <w:rFonts w:asciiTheme="minorHAnsi" w:hAnsiTheme="minorHAnsi" w:cstheme="minorHAnsi"/>
                <w:bCs/>
              </w:rPr>
              <w:t>Anexo</w:t>
            </w:r>
            <w:r w:rsidRPr="004315A8">
              <w:rPr>
                <w:rStyle w:val="Hyperlink"/>
                <w:rFonts w:asciiTheme="minorHAnsi" w:hAnsiTheme="minorHAnsi" w:cstheme="minorHAnsi"/>
                <w:bCs/>
              </w:rPr>
              <w:t xml:space="preserve"> 4</w:t>
            </w:r>
            <w:r w:rsidRPr="004315A8">
              <w:rPr>
                <w:rStyle w:val="Hyperlink"/>
                <w:rFonts w:asciiTheme="minorHAnsi" w:hAnsiTheme="minorHAnsi" w:cstheme="minorHAnsi"/>
                <w:bCs/>
              </w:rPr>
              <w:fldChar w:fldCharType="end"/>
            </w:r>
            <w:r w:rsidRPr="004315A8">
              <w:t xml:space="preserve"> </w:t>
            </w:r>
            <w:r w:rsidR="000536B4" w:rsidRPr="004315A8">
              <w:t>–</w:t>
            </w:r>
            <w:r w:rsidRPr="004315A8">
              <w:t xml:space="preserve"> </w:t>
            </w:r>
            <w:r w:rsidR="00BF6362" w:rsidRPr="004315A8">
              <w:t>Carta Circular 19/45 de fecha 3 de octubre de 2019</w:t>
            </w:r>
            <w:r w:rsidRPr="004315A8">
              <w:t xml:space="preserve">: </w:t>
            </w:r>
            <w:r w:rsidR="006C67C7" w:rsidRPr="004315A8">
              <w:t>Confirmación</w:t>
            </w:r>
            <w:r w:rsidRPr="004315A8">
              <w:t xml:space="preserve"> </w:t>
            </w:r>
            <w:bookmarkEnd w:id="24"/>
            <w:r w:rsidR="006C67C7" w:rsidRPr="004315A8">
              <w:t>de los lugares de celebración y las fechas de la AMNT-20, la CMDT-21 y la PP-22</w:t>
            </w:r>
            <w:r w:rsidR="000536B4" w:rsidRPr="004315A8">
              <w:t>.</w:t>
            </w:r>
          </w:p>
        </w:tc>
      </w:tr>
    </w:tbl>
    <w:p w14:paraId="5ABC830B" w14:textId="77777777" w:rsidR="00DB5A52" w:rsidRPr="004315A8" w:rsidRDefault="00DB5A52" w:rsidP="00411C49">
      <w:pPr>
        <w:pStyle w:val="Reasons"/>
      </w:pPr>
    </w:p>
    <w:p w14:paraId="0CFC315D" w14:textId="77777777" w:rsidR="00DB5A52" w:rsidRPr="004315A8" w:rsidRDefault="00DB5A52">
      <w:pPr>
        <w:jc w:val="center"/>
      </w:pPr>
      <w:r w:rsidRPr="004315A8">
        <w:t>______________</w:t>
      </w:r>
    </w:p>
    <w:sectPr w:rsidR="00DB5A52" w:rsidRPr="004315A8"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5C9354A5" w:rsidR="00760F1C" w:rsidRPr="00B77D37" w:rsidRDefault="00B77D37" w:rsidP="00DB5A52">
    <w:pPr>
      <w:pStyle w:val="Footer"/>
      <w:rPr>
        <w:color w:val="D9D9D9" w:themeColor="background1" w:themeShade="D9"/>
        <w:lang w:val="fr-CH"/>
      </w:rPr>
    </w:pPr>
    <w:r w:rsidRPr="00B77D37">
      <w:rPr>
        <w:color w:val="D9D9D9" w:themeColor="background1" w:themeShade="D9"/>
      </w:rPr>
      <w:fldChar w:fldCharType="begin"/>
    </w:r>
    <w:r w:rsidRPr="00B77D37">
      <w:rPr>
        <w:color w:val="D9D9D9" w:themeColor="background1" w:themeShade="D9"/>
      </w:rPr>
      <w:instrText xml:space="preserve"> FILENAME \p  \* MERGEFORMAT </w:instrText>
    </w:r>
    <w:r w:rsidRPr="00B77D37">
      <w:rPr>
        <w:color w:val="D9D9D9" w:themeColor="background1" w:themeShade="D9"/>
      </w:rPr>
      <w:fldChar w:fldCharType="separate"/>
    </w:r>
    <w:r w:rsidR="00DB5A52" w:rsidRPr="00B77D37">
      <w:rPr>
        <w:color w:val="D9D9D9" w:themeColor="background1" w:themeShade="D9"/>
      </w:rPr>
      <w:t>P:\ESP\SG\CONSEIL\VC\000\005S.docx</w:t>
    </w:r>
    <w:r w:rsidRPr="00B77D37">
      <w:rPr>
        <w:color w:val="D9D9D9" w:themeColor="background1" w:themeShade="D9"/>
      </w:rPr>
      <w:fldChar w:fldCharType="end"/>
    </w:r>
    <w:r w:rsidR="00DB5A52" w:rsidRPr="00B77D37">
      <w:rPr>
        <w:color w:val="D9D9D9" w:themeColor="background1" w:themeShade="D9"/>
      </w:rPr>
      <w:t xml:space="preserve"> (471718)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653B" w14:textId="015991D1" w:rsidR="00F81A4D" w:rsidRDefault="00760F1C" w:rsidP="009740F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3BA23AED" w:rsidR="00760F1C" w:rsidRDefault="000B7C15" w:rsidP="007657F0">
    <w:pPr>
      <w:pStyle w:val="Header"/>
    </w:pPr>
    <w:r>
      <w:fldChar w:fldCharType="begin"/>
    </w:r>
    <w:r>
      <w:instrText>PAGE</w:instrText>
    </w:r>
    <w:r>
      <w:fldChar w:fldCharType="separate"/>
    </w:r>
    <w:r w:rsidR="006D0C89">
      <w:rPr>
        <w:noProof/>
      </w:rPr>
      <w:t>2</w:t>
    </w:r>
    <w:r>
      <w:rPr>
        <w:noProof/>
      </w:rPr>
      <w:fldChar w:fldCharType="end"/>
    </w:r>
  </w:p>
  <w:p w14:paraId="2F9E07E8" w14:textId="360CE97E" w:rsidR="00760F1C" w:rsidRDefault="001834BD" w:rsidP="00C2727F">
    <w:pPr>
      <w:pStyle w:val="Header"/>
    </w:pPr>
    <w:r>
      <w:t>VC</w:t>
    </w:r>
    <w:r w:rsidR="00760F1C">
      <w:t>/</w:t>
    </w:r>
    <w:r w:rsidR="006C67C7">
      <w:t>5</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94476"/>
    <w:multiLevelType w:val="hybridMultilevel"/>
    <w:tmpl w:val="026C3150"/>
    <w:lvl w:ilvl="0" w:tplc="63809388">
      <w:numFmt w:val="bullet"/>
      <w:lvlText w:val="-"/>
      <w:lvlJc w:val="left"/>
      <w:pPr>
        <w:ind w:left="360" w:hanging="360"/>
      </w:pPr>
      <w:rPr>
        <w:rFonts w:ascii="Calibri" w:eastAsia="Times New Roman" w:hAnsi="Calibri" w:cs="Calibri" w:hint="default"/>
      </w:rPr>
    </w:lvl>
    <w:lvl w:ilvl="1" w:tplc="4F0254A0">
      <w:start w:val="1"/>
      <w:numFmt w:val="bullet"/>
      <w:lvlText w:val="o"/>
      <w:lvlJc w:val="left"/>
      <w:pPr>
        <w:ind w:left="1080" w:hanging="360"/>
      </w:pPr>
      <w:rPr>
        <w:rFonts w:ascii="Courier New" w:hAnsi="Courier New" w:cs="Courier New" w:hint="default"/>
      </w:rPr>
    </w:lvl>
    <w:lvl w:ilvl="2" w:tplc="F870ACC0" w:tentative="1">
      <w:start w:val="1"/>
      <w:numFmt w:val="bullet"/>
      <w:lvlText w:val=""/>
      <w:lvlJc w:val="left"/>
      <w:pPr>
        <w:ind w:left="1800" w:hanging="360"/>
      </w:pPr>
      <w:rPr>
        <w:rFonts w:ascii="Wingdings" w:hAnsi="Wingdings" w:hint="default"/>
      </w:rPr>
    </w:lvl>
    <w:lvl w:ilvl="3" w:tplc="C0AC08E8" w:tentative="1">
      <w:start w:val="1"/>
      <w:numFmt w:val="bullet"/>
      <w:lvlText w:val=""/>
      <w:lvlJc w:val="left"/>
      <w:pPr>
        <w:ind w:left="2520" w:hanging="360"/>
      </w:pPr>
      <w:rPr>
        <w:rFonts w:ascii="Symbol" w:hAnsi="Symbol" w:hint="default"/>
      </w:rPr>
    </w:lvl>
    <w:lvl w:ilvl="4" w:tplc="26F01D9C" w:tentative="1">
      <w:start w:val="1"/>
      <w:numFmt w:val="bullet"/>
      <w:lvlText w:val="o"/>
      <w:lvlJc w:val="left"/>
      <w:pPr>
        <w:ind w:left="3240" w:hanging="360"/>
      </w:pPr>
      <w:rPr>
        <w:rFonts w:ascii="Courier New" w:hAnsi="Courier New" w:cs="Courier New" w:hint="default"/>
      </w:rPr>
    </w:lvl>
    <w:lvl w:ilvl="5" w:tplc="6B18FA3A" w:tentative="1">
      <w:start w:val="1"/>
      <w:numFmt w:val="bullet"/>
      <w:lvlText w:val=""/>
      <w:lvlJc w:val="left"/>
      <w:pPr>
        <w:ind w:left="3960" w:hanging="360"/>
      </w:pPr>
      <w:rPr>
        <w:rFonts w:ascii="Wingdings" w:hAnsi="Wingdings" w:hint="default"/>
      </w:rPr>
    </w:lvl>
    <w:lvl w:ilvl="6" w:tplc="0B809596" w:tentative="1">
      <w:start w:val="1"/>
      <w:numFmt w:val="bullet"/>
      <w:lvlText w:val=""/>
      <w:lvlJc w:val="left"/>
      <w:pPr>
        <w:ind w:left="4680" w:hanging="360"/>
      </w:pPr>
      <w:rPr>
        <w:rFonts w:ascii="Symbol" w:hAnsi="Symbol" w:hint="default"/>
      </w:rPr>
    </w:lvl>
    <w:lvl w:ilvl="7" w:tplc="2DA8D8CE" w:tentative="1">
      <w:start w:val="1"/>
      <w:numFmt w:val="bullet"/>
      <w:lvlText w:val="o"/>
      <w:lvlJc w:val="left"/>
      <w:pPr>
        <w:ind w:left="5400" w:hanging="360"/>
      </w:pPr>
      <w:rPr>
        <w:rFonts w:ascii="Courier New" w:hAnsi="Courier New" w:cs="Courier New" w:hint="default"/>
      </w:rPr>
    </w:lvl>
    <w:lvl w:ilvl="8" w:tplc="EA1019D0"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D"/>
    <w:rsid w:val="00025E16"/>
    <w:rsid w:val="000536B4"/>
    <w:rsid w:val="000919B1"/>
    <w:rsid w:val="00093EEB"/>
    <w:rsid w:val="000B0D00"/>
    <w:rsid w:val="000B7C15"/>
    <w:rsid w:val="000C0925"/>
    <w:rsid w:val="000D1D0F"/>
    <w:rsid w:val="000F5290"/>
    <w:rsid w:val="0010165C"/>
    <w:rsid w:val="0014501F"/>
    <w:rsid w:val="00146BFB"/>
    <w:rsid w:val="001834BD"/>
    <w:rsid w:val="001906C9"/>
    <w:rsid w:val="001F14A2"/>
    <w:rsid w:val="002801AA"/>
    <w:rsid w:val="002C4676"/>
    <w:rsid w:val="002C70B0"/>
    <w:rsid w:val="002F3CC4"/>
    <w:rsid w:val="00334B07"/>
    <w:rsid w:val="00401052"/>
    <w:rsid w:val="00426D8F"/>
    <w:rsid w:val="004315A8"/>
    <w:rsid w:val="00484AB6"/>
    <w:rsid w:val="00491AC1"/>
    <w:rsid w:val="00513630"/>
    <w:rsid w:val="00560125"/>
    <w:rsid w:val="00585553"/>
    <w:rsid w:val="005B34D9"/>
    <w:rsid w:val="005C16D6"/>
    <w:rsid w:val="005D0CCF"/>
    <w:rsid w:val="005F3BCB"/>
    <w:rsid w:val="005F410F"/>
    <w:rsid w:val="0060149A"/>
    <w:rsid w:val="00601924"/>
    <w:rsid w:val="006447EA"/>
    <w:rsid w:val="0064731F"/>
    <w:rsid w:val="00664572"/>
    <w:rsid w:val="006710F6"/>
    <w:rsid w:val="006C1B56"/>
    <w:rsid w:val="006C67C7"/>
    <w:rsid w:val="006D0C89"/>
    <w:rsid w:val="006D381F"/>
    <w:rsid w:val="006D4761"/>
    <w:rsid w:val="0072593E"/>
    <w:rsid w:val="00726872"/>
    <w:rsid w:val="00760F1C"/>
    <w:rsid w:val="007657F0"/>
    <w:rsid w:val="0077252D"/>
    <w:rsid w:val="007955DA"/>
    <w:rsid w:val="007D6FEB"/>
    <w:rsid w:val="007E5DD3"/>
    <w:rsid w:val="007F350B"/>
    <w:rsid w:val="00820BE4"/>
    <w:rsid w:val="0082226B"/>
    <w:rsid w:val="008356E4"/>
    <w:rsid w:val="008451E8"/>
    <w:rsid w:val="00913B9C"/>
    <w:rsid w:val="00956E77"/>
    <w:rsid w:val="009740FA"/>
    <w:rsid w:val="009771D2"/>
    <w:rsid w:val="009F4811"/>
    <w:rsid w:val="00A95EDB"/>
    <w:rsid w:val="00AA390C"/>
    <w:rsid w:val="00B0200A"/>
    <w:rsid w:val="00B574DB"/>
    <w:rsid w:val="00B77D37"/>
    <w:rsid w:val="00B826C2"/>
    <w:rsid w:val="00B8298E"/>
    <w:rsid w:val="00BD0723"/>
    <w:rsid w:val="00BD2518"/>
    <w:rsid w:val="00BF1D1C"/>
    <w:rsid w:val="00BF6362"/>
    <w:rsid w:val="00C04166"/>
    <w:rsid w:val="00C20C59"/>
    <w:rsid w:val="00C2727F"/>
    <w:rsid w:val="00C55B1F"/>
    <w:rsid w:val="00C65F7B"/>
    <w:rsid w:val="00C94674"/>
    <w:rsid w:val="00CA6777"/>
    <w:rsid w:val="00CF1A67"/>
    <w:rsid w:val="00D2750E"/>
    <w:rsid w:val="00D62446"/>
    <w:rsid w:val="00D72C86"/>
    <w:rsid w:val="00D807C6"/>
    <w:rsid w:val="00DA4EA2"/>
    <w:rsid w:val="00DB5A52"/>
    <w:rsid w:val="00DC3D3E"/>
    <w:rsid w:val="00DC5B0C"/>
    <w:rsid w:val="00DE2C90"/>
    <w:rsid w:val="00DE3B24"/>
    <w:rsid w:val="00E06947"/>
    <w:rsid w:val="00E3592D"/>
    <w:rsid w:val="00E92DE8"/>
    <w:rsid w:val="00E97CD7"/>
    <w:rsid w:val="00EB1212"/>
    <w:rsid w:val="00ED3F7A"/>
    <w:rsid w:val="00ED65AB"/>
    <w:rsid w:val="00F12850"/>
    <w:rsid w:val="00F33BF4"/>
    <w:rsid w:val="00F7105E"/>
    <w:rsid w:val="00F75F57"/>
    <w:rsid w:val="00F81A4D"/>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customStyle="1" w:styleId="UnresolvedMention1">
    <w:name w:val="Unresolved Mention1"/>
    <w:basedOn w:val="DefaultParagraphFont"/>
    <w:uiPriority w:val="99"/>
    <w:semiHidden/>
    <w:unhideWhenUsed/>
    <w:rsid w:val="00D72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9-CL-C-0024/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C-0024/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59C7D-52C7-4489-A53C-BFD396DC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0EE24-7F76-4841-ADCC-630165092E81}">
  <ds:schemaRefs>
    <ds:schemaRef ds:uri="http://schemas.microsoft.com/sharepoint/v3/contenttype/forms"/>
  </ds:schemaRefs>
</ds:datastoreItem>
</file>

<file path=customXml/itemProps3.xml><?xml version="1.0" encoding="utf-8"?>
<ds:datastoreItem xmlns:ds="http://schemas.openxmlformats.org/officeDocument/2006/customXml" ds:itemID="{4D6A4CA8-7BCE-46A0-B3F8-5F5E4526B1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3</Pages>
  <Words>922</Words>
  <Characters>4972</Characters>
  <Application>Microsoft Office Word</Application>
  <DocSecurity>4</DocSecurity>
  <Lines>41</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5883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Acogida de la Asamblea Mundial de Normalización de las Telecomunicaciones (AMNT) en la India</dc:title>
  <dc:subject>Virtual consultation of councillors 2020</dc:subject>
  <dc:creator>English</dc:creator>
  <cp:keywords>VC, VCC</cp:keywords>
  <dc:description/>
  <cp:lastModifiedBy>Brouard, Ricarda</cp:lastModifiedBy>
  <cp:revision>2</cp:revision>
  <cp:lastPrinted>2006-03-24T09:51:00Z</cp:lastPrinted>
  <dcterms:created xsi:type="dcterms:W3CDTF">2020-06-01T08:34:00Z</dcterms:created>
  <dcterms:modified xsi:type="dcterms:W3CDTF">2020-06-01T08:34:00Z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