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bidiVisual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4B1F2F" w:rsidRPr="00F82904" w14:paraId="01525D01" w14:textId="77777777" w:rsidTr="00FA7FCF">
        <w:trPr>
          <w:cantSplit/>
          <w:trHeight w:val="1276"/>
        </w:trPr>
        <w:tc>
          <w:tcPr>
            <w:tcW w:w="6911" w:type="dxa"/>
          </w:tcPr>
          <w:p w14:paraId="459471A2" w14:textId="77777777" w:rsidR="004B1F2F" w:rsidRPr="00F82904" w:rsidRDefault="004B1F2F" w:rsidP="00FA7FCF">
            <w:pPr>
              <w:spacing w:before="360" w:after="48" w:line="240" w:lineRule="atLeast"/>
              <w:jc w:val="left"/>
              <w:rPr>
                <w:b/>
                <w:bCs/>
                <w:position w:val="6"/>
                <w:sz w:val="26"/>
                <w:szCs w:val="26"/>
                <w:lang w:val="en-GB"/>
              </w:rPr>
            </w:pPr>
            <w:r>
              <w:rPr>
                <w:rFonts w:hint="cs"/>
                <w:b/>
                <w:bCs/>
                <w:position w:val="6"/>
                <w:sz w:val="26"/>
                <w:szCs w:val="26"/>
                <w:rtl/>
                <w:lang w:val="en-GB"/>
              </w:rPr>
              <w:t>المشاورة الافتراضية لأعضاء المجلس</w:t>
            </w:r>
            <w:r w:rsidRPr="00F82904">
              <w:rPr>
                <w:b/>
                <w:bCs/>
                <w:position w:val="6"/>
                <w:sz w:val="26"/>
                <w:szCs w:val="26"/>
                <w:lang w:val="en-GB"/>
              </w:rPr>
              <w:br/>
            </w:r>
            <w:bookmarkStart w:id="0" w:name="lt_pId447"/>
            <w:r>
              <w:rPr>
                <w:rFonts w:hint="cs"/>
                <w:b/>
                <w:bCs/>
                <w:position w:val="6"/>
                <w:sz w:val="26"/>
                <w:szCs w:val="26"/>
                <w:rtl/>
                <w:lang w:val="en-GB"/>
              </w:rPr>
              <w:t xml:space="preserve">التي تبدأ في </w:t>
            </w:r>
            <w:r w:rsidRPr="00F82904">
              <w:rPr>
                <w:b/>
                <w:bCs/>
                <w:position w:val="6"/>
                <w:sz w:val="26"/>
                <w:szCs w:val="26"/>
                <w:lang w:val="en-GB"/>
              </w:rPr>
              <w:t>9</w:t>
            </w:r>
            <w:r>
              <w:rPr>
                <w:rFonts w:hint="cs"/>
                <w:b/>
                <w:bCs/>
                <w:position w:val="6"/>
                <w:sz w:val="26"/>
                <w:szCs w:val="26"/>
                <w:rtl/>
                <w:lang w:val="en-GB"/>
              </w:rPr>
              <w:t xml:space="preserve"> يونيو </w:t>
            </w:r>
            <w:r w:rsidRPr="00F82904">
              <w:rPr>
                <w:b/>
                <w:bCs/>
                <w:position w:val="6"/>
                <w:sz w:val="26"/>
                <w:szCs w:val="26"/>
                <w:lang w:val="en-GB"/>
              </w:rPr>
              <w:t>2020</w:t>
            </w:r>
            <w:bookmarkEnd w:id="0"/>
          </w:p>
        </w:tc>
        <w:tc>
          <w:tcPr>
            <w:tcW w:w="3120" w:type="dxa"/>
            <w:vAlign w:val="center"/>
          </w:tcPr>
          <w:p w14:paraId="6AD826B8" w14:textId="77777777" w:rsidR="004B1F2F" w:rsidRPr="00F82904" w:rsidRDefault="004B1F2F" w:rsidP="00FA7FCF">
            <w:pPr>
              <w:spacing w:before="0" w:line="240" w:lineRule="atLeast"/>
            </w:pPr>
            <w:r w:rsidRPr="00F82904">
              <w:rPr>
                <w:noProof/>
              </w:rPr>
              <w:drawing>
                <wp:inline distT="0" distB="0" distL="0" distR="0" wp14:anchorId="36641587" wp14:editId="389AB3C9">
                  <wp:extent cx="682402" cy="720000"/>
                  <wp:effectExtent l="0" t="0" r="3810" b="4445"/>
                  <wp:docPr id="103590995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89664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1F2F" w:rsidRPr="00F82904" w14:paraId="01AC0B3E" w14:textId="77777777" w:rsidTr="00FA7FCF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FC6A217" w14:textId="77777777" w:rsidR="004B1F2F" w:rsidRPr="00F82904" w:rsidRDefault="004B1F2F" w:rsidP="002711D0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2452513" w14:textId="77777777" w:rsidR="004B1F2F" w:rsidRPr="00F82904" w:rsidRDefault="004B1F2F" w:rsidP="002711D0">
            <w:pPr>
              <w:spacing w:before="0" w:line="240" w:lineRule="atLeast"/>
              <w:rPr>
                <w:szCs w:val="24"/>
              </w:rPr>
            </w:pPr>
          </w:p>
        </w:tc>
      </w:tr>
      <w:tr w:rsidR="004B1F2F" w:rsidRPr="00F82904" w14:paraId="20EE19EF" w14:textId="77777777" w:rsidTr="00FA7FCF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0380BFC" w14:textId="77777777" w:rsidR="004B1F2F" w:rsidRPr="00F82904" w:rsidRDefault="004B1F2F" w:rsidP="002711D0">
            <w:pPr>
              <w:spacing w:before="0" w:after="48" w:line="280" w:lineRule="exac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130A0CF" w14:textId="44CDCB2A" w:rsidR="004B1F2F" w:rsidRDefault="004B1F2F" w:rsidP="002711D0">
            <w:pPr>
              <w:spacing w:before="240" w:line="280" w:lineRule="exact"/>
              <w:rPr>
                <w:b/>
                <w:bCs/>
                <w:lang w:bidi="ar-SY"/>
              </w:rPr>
            </w:pP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>
              <w:rPr>
                <w:b/>
                <w:bCs/>
                <w:lang w:bidi="ar-SY"/>
              </w:rPr>
              <w:t>VC</w:t>
            </w:r>
            <w:r w:rsidRPr="002F71D8">
              <w:rPr>
                <w:b/>
                <w:bCs/>
                <w:lang w:bidi="ar-SY"/>
              </w:rPr>
              <w:t>/</w:t>
            </w:r>
            <w:r w:rsidR="002E2F32">
              <w:rPr>
                <w:b/>
                <w:bCs/>
                <w:lang w:bidi="ar-SY"/>
              </w:rPr>
              <w:t>4</w:t>
            </w:r>
            <w:r w:rsidRPr="002F71D8">
              <w:rPr>
                <w:b/>
                <w:bCs/>
                <w:lang w:bidi="ar-SY"/>
              </w:rPr>
              <w:t>-A</w:t>
            </w:r>
          </w:p>
          <w:p w14:paraId="01960303" w14:textId="307CE09C" w:rsidR="004B1F2F" w:rsidRDefault="002E2F32" w:rsidP="002711D0">
            <w:pPr>
              <w:spacing w:before="0" w:line="280" w:lineRule="exac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28 مايو</w:t>
            </w:r>
            <w:r w:rsidR="004B1F2F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4B1F2F" w:rsidRPr="002F71D8">
              <w:rPr>
                <w:b/>
                <w:bCs/>
                <w:lang w:bidi="ar-SY"/>
              </w:rPr>
              <w:t>2020</w:t>
            </w:r>
          </w:p>
          <w:p w14:paraId="72FE4D73" w14:textId="77777777" w:rsidR="004B1F2F" w:rsidRPr="00F82904" w:rsidRDefault="004B1F2F" w:rsidP="002711D0">
            <w:pPr>
              <w:spacing w:before="0" w:after="60" w:line="280" w:lineRule="exact"/>
              <w:rPr>
                <w:szCs w:val="24"/>
              </w:rPr>
            </w:pPr>
            <w:r w:rsidRPr="002F71D8">
              <w:rPr>
                <w:b/>
                <w:bCs/>
                <w:rtl/>
                <w:lang w:bidi="ar-EG"/>
              </w:rPr>
              <w:t xml:space="preserve">الأصل: </w:t>
            </w:r>
            <w:r w:rsidRPr="00C16AFD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</w:tbl>
    <w:p w14:paraId="6965AD14" w14:textId="77777777" w:rsidR="004B1F2F" w:rsidRPr="00F82904" w:rsidRDefault="004B1F2F" w:rsidP="004B1F2F">
      <w:pPr>
        <w:spacing w:before="0"/>
        <w:rPr>
          <w:b/>
          <w:bCs/>
          <w:sz w:val="28"/>
        </w:rPr>
      </w:pPr>
      <w:bookmarkStart w:id="1" w:name="dorlang" w:colFirst="1" w:colLast="1"/>
    </w:p>
    <w:tbl>
      <w:tblPr>
        <w:bidiVisual/>
        <w:tblW w:w="10093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835"/>
        <w:gridCol w:w="7258"/>
      </w:tblGrid>
      <w:tr w:rsidR="004B1F2F" w:rsidRPr="00F82904" w14:paraId="221717B6" w14:textId="77777777" w:rsidTr="009D75DF">
        <w:trPr>
          <w:cantSplit/>
        </w:trPr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7CADCE80" w14:textId="77777777" w:rsidR="004B1F2F" w:rsidRPr="00F82904" w:rsidRDefault="004B1F2F" w:rsidP="00E458FD">
            <w:pPr>
              <w:spacing w:before="60" w:after="60" w:line="320" w:lineRule="exact"/>
              <w:jc w:val="left"/>
              <w:rPr>
                <w:b/>
                <w:bCs/>
              </w:rPr>
            </w:pPr>
            <w:bookmarkStart w:id="2" w:name="dsource" w:colFirst="0" w:colLast="0"/>
            <w:bookmarkEnd w:id="1"/>
            <w:r w:rsidRPr="00C650CA">
              <w:rPr>
                <w:rFonts w:hint="cs"/>
                <w:b/>
                <w:bCs/>
                <w:spacing w:val="-8"/>
                <w:rtl/>
              </w:rPr>
              <w:t>اسم الدولة العضو (الدول الأعضاء)</w:t>
            </w:r>
            <w:r>
              <w:rPr>
                <w:rFonts w:hint="cs"/>
                <w:b/>
                <w:bCs/>
                <w:rtl/>
              </w:rPr>
              <w:t xml:space="preserve"> مقدمة المساهمة:</w:t>
            </w:r>
          </w:p>
        </w:tc>
        <w:tc>
          <w:tcPr>
            <w:tcW w:w="7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D7F678" w14:textId="3E2377F8" w:rsidR="004B1F2F" w:rsidRPr="002E2F32" w:rsidRDefault="002E2F32" w:rsidP="00E458FD">
            <w:pPr>
              <w:spacing w:before="60" w:after="60" w:line="320" w:lineRule="exact"/>
              <w:rPr>
                <w:b/>
                <w:bCs/>
              </w:rPr>
            </w:pPr>
            <w:r w:rsidRPr="002E2F32">
              <w:rPr>
                <w:rFonts w:hint="cs"/>
                <w:b/>
                <w:bCs/>
                <w:rtl/>
              </w:rPr>
              <w:t>الإمارات العربية المتحدة</w:t>
            </w:r>
          </w:p>
        </w:tc>
      </w:tr>
      <w:tr w:rsidR="004B1F2F" w:rsidRPr="00F82904" w14:paraId="750109D1" w14:textId="77777777" w:rsidTr="009D75DF">
        <w:trPr>
          <w:cantSplit/>
        </w:trPr>
        <w:tc>
          <w:tcPr>
            <w:tcW w:w="2835" w:type="dxa"/>
          </w:tcPr>
          <w:p w14:paraId="6AF56AD8" w14:textId="77777777" w:rsidR="004B1F2F" w:rsidRPr="00F82904" w:rsidRDefault="004B1F2F" w:rsidP="00E458FD">
            <w:pPr>
              <w:spacing w:after="120" w:line="320" w:lineRule="exact"/>
              <w:rPr>
                <w:sz w:val="16"/>
                <w:szCs w:val="16"/>
              </w:rPr>
            </w:pPr>
          </w:p>
        </w:tc>
        <w:tc>
          <w:tcPr>
            <w:tcW w:w="7258" w:type="dxa"/>
            <w:tcBorders>
              <w:top w:val="single" w:sz="12" w:space="0" w:color="auto"/>
              <w:bottom w:val="single" w:sz="12" w:space="0" w:color="auto"/>
            </w:tcBorders>
          </w:tcPr>
          <w:p w14:paraId="6410D67B" w14:textId="77777777" w:rsidR="004B1F2F" w:rsidRPr="00F82904" w:rsidRDefault="004B1F2F" w:rsidP="00E458FD">
            <w:pPr>
              <w:spacing w:after="120" w:line="320" w:lineRule="exact"/>
              <w:rPr>
                <w:sz w:val="16"/>
                <w:szCs w:val="16"/>
              </w:rPr>
            </w:pPr>
          </w:p>
        </w:tc>
      </w:tr>
      <w:tr w:rsidR="004B1F2F" w:rsidRPr="00F82904" w14:paraId="25E094E2" w14:textId="77777777" w:rsidTr="009D75DF">
        <w:trPr>
          <w:cantSplit/>
        </w:trPr>
        <w:tc>
          <w:tcPr>
            <w:tcW w:w="2835" w:type="dxa"/>
            <w:tcBorders>
              <w:right w:val="single" w:sz="12" w:space="0" w:color="auto"/>
            </w:tcBorders>
          </w:tcPr>
          <w:p w14:paraId="43E28EA9" w14:textId="77777777" w:rsidR="004B1F2F" w:rsidRPr="00F82904" w:rsidRDefault="004B1F2F" w:rsidP="00E458FD">
            <w:pPr>
              <w:spacing w:after="120" w:line="320" w:lineRule="exac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عنوان الوثيقة:</w:t>
            </w:r>
          </w:p>
        </w:tc>
        <w:tc>
          <w:tcPr>
            <w:tcW w:w="7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7CD6C" w14:textId="02693178" w:rsidR="004B1F2F" w:rsidRPr="002E2F32" w:rsidRDefault="000934F1" w:rsidP="00E458FD">
            <w:pPr>
              <w:spacing w:after="120" w:line="320" w:lineRule="exac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تعليقات بشأن التقدم المحرز</w:t>
            </w:r>
            <w:r w:rsidR="002E2F32" w:rsidRPr="002E2F32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ل</w:t>
            </w:r>
            <w:r w:rsidR="002E2F32" w:rsidRPr="002E2F32">
              <w:rPr>
                <w:b/>
                <w:bCs/>
                <w:rtl/>
                <w:lang w:bidi="ar-SY"/>
              </w:rPr>
              <w:t xml:space="preserve">فريق الخبراء المعني بلوائح الاتصالات الدولية </w:t>
            </w:r>
            <w:r w:rsidR="002E2F32" w:rsidRPr="002E2F32">
              <w:rPr>
                <w:b/>
                <w:bCs/>
              </w:rPr>
              <w:t>(EG-ITR)</w:t>
            </w:r>
          </w:p>
        </w:tc>
      </w:tr>
      <w:tr w:rsidR="004B1F2F" w:rsidRPr="00F82904" w14:paraId="4EAA40DD" w14:textId="77777777" w:rsidTr="009D75DF">
        <w:trPr>
          <w:cantSplit/>
          <w:trHeight w:val="269"/>
        </w:trPr>
        <w:tc>
          <w:tcPr>
            <w:tcW w:w="2835" w:type="dxa"/>
          </w:tcPr>
          <w:p w14:paraId="33BC641D" w14:textId="77777777" w:rsidR="004B1F2F" w:rsidRPr="00F82904" w:rsidRDefault="004B1F2F" w:rsidP="00E458FD">
            <w:pPr>
              <w:spacing w:after="120" w:line="320" w:lineRule="exact"/>
              <w:rPr>
                <w:sz w:val="16"/>
                <w:szCs w:val="16"/>
              </w:rPr>
            </w:pPr>
          </w:p>
        </w:tc>
        <w:tc>
          <w:tcPr>
            <w:tcW w:w="7258" w:type="dxa"/>
            <w:tcBorders>
              <w:top w:val="single" w:sz="12" w:space="0" w:color="auto"/>
              <w:bottom w:val="single" w:sz="2" w:space="0" w:color="auto"/>
            </w:tcBorders>
          </w:tcPr>
          <w:p w14:paraId="5D598759" w14:textId="77777777" w:rsidR="004B1F2F" w:rsidRPr="00F82904" w:rsidRDefault="004B1F2F" w:rsidP="00E458FD">
            <w:pPr>
              <w:spacing w:after="120" w:line="320" w:lineRule="exact"/>
              <w:rPr>
                <w:sz w:val="16"/>
                <w:szCs w:val="16"/>
              </w:rPr>
            </w:pPr>
          </w:p>
        </w:tc>
      </w:tr>
      <w:tr w:rsidR="004B1F2F" w:rsidRPr="00F82904" w14:paraId="2DA692F2" w14:textId="77777777" w:rsidTr="009D75DF">
        <w:trPr>
          <w:cantSplit/>
          <w:trHeight w:val="668"/>
        </w:trPr>
        <w:tc>
          <w:tcPr>
            <w:tcW w:w="2835" w:type="dxa"/>
            <w:tcBorders>
              <w:right w:val="single" w:sz="2" w:space="0" w:color="auto"/>
            </w:tcBorders>
            <w:vAlign w:val="center"/>
          </w:tcPr>
          <w:p w14:paraId="74874ED3" w14:textId="77777777" w:rsidR="004B1F2F" w:rsidRPr="00F82904" w:rsidRDefault="004B1F2F" w:rsidP="00E458FD">
            <w:pPr>
              <w:spacing w:before="60" w:after="60" w:line="320" w:lineRule="exact"/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الإحالة إلى مشروع جدول أعمال المشاورة الافتراضية:</w:t>
            </w:r>
          </w:p>
        </w:tc>
        <w:tc>
          <w:tcPr>
            <w:tcW w:w="7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E7EE1D" w14:textId="3ADEB628" w:rsidR="004B1F2F" w:rsidRPr="00F82904" w:rsidRDefault="00ED65CA" w:rsidP="00E458FD">
            <w:pPr>
              <w:spacing w:before="60" w:after="60" w:line="320" w:lineRule="exact"/>
              <w:rPr>
                <w:b/>
                <w:bCs/>
              </w:rPr>
            </w:pPr>
            <w:hyperlink r:id="rId9" w:history="1">
              <w:bookmarkStart w:id="3" w:name="lt_pId012"/>
              <w:proofErr w:type="gramStart"/>
              <w:r w:rsidR="002E2F32">
                <w:rPr>
                  <w:rStyle w:val="Hyperlink"/>
                  <w:rFonts w:hint="cs"/>
                  <w:b/>
                  <w:bCs/>
                  <w:rtl/>
                </w:rPr>
                <w:t xml:space="preserve">الوثيقة </w:t>
              </w:r>
              <w:r w:rsidR="002E2F32" w:rsidRPr="002E2F32">
                <w:rPr>
                  <w:rStyle w:val="Hyperlink"/>
                  <w:b/>
                  <w:bCs/>
                </w:rPr>
                <w:t xml:space="preserve"> C</w:t>
              </w:r>
              <w:proofErr w:type="gramEnd"/>
              <w:r w:rsidR="002E2F32" w:rsidRPr="002E2F32">
                <w:rPr>
                  <w:rStyle w:val="Hyperlink"/>
                  <w:b/>
                  <w:bCs/>
                </w:rPr>
                <w:t>20/26</w:t>
              </w:r>
              <w:bookmarkEnd w:id="3"/>
            </w:hyperlink>
          </w:p>
        </w:tc>
      </w:tr>
      <w:tr w:rsidR="004B1F2F" w14:paraId="40C78449" w14:textId="77777777" w:rsidTr="009D75DF">
        <w:trPr>
          <w:cantSplit/>
        </w:trPr>
        <w:tc>
          <w:tcPr>
            <w:tcW w:w="100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4D96A3" w14:textId="2B7E5990" w:rsidR="004B1F2F" w:rsidRPr="00064DC2" w:rsidRDefault="004B1F2F" w:rsidP="000C23A7">
            <w:pPr>
              <w:pStyle w:val="Headingb"/>
              <w:spacing w:before="120" w:after="120"/>
              <w:rPr>
                <w:rtl/>
                <w:lang w:bidi="ar-EG"/>
              </w:rPr>
            </w:pPr>
            <w:r w:rsidRPr="00064DC2">
              <w:rPr>
                <w:rFonts w:hint="cs"/>
                <w:rtl/>
              </w:rPr>
              <w:lastRenderedPageBreak/>
              <w:t xml:space="preserve">تعليقات تتعلق بالوثيقة </w:t>
            </w:r>
            <w:r w:rsidRPr="00064DC2">
              <w:t>C20/</w:t>
            </w:r>
            <w:r w:rsidR="002E2F32">
              <w:t>26</w:t>
            </w:r>
          </w:p>
          <w:p w14:paraId="0298CD73" w14:textId="60B9DFE2" w:rsidR="004B1F2F" w:rsidRPr="00064DC2" w:rsidRDefault="002E2F32" w:rsidP="000C23A7">
            <w:pPr>
              <w:pStyle w:val="Headingb"/>
              <w:spacing w:before="120" w:after="120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خلفية</w:t>
            </w:r>
          </w:p>
          <w:p w14:paraId="3B0E6D59" w14:textId="41E61A05" w:rsidR="004B1F2F" w:rsidRPr="004F4225" w:rsidRDefault="00EE1E40" w:rsidP="000C23A7">
            <w:pPr>
              <w:spacing w:after="120"/>
            </w:pPr>
            <w:r w:rsidRPr="004F4225">
              <w:rPr>
                <w:rFonts w:hint="cs"/>
                <w:rtl/>
              </w:rPr>
              <w:t xml:space="preserve">راجع </w:t>
            </w:r>
            <w:r w:rsidRPr="004F4225">
              <w:rPr>
                <w:rtl/>
              </w:rPr>
              <w:t>المجلس</w:t>
            </w:r>
            <w:r w:rsidR="005E0008" w:rsidRPr="004F4225">
              <w:rPr>
                <w:rFonts w:hint="cs"/>
                <w:rtl/>
              </w:rPr>
              <w:t xml:space="preserve"> في دورته لعام </w:t>
            </w:r>
            <w:r w:rsidR="005E0008" w:rsidRPr="004F4225">
              <w:t>2019</w:t>
            </w:r>
            <w:r w:rsidRPr="004F4225">
              <w:rPr>
                <w:rtl/>
              </w:rPr>
              <w:t xml:space="preserve"> قراره 1379 </w:t>
            </w:r>
            <w:r w:rsidRPr="004F4225">
              <w:rPr>
                <w:rFonts w:hint="cs"/>
                <w:rtl/>
              </w:rPr>
              <w:t>الذي ينص على</w:t>
            </w:r>
            <w:r w:rsidRPr="004F4225">
              <w:rPr>
                <w:rtl/>
              </w:rPr>
              <w:t xml:space="preserve"> أن </w:t>
            </w:r>
            <w:r w:rsidRPr="004F4225">
              <w:rPr>
                <w:rFonts w:hint="cs"/>
                <w:rtl/>
              </w:rPr>
              <w:t>يُعقد</w:t>
            </w:r>
            <w:r w:rsidRPr="004F4225">
              <w:rPr>
                <w:rtl/>
              </w:rPr>
              <w:t xml:space="preserve"> </w:t>
            </w:r>
            <w:r w:rsidRPr="004F4225">
              <w:rPr>
                <w:rFonts w:hint="cs"/>
                <w:rtl/>
              </w:rPr>
              <w:t>مجدداً</w:t>
            </w:r>
            <w:r w:rsidRPr="004F4225">
              <w:rPr>
                <w:rtl/>
              </w:rPr>
              <w:t xml:space="preserve"> </w:t>
            </w:r>
            <w:r w:rsidR="006D6B5A" w:rsidRPr="004F4225">
              <w:rPr>
                <w:rFonts w:hint="cs"/>
                <w:rtl/>
              </w:rPr>
              <w:t>اجتماع ل</w:t>
            </w:r>
            <w:r w:rsidRPr="004F4225">
              <w:rPr>
                <w:rtl/>
              </w:rPr>
              <w:t>فريق الخبراء المعني بلوائح الاتصالات الدولي</w:t>
            </w:r>
            <w:r w:rsidRPr="004F4225">
              <w:rPr>
                <w:rFonts w:hint="cs"/>
                <w:rtl/>
              </w:rPr>
              <w:t xml:space="preserve">ة </w:t>
            </w:r>
            <w:r w:rsidRPr="004F4225">
              <w:t>(EG-ITR)</w:t>
            </w:r>
            <w:r w:rsidRPr="004F4225">
              <w:rPr>
                <w:rtl/>
              </w:rPr>
              <w:t xml:space="preserve">، </w:t>
            </w:r>
            <w:r w:rsidR="0091389A" w:rsidRPr="004F4225">
              <w:rPr>
                <w:rFonts w:hint="cs"/>
                <w:rtl/>
              </w:rPr>
              <w:t>يكون</w:t>
            </w:r>
            <w:r w:rsidR="0091389A" w:rsidRPr="004F4225">
              <w:rPr>
                <w:rtl/>
              </w:rPr>
              <w:t xml:space="preserve"> </w:t>
            </w:r>
            <w:r w:rsidRPr="004F4225">
              <w:rPr>
                <w:rtl/>
              </w:rPr>
              <w:t>باب المشاركة فيه</w:t>
            </w:r>
            <w:r w:rsidR="0091389A" w:rsidRPr="004F4225">
              <w:rPr>
                <w:rFonts w:hint="cs"/>
                <w:rtl/>
              </w:rPr>
              <w:t xml:space="preserve"> مفتوحاً</w:t>
            </w:r>
            <w:r w:rsidRPr="004F4225">
              <w:rPr>
                <w:rtl/>
              </w:rPr>
              <w:t xml:space="preserve"> لجميع الدول الأعضاء وأعضاء القطاعات، من أجل إجراء استعراض شامل للوائح الاتصالات الدولية </w:t>
            </w:r>
            <w:r w:rsidRPr="004F4225">
              <w:rPr>
                <w:u w:val="single"/>
                <w:rtl/>
              </w:rPr>
              <w:t>بغية تحقيق توافق في الآراء</w:t>
            </w:r>
            <w:r w:rsidRPr="004F4225">
              <w:rPr>
                <w:rtl/>
              </w:rPr>
              <w:t xml:space="preserve"> بشأن سبيل المضي قدماً فيما يتعلّق بهذه اللوائح، وفقاً للقرار 146 (المراجَع في دبي، 2018) الصادر عن مؤتمر المندوبين المفوضين للاتحاد</w:t>
            </w:r>
            <w:r w:rsidRPr="004F4225">
              <w:t>.</w:t>
            </w:r>
            <w:r w:rsidR="00191446" w:rsidRPr="004F4225">
              <w:rPr>
                <w:rFonts w:hint="cs"/>
                <w:rtl/>
              </w:rPr>
              <w:t xml:space="preserve"> </w:t>
            </w:r>
            <w:r w:rsidR="009A7E09" w:rsidRPr="004F4225">
              <w:rPr>
                <w:rFonts w:hint="cs"/>
                <w:rtl/>
              </w:rPr>
              <w:t>ويرد التقريران المرحليان لاجتماعي</w:t>
            </w:r>
            <w:r w:rsidR="002E2F32" w:rsidRPr="004F4225">
              <w:rPr>
                <w:rFonts w:hint="cs"/>
                <w:rtl/>
                <w:lang w:bidi="ar-SY"/>
              </w:rPr>
              <w:t xml:space="preserve"> </w:t>
            </w:r>
            <w:r w:rsidR="002E2F32" w:rsidRPr="004F4225">
              <w:rPr>
                <w:rtl/>
              </w:rPr>
              <w:t xml:space="preserve">فريق الخبراء المعني بلوائح الاتصالات الدولية </w:t>
            </w:r>
            <w:r w:rsidR="002E2F32" w:rsidRPr="004F4225">
              <w:rPr>
                <w:rFonts w:hint="cs"/>
                <w:rtl/>
                <w:lang w:bidi="ar-EG"/>
              </w:rPr>
              <w:t xml:space="preserve">الأول والثاني </w:t>
            </w:r>
            <w:r w:rsidR="0091389A" w:rsidRPr="004F4225">
              <w:rPr>
                <w:rFonts w:hint="cs"/>
                <w:rtl/>
                <w:lang w:bidi="ar-EG"/>
              </w:rPr>
              <w:t xml:space="preserve">اللذين </w:t>
            </w:r>
            <w:r w:rsidR="009A7E09" w:rsidRPr="004F4225">
              <w:rPr>
                <w:rFonts w:hint="cs"/>
                <w:rtl/>
                <w:lang w:bidi="ar-EG"/>
              </w:rPr>
              <w:t xml:space="preserve">عُقدا </w:t>
            </w:r>
            <w:r w:rsidR="002E2F32" w:rsidRPr="004F4225">
              <w:rPr>
                <w:rFonts w:hint="cs"/>
                <w:rtl/>
              </w:rPr>
              <w:t>في</w:t>
            </w:r>
            <w:r w:rsidR="002E2F32" w:rsidRPr="004F4225">
              <w:rPr>
                <w:rFonts w:hint="eastAsia"/>
                <w:rtl/>
              </w:rPr>
              <w:t> </w:t>
            </w:r>
            <w:r w:rsidR="002E2F32" w:rsidRPr="004F4225">
              <w:rPr>
                <w:rFonts w:hint="cs"/>
              </w:rPr>
              <w:t>1</w:t>
            </w:r>
            <w:r w:rsidR="002E2F32" w:rsidRPr="004F4225">
              <w:t>7</w:t>
            </w:r>
            <w:r w:rsidR="002E2F32" w:rsidRPr="004F4225">
              <w:noBreakHyphen/>
            </w:r>
            <w:r w:rsidR="002E2F32" w:rsidRPr="004F4225">
              <w:rPr>
                <w:rFonts w:hint="cs"/>
              </w:rPr>
              <w:t>1</w:t>
            </w:r>
            <w:r w:rsidR="002E2F32" w:rsidRPr="004F4225">
              <w:t>6</w:t>
            </w:r>
            <w:r w:rsidR="002E2F32" w:rsidRPr="004F4225">
              <w:rPr>
                <w:rFonts w:hint="eastAsia"/>
                <w:rtl/>
                <w:lang w:bidi="ar-SY"/>
              </w:rPr>
              <w:t> </w:t>
            </w:r>
            <w:r w:rsidR="002E2F32" w:rsidRPr="004F4225">
              <w:rPr>
                <w:rFonts w:hint="cs"/>
                <w:rtl/>
                <w:lang w:bidi="ar-SY"/>
              </w:rPr>
              <w:t xml:space="preserve">سبتمبر </w:t>
            </w:r>
            <w:r w:rsidR="002E2F32" w:rsidRPr="004F4225">
              <w:rPr>
                <w:rFonts w:hint="cs"/>
              </w:rPr>
              <w:t>2019</w:t>
            </w:r>
            <w:r w:rsidR="002E2F32" w:rsidRPr="004F4225">
              <w:rPr>
                <w:rFonts w:hint="cs"/>
                <w:rtl/>
                <w:lang w:bidi="ar-SY"/>
              </w:rPr>
              <w:t xml:space="preserve"> و</w:t>
            </w:r>
            <w:r w:rsidR="002E2F32" w:rsidRPr="004F4225">
              <w:rPr>
                <w:rFonts w:hint="cs"/>
              </w:rPr>
              <w:t>12</w:t>
            </w:r>
            <w:r w:rsidR="002E2F32" w:rsidRPr="004F4225">
              <w:rPr>
                <w:rFonts w:hint="cs"/>
                <w:rtl/>
                <w:lang w:bidi="ar-SY"/>
              </w:rPr>
              <w:t>-</w:t>
            </w:r>
            <w:r w:rsidR="002E2F32" w:rsidRPr="004F4225">
              <w:rPr>
                <w:rFonts w:hint="cs"/>
              </w:rPr>
              <w:t>13</w:t>
            </w:r>
            <w:r w:rsidR="002E2F32" w:rsidRPr="004F4225">
              <w:rPr>
                <w:rFonts w:hint="cs"/>
                <w:rtl/>
                <w:lang w:bidi="ar-SY"/>
              </w:rPr>
              <w:t xml:space="preserve"> فبراير </w:t>
            </w:r>
            <w:r w:rsidR="002E2F32" w:rsidRPr="004F4225">
              <w:t>2020</w:t>
            </w:r>
            <w:r w:rsidR="002E2F32" w:rsidRPr="004F4225">
              <w:rPr>
                <w:rFonts w:hint="cs"/>
                <w:rtl/>
                <w:lang w:bidi="ar-SY"/>
              </w:rPr>
              <w:t xml:space="preserve"> </w:t>
            </w:r>
            <w:r w:rsidR="002E2F32" w:rsidRPr="004F4225">
              <w:rPr>
                <w:rFonts w:hint="cs"/>
                <w:rtl/>
                <w:lang w:bidi="ar-EG"/>
              </w:rPr>
              <w:t>على التوالي</w:t>
            </w:r>
            <w:r w:rsidR="009A7E09" w:rsidRPr="004F4225">
              <w:rPr>
                <w:rFonts w:hint="cs"/>
                <w:rtl/>
                <w:lang w:bidi="ar-EG"/>
              </w:rPr>
              <w:t xml:space="preserve"> في الوثيقة </w:t>
            </w:r>
            <w:r w:rsidR="009A7E09" w:rsidRPr="004F4225">
              <w:t>C20/26</w:t>
            </w:r>
            <w:r w:rsidR="009A7E09" w:rsidRPr="004F4225">
              <w:rPr>
                <w:rFonts w:hint="cs"/>
                <w:rtl/>
              </w:rPr>
              <w:t>.</w:t>
            </w:r>
          </w:p>
          <w:p w14:paraId="7D7E50FE" w14:textId="39E6DA0C" w:rsidR="0073118A" w:rsidRPr="004F4225" w:rsidRDefault="0073118A" w:rsidP="000C23A7">
            <w:pPr>
              <w:spacing w:after="120"/>
              <w:rPr>
                <w:lang w:val="fr-FR" w:bidi="ar-EG"/>
              </w:rPr>
            </w:pPr>
            <w:r w:rsidRPr="004F4225">
              <w:rPr>
                <w:rFonts w:hint="cs"/>
                <w:rtl/>
                <w:lang w:bidi="ar"/>
              </w:rPr>
              <w:t>وشاركت الإمارات العربية المتحدة في الاجتماعين، و</w:t>
            </w:r>
            <w:r w:rsidR="00BB2DBF" w:rsidRPr="004F4225">
              <w:rPr>
                <w:rFonts w:hint="cs"/>
                <w:rtl/>
                <w:lang w:bidi="ar"/>
              </w:rPr>
              <w:t>ت</w:t>
            </w:r>
            <w:r w:rsidRPr="004F4225">
              <w:rPr>
                <w:rFonts w:hint="cs"/>
                <w:rtl/>
                <w:lang w:bidi="ar"/>
              </w:rPr>
              <w:t>فحصت التقرير المرحلي</w:t>
            </w:r>
            <w:r w:rsidRPr="004F4225">
              <w:rPr>
                <w:rFonts w:hint="cs"/>
                <w:rtl/>
                <w:lang w:bidi="ar-EG"/>
              </w:rPr>
              <w:t xml:space="preserve"> المقدم من رئيس فريق الخبراء</w:t>
            </w:r>
            <w:r w:rsidR="00925EA3" w:rsidRPr="004F4225">
              <w:rPr>
                <w:rFonts w:hint="cs"/>
                <w:rtl/>
                <w:lang w:bidi="ar-EG"/>
              </w:rPr>
              <w:t xml:space="preserve"> </w:t>
            </w:r>
            <w:r w:rsidR="00191446" w:rsidRPr="004F4225">
              <w:rPr>
                <w:rtl/>
              </w:rPr>
              <w:t xml:space="preserve">المعني بلوائح الاتصالات الدولية </w:t>
            </w:r>
            <w:r w:rsidR="00925EA3" w:rsidRPr="004F4225">
              <w:rPr>
                <w:rFonts w:hint="cs"/>
                <w:rtl/>
                <w:lang w:bidi="ar-EG"/>
              </w:rPr>
              <w:t>فضلاً عن</w:t>
            </w:r>
            <w:r w:rsidRPr="004F4225">
              <w:rPr>
                <w:rFonts w:hint="cs"/>
                <w:rtl/>
                <w:lang w:bidi="ar"/>
              </w:rPr>
              <w:t xml:space="preserve"> نص القرار 1379، وأعربت عن آرائ</w:t>
            </w:r>
            <w:r w:rsidR="00925EA3" w:rsidRPr="004F4225">
              <w:rPr>
                <w:rFonts w:hint="cs"/>
                <w:rtl/>
                <w:lang w:bidi="ar"/>
              </w:rPr>
              <w:t>ه</w:t>
            </w:r>
            <w:r w:rsidRPr="004F4225">
              <w:rPr>
                <w:rFonts w:hint="cs"/>
                <w:rtl/>
                <w:lang w:bidi="ar"/>
              </w:rPr>
              <w:t xml:space="preserve">ا بشأن عمل </w:t>
            </w:r>
            <w:r w:rsidR="00925EA3" w:rsidRPr="004F4225">
              <w:rPr>
                <w:rFonts w:hint="cs"/>
                <w:rtl/>
                <w:lang w:val="fr-FR" w:bidi="ar-EG"/>
              </w:rPr>
              <w:t>فريق الخبراء</w:t>
            </w:r>
            <w:r w:rsidRPr="004F4225">
              <w:rPr>
                <w:rFonts w:hint="cs"/>
                <w:rtl/>
                <w:lang w:bidi="ar"/>
              </w:rPr>
              <w:t xml:space="preserve"> </w:t>
            </w:r>
            <w:r w:rsidR="00191446" w:rsidRPr="004F4225">
              <w:rPr>
                <w:rtl/>
              </w:rPr>
              <w:t xml:space="preserve">المعني بلوائح الاتصالات الدولية </w:t>
            </w:r>
            <w:r w:rsidR="0091389A" w:rsidRPr="004F4225">
              <w:rPr>
                <w:rFonts w:hint="cs"/>
                <w:rtl/>
                <w:lang w:bidi="ar"/>
              </w:rPr>
              <w:t xml:space="preserve">بهدف </w:t>
            </w:r>
            <w:r w:rsidRPr="004F4225">
              <w:rPr>
                <w:rFonts w:hint="cs"/>
                <w:rtl/>
                <w:lang w:bidi="ar"/>
              </w:rPr>
              <w:t>المضي قدما</w:t>
            </w:r>
            <w:r w:rsidR="00925EA3" w:rsidRPr="004F4225">
              <w:rPr>
                <w:rFonts w:hint="cs"/>
                <w:rtl/>
                <w:lang w:bidi="ar"/>
              </w:rPr>
              <w:t>ً</w:t>
            </w:r>
            <w:r w:rsidRPr="004F4225">
              <w:rPr>
                <w:rFonts w:hint="cs"/>
                <w:rtl/>
                <w:lang w:bidi="ar"/>
              </w:rPr>
              <w:t xml:space="preserve"> في العمل.</w:t>
            </w:r>
          </w:p>
          <w:p w14:paraId="0614D5CF" w14:textId="384D2765" w:rsidR="002E2F32" w:rsidRDefault="002E2F32" w:rsidP="000C23A7">
            <w:pPr>
              <w:pStyle w:val="Headingb"/>
              <w:spacing w:before="120" w:after="120"/>
              <w:rPr>
                <w:rtl/>
              </w:rPr>
            </w:pPr>
            <w:r>
              <w:rPr>
                <w:rFonts w:hint="cs"/>
                <w:rtl/>
              </w:rPr>
              <w:t>مناقشة</w:t>
            </w:r>
          </w:p>
          <w:p w14:paraId="29445B36" w14:textId="53B2BD7D" w:rsidR="006B0E79" w:rsidRPr="00ED65CA" w:rsidRDefault="0091389A" w:rsidP="000C23A7">
            <w:pPr>
              <w:spacing w:after="120"/>
              <w:rPr>
                <w:spacing w:val="2"/>
              </w:rPr>
            </w:pPr>
            <w:r w:rsidRPr="00ED65CA">
              <w:rPr>
                <w:rFonts w:hint="cs"/>
                <w:spacing w:val="2"/>
                <w:rtl/>
                <w:lang w:bidi="ar"/>
              </w:rPr>
              <w:t>تعرب</w:t>
            </w:r>
            <w:r w:rsidR="00C305AA" w:rsidRPr="00ED65CA">
              <w:rPr>
                <w:rFonts w:hint="cs"/>
                <w:spacing w:val="2"/>
                <w:rtl/>
                <w:lang w:bidi="ar"/>
              </w:rPr>
              <w:t xml:space="preserve"> الإمارات العربية المتحدة عن </w:t>
            </w:r>
            <w:r w:rsidRPr="00ED65CA">
              <w:rPr>
                <w:rFonts w:hint="cs"/>
                <w:spacing w:val="2"/>
                <w:rtl/>
                <w:lang w:bidi="ar"/>
              </w:rPr>
              <w:t xml:space="preserve">شواغلها </w:t>
            </w:r>
            <w:r w:rsidR="00C305AA" w:rsidRPr="00ED65CA">
              <w:rPr>
                <w:rFonts w:hint="cs"/>
                <w:spacing w:val="2"/>
                <w:rtl/>
                <w:lang w:bidi="ar"/>
              </w:rPr>
              <w:t>بشأن التقدم المحرز في عمل فريق الخبراء</w:t>
            </w:r>
            <w:r w:rsidR="009F4375" w:rsidRPr="00ED65CA">
              <w:rPr>
                <w:rFonts w:hint="cs"/>
                <w:spacing w:val="2"/>
                <w:rtl/>
                <w:lang w:bidi="ar"/>
              </w:rPr>
              <w:t xml:space="preserve"> </w:t>
            </w:r>
            <w:r w:rsidR="009F4375" w:rsidRPr="00ED65CA">
              <w:rPr>
                <w:spacing w:val="2"/>
                <w:rtl/>
              </w:rPr>
              <w:t>المعني بلوائح الاتصالات الدولية</w:t>
            </w:r>
            <w:r w:rsidR="00C305AA" w:rsidRPr="00ED65CA">
              <w:rPr>
                <w:rFonts w:hint="cs"/>
                <w:spacing w:val="2"/>
                <w:rtl/>
                <w:lang w:bidi="ar"/>
              </w:rPr>
              <w:t>.</w:t>
            </w:r>
            <w:r w:rsidR="00231775" w:rsidRPr="00ED65CA">
              <w:rPr>
                <w:spacing w:val="2"/>
                <w:lang w:bidi="ar"/>
              </w:rPr>
              <w:t xml:space="preserve"> </w:t>
            </w:r>
            <w:r w:rsidRPr="00ED65CA">
              <w:rPr>
                <w:rFonts w:hint="cs"/>
                <w:spacing w:val="2"/>
                <w:rtl/>
                <w:lang w:bidi="ar-EG"/>
              </w:rPr>
              <w:t xml:space="preserve">فقد شهد </w:t>
            </w:r>
            <w:r w:rsidR="00C8214C" w:rsidRPr="00ED65CA">
              <w:rPr>
                <w:rFonts w:hint="cs"/>
                <w:spacing w:val="2"/>
                <w:rtl/>
                <w:lang w:bidi="ar-EG"/>
              </w:rPr>
              <w:t>الاجتماعان الإعراب</w:t>
            </w:r>
            <w:r w:rsidR="00231775" w:rsidRPr="00ED65CA">
              <w:rPr>
                <w:rFonts w:hint="cs"/>
                <w:spacing w:val="2"/>
                <w:rtl/>
                <w:lang w:bidi="ar-EG"/>
              </w:rPr>
              <w:t xml:space="preserve"> عن</w:t>
            </w:r>
            <w:r w:rsidR="00231775" w:rsidRPr="00ED65CA">
              <w:rPr>
                <w:rFonts w:hint="cs"/>
                <w:spacing w:val="2"/>
                <w:rtl/>
                <w:lang w:bidi="ar"/>
              </w:rPr>
              <w:t xml:space="preserve"> وجهات نظر متناقضة بالكامل فيما يتعلق بمعياري ال</w:t>
            </w:r>
            <w:r w:rsidR="00BB2DBF" w:rsidRPr="00ED65CA">
              <w:rPr>
                <w:rFonts w:hint="cs"/>
                <w:spacing w:val="2"/>
                <w:rtl/>
                <w:lang w:bidi="ar"/>
              </w:rPr>
              <w:t>ت</w:t>
            </w:r>
            <w:r w:rsidR="00231775" w:rsidRPr="00ED65CA">
              <w:rPr>
                <w:rFonts w:hint="cs"/>
                <w:spacing w:val="2"/>
                <w:rtl/>
                <w:lang w:bidi="ar"/>
              </w:rPr>
              <w:t xml:space="preserve">فحص الموصوفين في </w:t>
            </w:r>
            <w:r w:rsidR="006943BC" w:rsidRPr="00ED65CA">
              <w:rPr>
                <w:rFonts w:hint="cs"/>
                <w:spacing w:val="2"/>
                <w:rtl/>
                <w:lang w:bidi="ar"/>
              </w:rPr>
              <w:t>اختصاصات عمل الفريق</w:t>
            </w:r>
            <w:r w:rsidR="00231775" w:rsidRPr="00ED65CA">
              <w:rPr>
                <w:rFonts w:hint="cs"/>
                <w:spacing w:val="2"/>
                <w:rtl/>
                <w:lang w:bidi="ar"/>
              </w:rPr>
              <w:t>؛</w:t>
            </w:r>
            <w:r w:rsidR="00C8214C" w:rsidRPr="00ED65CA">
              <w:rPr>
                <w:rFonts w:hint="cs"/>
                <w:spacing w:val="2"/>
                <w:rtl/>
                <w:lang w:bidi="ar"/>
              </w:rPr>
              <w:t xml:space="preserve"> </w:t>
            </w:r>
            <w:r w:rsidRPr="00ED65CA">
              <w:rPr>
                <w:rFonts w:hint="cs"/>
                <w:spacing w:val="2"/>
                <w:rtl/>
                <w:lang w:bidi="ar"/>
              </w:rPr>
              <w:t xml:space="preserve">وتحديداً </w:t>
            </w:r>
            <w:r w:rsidR="00C8214C" w:rsidRPr="00ED65CA">
              <w:rPr>
                <w:rFonts w:hint="cs"/>
                <w:spacing w:val="2"/>
                <w:rtl/>
              </w:rPr>
              <w:t xml:space="preserve">إمكانية تطبيق أحكام لوائح الاتصالات الدولية فيما يتعلق بتعزيز إتاحة خدمات وشبكات الاتصالات/تكنولوجيا المعلومات والاتصالات وتطويرها، ومرونة، أو عدم مرونة، أحكام لوائح الاتصالات الدولية لاستيعاب الاتجاهات الجديدة </w:t>
            </w:r>
            <w:r w:rsidR="004A7BC2" w:rsidRPr="00ED65CA">
              <w:rPr>
                <w:rFonts w:hint="cs"/>
                <w:spacing w:val="2"/>
                <w:rtl/>
              </w:rPr>
              <w:t xml:space="preserve">في مجال الاتصالات/تكنولوجيا المعلومات والاتصالات </w:t>
            </w:r>
            <w:r w:rsidR="00C8214C" w:rsidRPr="00ED65CA">
              <w:rPr>
                <w:rFonts w:hint="cs"/>
                <w:spacing w:val="2"/>
                <w:rtl/>
              </w:rPr>
              <w:t>والقضايا الناشئة في البيئة الدولية للاتصالات/تكنولوجيا المعلومات والاتصالات.</w:t>
            </w:r>
            <w:r w:rsidR="006B0E79" w:rsidRPr="00ED65CA">
              <w:rPr>
                <w:rFonts w:hint="cs"/>
                <w:spacing w:val="2"/>
                <w:rtl/>
              </w:rPr>
              <w:t xml:space="preserve"> </w:t>
            </w:r>
            <w:r w:rsidR="006B0E79" w:rsidRPr="00ED65CA">
              <w:rPr>
                <w:rFonts w:hint="cs"/>
                <w:spacing w:val="2"/>
                <w:rtl/>
                <w:lang w:val="fr-FR" w:bidi="ar"/>
              </w:rPr>
              <w:t xml:space="preserve">وتوقعت الإمارات العربية المتحدة مثل هذه الاختلافات في الآراء عندما يتعلق الأمر بالمواقف العامة بشأن لوائح الاتصالات الدولية. ومع </w:t>
            </w:r>
            <w:r w:rsidR="00BB2DBF" w:rsidRPr="00ED65CA">
              <w:rPr>
                <w:rFonts w:hint="cs"/>
                <w:spacing w:val="2"/>
                <w:rtl/>
                <w:lang w:val="fr-FR" w:bidi="ar"/>
              </w:rPr>
              <w:t>ذلك،</w:t>
            </w:r>
            <w:r w:rsidR="006B0E79" w:rsidRPr="00ED65CA">
              <w:rPr>
                <w:rFonts w:hint="cs"/>
                <w:spacing w:val="2"/>
                <w:rtl/>
                <w:lang w:val="fr-FR" w:bidi="ar"/>
              </w:rPr>
              <w:t xml:space="preserve"> فقد نص</w:t>
            </w:r>
            <w:r w:rsidR="00BB2DBF" w:rsidRPr="00ED65CA">
              <w:rPr>
                <w:rFonts w:hint="cs"/>
                <w:spacing w:val="2"/>
                <w:rtl/>
                <w:lang w:val="fr-FR" w:bidi="ar"/>
              </w:rPr>
              <w:t>ّ</w:t>
            </w:r>
            <w:r w:rsidR="006B0E79" w:rsidRPr="00ED65CA">
              <w:rPr>
                <w:rFonts w:hint="cs"/>
                <w:spacing w:val="2"/>
                <w:rtl/>
                <w:lang w:val="fr-FR" w:bidi="ar"/>
              </w:rPr>
              <w:t xml:space="preserve">ت اختصاصات </w:t>
            </w:r>
            <w:r w:rsidR="00BB2DBF" w:rsidRPr="00ED65CA">
              <w:rPr>
                <w:rFonts w:hint="cs"/>
                <w:spacing w:val="2"/>
                <w:rtl/>
                <w:lang w:val="fr-FR" w:bidi="ar-EG"/>
              </w:rPr>
              <w:t>فريق الخبراء</w:t>
            </w:r>
            <w:r w:rsidR="006B0E79" w:rsidRPr="00ED65CA">
              <w:rPr>
                <w:rFonts w:hint="cs"/>
                <w:spacing w:val="2"/>
                <w:rtl/>
                <w:lang w:val="fr-FR" w:bidi="ar"/>
              </w:rPr>
              <w:t xml:space="preserve"> </w:t>
            </w:r>
            <w:r w:rsidR="008808C9" w:rsidRPr="00ED65CA">
              <w:rPr>
                <w:spacing w:val="2"/>
                <w:rtl/>
              </w:rPr>
              <w:t xml:space="preserve">المعني بلوائح الاتصالات الدولية </w:t>
            </w:r>
            <w:r w:rsidR="006B0E79" w:rsidRPr="00ED65CA">
              <w:rPr>
                <w:rFonts w:hint="cs"/>
                <w:spacing w:val="2"/>
                <w:rtl/>
                <w:lang w:val="fr-FR" w:bidi="ar"/>
              </w:rPr>
              <w:t>على أن</w:t>
            </w:r>
            <w:r w:rsidR="00BB2DBF" w:rsidRPr="00ED65CA">
              <w:rPr>
                <w:rFonts w:hint="cs"/>
                <w:spacing w:val="2"/>
                <w:rtl/>
                <w:lang w:val="fr-FR" w:bidi="ar"/>
              </w:rPr>
              <w:t>ه يتعين عل</w:t>
            </w:r>
            <w:r w:rsidR="008808C9" w:rsidRPr="00ED65CA">
              <w:rPr>
                <w:rFonts w:hint="cs"/>
                <w:spacing w:val="2"/>
                <w:rtl/>
                <w:lang w:val="fr-FR" w:bidi="ar"/>
              </w:rPr>
              <w:t>ى الفريق</w:t>
            </w:r>
            <w:r w:rsidR="006B0E79" w:rsidRPr="00ED65CA">
              <w:rPr>
                <w:rFonts w:hint="cs"/>
                <w:spacing w:val="2"/>
                <w:rtl/>
                <w:lang w:val="fr-FR" w:bidi="ar"/>
              </w:rPr>
              <w:t xml:space="preserve"> إجراء </w:t>
            </w:r>
            <w:r w:rsidR="00BB2DBF" w:rsidRPr="00ED65CA">
              <w:rPr>
                <w:rFonts w:hint="cs"/>
                <w:spacing w:val="2"/>
                <w:u w:val="single"/>
                <w:rtl/>
                <w:lang w:val="fr-FR" w:bidi="ar"/>
              </w:rPr>
              <w:t>ت</w:t>
            </w:r>
            <w:r w:rsidR="006B0E79" w:rsidRPr="00ED65CA">
              <w:rPr>
                <w:rFonts w:hint="cs"/>
                <w:spacing w:val="2"/>
                <w:u w:val="single"/>
                <w:rtl/>
                <w:lang w:val="fr-FR" w:bidi="ar"/>
              </w:rPr>
              <w:t xml:space="preserve">فحص </w:t>
            </w:r>
            <w:r w:rsidR="006F7AB7" w:rsidRPr="00ED65CA">
              <w:rPr>
                <w:rFonts w:hint="cs"/>
                <w:spacing w:val="2"/>
                <w:u w:val="single"/>
                <w:rtl/>
                <w:lang w:val="fr-FR" w:bidi="ar"/>
              </w:rPr>
              <w:t>لكل حكم من أحكام</w:t>
            </w:r>
            <w:r w:rsidR="006B0E79" w:rsidRPr="00ED65CA">
              <w:rPr>
                <w:rFonts w:hint="cs"/>
                <w:spacing w:val="2"/>
                <w:rtl/>
                <w:lang w:val="fr-FR" w:bidi="ar"/>
              </w:rPr>
              <w:t xml:space="preserve"> لوائح الاتصالات الدولية. </w:t>
            </w:r>
            <w:r w:rsidR="00947949" w:rsidRPr="00ED65CA">
              <w:rPr>
                <w:rFonts w:hint="cs"/>
                <w:spacing w:val="2"/>
                <w:rtl/>
                <w:lang w:val="fr-FR" w:bidi="ar"/>
              </w:rPr>
              <w:t>و</w:t>
            </w:r>
            <w:r w:rsidR="006B0E79" w:rsidRPr="00ED65CA">
              <w:rPr>
                <w:rFonts w:hint="cs"/>
                <w:spacing w:val="2"/>
                <w:rtl/>
                <w:lang w:val="fr-FR" w:bidi="ar"/>
              </w:rPr>
              <w:t>ت</w:t>
            </w:r>
            <w:r w:rsidR="0095172A" w:rsidRPr="00ED65CA">
              <w:rPr>
                <w:rFonts w:hint="cs"/>
                <w:spacing w:val="2"/>
                <w:rtl/>
                <w:lang w:val="fr-FR" w:bidi="ar"/>
              </w:rPr>
              <w:t>رى</w:t>
            </w:r>
            <w:r w:rsidR="006B0E79" w:rsidRPr="00ED65CA">
              <w:rPr>
                <w:rFonts w:hint="cs"/>
                <w:spacing w:val="2"/>
                <w:rtl/>
                <w:lang w:val="fr-FR" w:bidi="ar"/>
              </w:rPr>
              <w:t xml:space="preserve"> الإمارات العربية المتحدة أن </w:t>
            </w:r>
            <w:r w:rsidR="0095172A" w:rsidRPr="00ED65CA">
              <w:rPr>
                <w:rFonts w:hint="cs"/>
                <w:spacing w:val="2"/>
                <w:rtl/>
                <w:lang w:val="fr-FR" w:bidi="ar"/>
              </w:rPr>
              <w:t>عملية تفحص كل حكم من أحكام لوائح الاتصالات الدولية</w:t>
            </w:r>
            <w:r w:rsidR="006B0E79" w:rsidRPr="00ED65CA">
              <w:rPr>
                <w:rFonts w:hint="cs"/>
                <w:spacing w:val="2"/>
                <w:rtl/>
                <w:lang w:val="fr-FR" w:bidi="ar"/>
              </w:rPr>
              <w:t xml:space="preserve"> ست</w:t>
            </w:r>
            <w:r w:rsidR="0095172A" w:rsidRPr="00ED65CA">
              <w:rPr>
                <w:rFonts w:hint="cs"/>
                <w:spacing w:val="2"/>
                <w:rtl/>
                <w:lang w:val="fr-FR" w:bidi="ar"/>
              </w:rPr>
              <w:t>ُ</w:t>
            </w:r>
            <w:r w:rsidR="006B0E79" w:rsidRPr="00ED65CA">
              <w:rPr>
                <w:rFonts w:hint="cs"/>
                <w:spacing w:val="2"/>
                <w:rtl/>
                <w:lang w:val="fr-FR" w:bidi="ar"/>
              </w:rPr>
              <w:t xml:space="preserve">ضيق الفجوة بين الاختلافات العامة في </w:t>
            </w:r>
            <w:r w:rsidR="0095172A" w:rsidRPr="00ED65CA">
              <w:rPr>
                <w:rFonts w:hint="cs"/>
                <w:spacing w:val="2"/>
                <w:rtl/>
                <w:lang w:val="fr-FR" w:bidi="ar"/>
              </w:rPr>
              <w:t>ال</w:t>
            </w:r>
            <w:r w:rsidR="006B0E79" w:rsidRPr="00ED65CA">
              <w:rPr>
                <w:rFonts w:hint="cs"/>
                <w:spacing w:val="2"/>
                <w:rtl/>
                <w:lang w:val="fr-FR" w:bidi="ar"/>
              </w:rPr>
              <w:t xml:space="preserve">آراء </w:t>
            </w:r>
            <w:r w:rsidR="0095172A" w:rsidRPr="00ED65CA">
              <w:rPr>
                <w:rFonts w:hint="cs"/>
                <w:spacing w:val="2"/>
                <w:rtl/>
                <w:lang w:val="fr-FR" w:bidi="ar"/>
              </w:rPr>
              <w:t>المتعلقة ب</w:t>
            </w:r>
            <w:r w:rsidR="006B0E79" w:rsidRPr="00ED65CA">
              <w:rPr>
                <w:rFonts w:hint="cs"/>
                <w:spacing w:val="2"/>
                <w:rtl/>
                <w:lang w:val="fr-FR" w:bidi="ar"/>
              </w:rPr>
              <w:t xml:space="preserve">لوائح الاتصالات الدولية. ومع </w:t>
            </w:r>
            <w:r w:rsidR="0095172A" w:rsidRPr="00ED65CA">
              <w:rPr>
                <w:rFonts w:hint="cs"/>
                <w:spacing w:val="2"/>
                <w:rtl/>
                <w:lang w:val="fr-FR" w:bidi="ar"/>
              </w:rPr>
              <w:t>ذلك،</w:t>
            </w:r>
            <w:r w:rsidR="006B0E79" w:rsidRPr="00ED65CA">
              <w:rPr>
                <w:rFonts w:hint="cs"/>
                <w:spacing w:val="2"/>
                <w:rtl/>
                <w:lang w:val="fr-FR" w:bidi="ar"/>
              </w:rPr>
              <w:t xml:space="preserve"> </w:t>
            </w:r>
            <w:r w:rsidR="0095172A" w:rsidRPr="00ED65CA">
              <w:rPr>
                <w:rFonts w:hint="cs"/>
                <w:spacing w:val="2"/>
                <w:rtl/>
                <w:lang w:val="fr-FR" w:bidi="ar"/>
              </w:rPr>
              <w:t xml:space="preserve">يساور </w:t>
            </w:r>
            <w:r w:rsidR="006B0E79" w:rsidRPr="00ED65CA">
              <w:rPr>
                <w:rFonts w:hint="cs"/>
                <w:spacing w:val="2"/>
                <w:rtl/>
                <w:lang w:val="fr-FR" w:bidi="ar"/>
              </w:rPr>
              <w:t xml:space="preserve">الإمارات العربية المتحدة القلق إزاء عدم </w:t>
            </w:r>
            <w:r w:rsidR="0095172A" w:rsidRPr="00ED65CA">
              <w:rPr>
                <w:rFonts w:hint="cs"/>
                <w:spacing w:val="2"/>
                <w:rtl/>
                <w:lang w:val="fr-FR" w:bidi="ar"/>
              </w:rPr>
              <w:t>تحقيق</w:t>
            </w:r>
            <w:r w:rsidR="006B0E79" w:rsidRPr="00ED65CA">
              <w:rPr>
                <w:rFonts w:hint="cs"/>
                <w:spacing w:val="2"/>
                <w:rtl/>
                <w:lang w:val="fr-FR" w:bidi="ar"/>
              </w:rPr>
              <w:t xml:space="preserve"> توافق في الآراء</w:t>
            </w:r>
            <w:r w:rsidRPr="00ED65CA">
              <w:rPr>
                <w:rFonts w:hint="cs"/>
                <w:spacing w:val="2"/>
                <w:rtl/>
                <w:lang w:val="fr-FR" w:bidi="ar"/>
              </w:rPr>
              <w:t xml:space="preserve"> حتى الآن</w:t>
            </w:r>
            <w:r w:rsidR="006B0E79" w:rsidRPr="00ED65CA">
              <w:rPr>
                <w:rFonts w:hint="cs"/>
                <w:spacing w:val="2"/>
                <w:rtl/>
                <w:lang w:val="fr-FR" w:bidi="ar"/>
              </w:rPr>
              <w:t xml:space="preserve"> بشأن </w:t>
            </w:r>
            <w:r w:rsidR="0095172A" w:rsidRPr="00ED65CA">
              <w:rPr>
                <w:rFonts w:hint="cs"/>
                <w:spacing w:val="2"/>
                <w:rtl/>
                <w:lang w:val="fr-FR" w:bidi="ar"/>
              </w:rPr>
              <w:t>ت</w:t>
            </w:r>
            <w:r w:rsidR="006B0E79" w:rsidRPr="00ED65CA">
              <w:rPr>
                <w:rFonts w:hint="cs"/>
                <w:spacing w:val="2"/>
                <w:rtl/>
                <w:lang w:val="fr-FR" w:bidi="ar"/>
              </w:rPr>
              <w:t xml:space="preserve">فحص كل حكم </w:t>
            </w:r>
            <w:r w:rsidR="00D3573A" w:rsidRPr="00ED65CA">
              <w:rPr>
                <w:rFonts w:hint="cs"/>
                <w:spacing w:val="2"/>
                <w:rtl/>
                <w:lang w:val="fr-FR" w:bidi="ar"/>
              </w:rPr>
              <w:t>من الأحكام</w:t>
            </w:r>
            <w:r w:rsidR="006B0E79" w:rsidRPr="00ED65CA">
              <w:rPr>
                <w:rFonts w:hint="cs"/>
                <w:spacing w:val="2"/>
                <w:rtl/>
                <w:lang w:val="fr-FR" w:bidi="ar"/>
              </w:rPr>
              <w:t xml:space="preserve"> </w:t>
            </w:r>
            <w:r w:rsidR="00D3573A" w:rsidRPr="00ED65CA">
              <w:rPr>
                <w:rFonts w:hint="cs"/>
                <w:spacing w:val="2"/>
                <w:rtl/>
                <w:lang w:val="fr-FR" w:bidi="ar"/>
              </w:rPr>
              <w:t xml:space="preserve">على النحو </w:t>
            </w:r>
            <w:r w:rsidR="004160AE" w:rsidRPr="00ED65CA">
              <w:rPr>
                <w:rFonts w:hint="cs"/>
                <w:spacing w:val="2"/>
                <w:rtl/>
                <w:lang w:val="fr-FR" w:bidi="ar"/>
              </w:rPr>
              <w:t xml:space="preserve">المبين </w:t>
            </w:r>
            <w:r w:rsidR="006B0E79" w:rsidRPr="00ED65CA">
              <w:rPr>
                <w:rFonts w:hint="cs"/>
                <w:spacing w:val="2"/>
                <w:rtl/>
                <w:lang w:val="fr-FR" w:bidi="ar"/>
              </w:rPr>
              <w:t xml:space="preserve">في جدول </w:t>
            </w:r>
            <w:r w:rsidR="00D3573A" w:rsidRPr="00ED65CA">
              <w:rPr>
                <w:rFonts w:hint="cs"/>
                <w:spacing w:val="2"/>
                <w:rtl/>
                <w:lang w:val="fr-FR" w:bidi="ar"/>
              </w:rPr>
              <w:t>التفحص</w:t>
            </w:r>
            <w:r w:rsidR="006B0E79" w:rsidRPr="00ED65CA">
              <w:rPr>
                <w:rFonts w:hint="cs"/>
                <w:spacing w:val="2"/>
                <w:rtl/>
                <w:lang w:val="fr-FR" w:bidi="ar"/>
              </w:rPr>
              <w:t xml:space="preserve"> المرفق بتقرير الاجتماع الثاني لفريق الخبراء</w:t>
            </w:r>
            <w:r w:rsidR="008808C9" w:rsidRPr="00ED65CA">
              <w:rPr>
                <w:rFonts w:hint="cs"/>
                <w:spacing w:val="2"/>
                <w:rtl/>
                <w:lang w:val="fr-FR" w:bidi="ar"/>
              </w:rPr>
              <w:t xml:space="preserve"> </w:t>
            </w:r>
            <w:r w:rsidR="008808C9" w:rsidRPr="00ED65CA">
              <w:rPr>
                <w:spacing w:val="2"/>
                <w:rtl/>
              </w:rPr>
              <w:t>المعني بلوائح الاتصالات الدولية</w:t>
            </w:r>
            <w:r w:rsidR="006B0E79" w:rsidRPr="00ED65CA">
              <w:rPr>
                <w:rFonts w:hint="cs"/>
                <w:spacing w:val="2"/>
                <w:rtl/>
                <w:lang w:val="fr-FR" w:bidi="ar"/>
              </w:rPr>
              <w:t xml:space="preserve">. </w:t>
            </w:r>
            <w:r w:rsidR="004160AE" w:rsidRPr="00ED65CA">
              <w:rPr>
                <w:rFonts w:hint="cs"/>
                <w:spacing w:val="2"/>
                <w:rtl/>
                <w:lang w:val="fr-FR" w:bidi="ar"/>
              </w:rPr>
              <w:t xml:space="preserve">وتعرب </w:t>
            </w:r>
            <w:r w:rsidR="006B0E79" w:rsidRPr="00ED65CA">
              <w:rPr>
                <w:rFonts w:hint="cs"/>
                <w:spacing w:val="2"/>
                <w:rtl/>
                <w:lang w:val="fr-FR" w:bidi="ar"/>
              </w:rPr>
              <w:t xml:space="preserve">الإمارات العربية المتحدة </w:t>
            </w:r>
            <w:r w:rsidR="00D3573A" w:rsidRPr="00ED65CA">
              <w:rPr>
                <w:rFonts w:hint="cs"/>
                <w:spacing w:val="2"/>
                <w:rtl/>
                <w:lang w:val="fr-FR" w:bidi="ar"/>
              </w:rPr>
              <w:t xml:space="preserve">أيضاً </w:t>
            </w:r>
            <w:r w:rsidR="006B0E79" w:rsidRPr="00ED65CA">
              <w:rPr>
                <w:rFonts w:hint="cs"/>
                <w:spacing w:val="2"/>
                <w:rtl/>
                <w:lang w:val="fr-FR" w:bidi="ar"/>
              </w:rPr>
              <w:t>عن قلقها من أنه إذا استمرت القضايا المذكورة أعلاه، فلن تكون نتائج</w:t>
            </w:r>
            <w:r w:rsidR="00D55762" w:rsidRPr="00ED65CA">
              <w:rPr>
                <w:rFonts w:hint="cs"/>
                <w:spacing w:val="2"/>
                <w:rtl/>
                <w:lang w:val="fr-FR"/>
              </w:rPr>
              <w:t xml:space="preserve"> أعمال</w:t>
            </w:r>
            <w:r w:rsidR="006B0E79" w:rsidRPr="00ED65CA">
              <w:rPr>
                <w:rFonts w:hint="cs"/>
                <w:spacing w:val="2"/>
                <w:rtl/>
                <w:lang w:val="fr-FR" w:bidi="ar"/>
              </w:rPr>
              <w:t xml:space="preserve"> </w:t>
            </w:r>
            <w:r w:rsidR="00D3573A" w:rsidRPr="00ED65CA">
              <w:rPr>
                <w:rFonts w:hint="cs"/>
                <w:spacing w:val="2"/>
                <w:rtl/>
                <w:lang w:val="fr-FR" w:bidi="ar"/>
              </w:rPr>
              <w:t>فريق الخبراء</w:t>
            </w:r>
            <w:r w:rsidR="00154D23" w:rsidRPr="00ED65CA">
              <w:rPr>
                <w:rFonts w:hint="cs"/>
                <w:spacing w:val="2"/>
                <w:rtl/>
                <w:lang w:val="fr-FR" w:bidi="ar"/>
              </w:rPr>
              <w:t xml:space="preserve"> </w:t>
            </w:r>
            <w:r w:rsidR="00154D23" w:rsidRPr="00ED65CA">
              <w:rPr>
                <w:spacing w:val="2"/>
                <w:rtl/>
              </w:rPr>
              <w:t>المعني بلوائح الاتصالات الدولية</w:t>
            </w:r>
            <w:r w:rsidR="006B0E79" w:rsidRPr="00ED65CA">
              <w:rPr>
                <w:rFonts w:hint="cs"/>
                <w:spacing w:val="2"/>
                <w:rtl/>
                <w:lang w:val="fr-FR" w:bidi="ar"/>
              </w:rPr>
              <w:t xml:space="preserve"> </w:t>
            </w:r>
            <w:r w:rsidR="00D3573A" w:rsidRPr="00ED65CA">
              <w:rPr>
                <w:rFonts w:hint="cs"/>
                <w:spacing w:val="2"/>
                <w:rtl/>
                <w:lang w:val="fr-FR" w:bidi="ar"/>
              </w:rPr>
              <w:t>إيجابيةً</w:t>
            </w:r>
            <w:r w:rsidR="006B0E79" w:rsidRPr="00ED65CA">
              <w:rPr>
                <w:rFonts w:hint="cs"/>
                <w:spacing w:val="2"/>
                <w:rtl/>
                <w:lang w:val="fr-FR" w:bidi="ar"/>
              </w:rPr>
              <w:t xml:space="preserve"> كما </w:t>
            </w:r>
            <w:r w:rsidR="00D3573A" w:rsidRPr="00ED65CA">
              <w:rPr>
                <w:rFonts w:hint="cs"/>
                <w:spacing w:val="2"/>
                <w:rtl/>
                <w:lang w:val="fr-FR" w:bidi="ar"/>
              </w:rPr>
              <w:t>ت</w:t>
            </w:r>
            <w:r w:rsidR="006B0E79" w:rsidRPr="00ED65CA">
              <w:rPr>
                <w:rFonts w:hint="cs"/>
                <w:spacing w:val="2"/>
                <w:rtl/>
                <w:lang w:val="fr-FR" w:bidi="ar"/>
              </w:rPr>
              <w:t>أمل.</w:t>
            </w:r>
          </w:p>
          <w:p w14:paraId="1C32D2F5" w14:textId="2DE00461" w:rsidR="004B1F2F" w:rsidRPr="00064DC2" w:rsidRDefault="004B1F2F" w:rsidP="000C23A7">
            <w:pPr>
              <w:pStyle w:val="Headingb"/>
              <w:spacing w:before="120" w:after="120"/>
            </w:pPr>
            <w:r w:rsidRPr="00064DC2">
              <w:rPr>
                <w:rFonts w:hint="cs"/>
                <w:rtl/>
              </w:rPr>
              <w:t>السبيل المقترح للمضي قدماً</w:t>
            </w:r>
          </w:p>
          <w:p w14:paraId="6A39A6F9" w14:textId="49F6C3EC" w:rsidR="004B1F2F" w:rsidRPr="00FE2CC0" w:rsidRDefault="00FE2CC0" w:rsidP="000C23A7">
            <w:pPr>
              <w:spacing w:after="120"/>
              <w:rPr>
                <w:lang w:val="fr-FR"/>
              </w:rPr>
            </w:pPr>
            <w:r w:rsidRPr="00FE2CC0">
              <w:rPr>
                <w:rFonts w:hint="cs"/>
                <w:rtl/>
                <w:lang w:bidi="ar"/>
              </w:rPr>
              <w:t>تحث الإمارات العربية المتحدة جميع الدول الأعضاء وأعضاء القطاع</w:t>
            </w:r>
            <w:r>
              <w:rPr>
                <w:rFonts w:hint="cs"/>
                <w:rtl/>
                <w:lang w:bidi="ar"/>
              </w:rPr>
              <w:t>ات</w:t>
            </w:r>
            <w:r w:rsidRPr="00FE2CC0">
              <w:rPr>
                <w:rFonts w:hint="cs"/>
                <w:rtl/>
                <w:lang w:bidi="ar"/>
              </w:rPr>
              <w:t xml:space="preserve"> </w:t>
            </w:r>
            <w:r>
              <w:rPr>
                <w:rFonts w:hint="cs"/>
                <w:rtl/>
                <w:lang w:bidi="ar"/>
              </w:rPr>
              <w:t>إلى المشاركة في</w:t>
            </w:r>
            <w:r w:rsidRPr="00FE2CC0">
              <w:rPr>
                <w:rFonts w:hint="cs"/>
                <w:rtl/>
                <w:lang w:bidi="ar"/>
              </w:rPr>
              <w:t xml:space="preserve"> المناقشات </w:t>
            </w:r>
            <w:r>
              <w:rPr>
                <w:rFonts w:hint="cs"/>
                <w:rtl/>
                <w:lang w:bidi="ar"/>
              </w:rPr>
              <w:t xml:space="preserve">الجارية في </w:t>
            </w:r>
            <w:r w:rsidR="006273BF">
              <w:rPr>
                <w:rFonts w:hint="cs"/>
                <w:rtl/>
                <w:lang w:bidi="ar"/>
              </w:rPr>
              <w:t>إطار</w:t>
            </w:r>
            <w:r>
              <w:rPr>
                <w:rFonts w:hint="cs"/>
                <w:rtl/>
                <w:lang w:bidi="ar"/>
              </w:rPr>
              <w:t xml:space="preserve"> </w:t>
            </w:r>
            <w:r w:rsidRPr="00FE2CC0">
              <w:rPr>
                <w:rtl/>
                <w:lang w:val="fr-FR"/>
              </w:rPr>
              <w:t>فريق الخبراء المعني بلوائح الاتصالات الدولية</w:t>
            </w:r>
            <w:r w:rsidRPr="00FE2CC0">
              <w:rPr>
                <w:rFonts w:hint="cs"/>
                <w:rtl/>
                <w:lang w:bidi="ar"/>
              </w:rPr>
              <w:t xml:space="preserve"> بهدف </w:t>
            </w:r>
            <w:r w:rsidRPr="00FE2CC0">
              <w:rPr>
                <w:rtl/>
              </w:rPr>
              <w:t>تحقيق توافق في الآراء بشأن سبل المضي قدماً فيما يتعلق ب</w:t>
            </w:r>
            <w:r w:rsidR="006273BF">
              <w:rPr>
                <w:rFonts w:hint="cs"/>
                <w:rtl/>
              </w:rPr>
              <w:t xml:space="preserve">لوائح </w:t>
            </w:r>
            <w:r w:rsidR="006273BF" w:rsidRPr="002E2F32">
              <w:rPr>
                <w:rtl/>
              </w:rPr>
              <w:t>الاتصالات الدولية</w:t>
            </w:r>
            <w:r w:rsidR="006273BF">
              <w:rPr>
                <w:rFonts w:hint="cs"/>
                <w:rtl/>
              </w:rPr>
              <w:t>.</w:t>
            </w:r>
          </w:p>
        </w:tc>
      </w:tr>
    </w:tbl>
    <w:bookmarkEnd w:id="2"/>
    <w:p w14:paraId="1EF84B0E" w14:textId="204D60BE" w:rsidR="00BB7213" w:rsidRDefault="00C16AFD" w:rsidP="00E458FD">
      <w:pPr>
        <w:spacing w:before="600"/>
        <w:jc w:val="center"/>
        <w:rPr>
          <w:lang w:bidi="ar-EG"/>
        </w:rPr>
      </w:pPr>
      <w:r w:rsidRPr="00C16AFD">
        <w:rPr>
          <w:rFonts w:hint="cs"/>
          <w:rtl/>
          <w:lang w:bidi="ar-EG"/>
        </w:rPr>
        <w:t>ـــــــــــــــــــــــــــــــــــــــــــ</w:t>
      </w:r>
      <w:r w:rsidR="002711D0">
        <w:rPr>
          <w:rFonts w:hint="cs"/>
          <w:rtl/>
          <w:lang w:bidi="ar-EG"/>
        </w:rPr>
        <w:t>ـــــــــــــــ</w:t>
      </w:r>
      <w:r w:rsidRPr="00C16AFD">
        <w:rPr>
          <w:rFonts w:hint="cs"/>
          <w:rtl/>
          <w:lang w:bidi="ar-EG"/>
        </w:rPr>
        <w:t>ــــــــــــــــــــــــــــــــــــــــــــ</w:t>
      </w:r>
    </w:p>
    <w:sectPr w:rsidR="00BB7213" w:rsidSect="006C3242">
      <w:headerReference w:type="default" r:id="rId10"/>
      <w:footerReference w:type="defaul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94FDEC" w14:textId="77777777" w:rsidR="002E2F32" w:rsidRDefault="002E2F32" w:rsidP="006C3242">
      <w:pPr>
        <w:spacing w:before="0" w:line="240" w:lineRule="auto"/>
      </w:pPr>
      <w:r>
        <w:separator/>
      </w:r>
    </w:p>
  </w:endnote>
  <w:endnote w:type="continuationSeparator" w:id="0">
    <w:p w14:paraId="18515724" w14:textId="77777777" w:rsidR="002E2F32" w:rsidRDefault="002E2F32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74D06" w14:textId="6B894053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2711D0">
      <w:rPr>
        <w:noProof/>
        <w:sz w:val="16"/>
        <w:szCs w:val="16"/>
        <w:lang w:val="fr-FR"/>
      </w:rPr>
      <w:t>P:\ARA\SG\CONSEIL\VC\000\004A.docx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2711D0">
      <w:rPr>
        <w:sz w:val="16"/>
        <w:szCs w:val="16"/>
        <w:lang w:val="fr-FR"/>
      </w:rPr>
      <w:t>471694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9F0DE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EFF466" w14:textId="77777777" w:rsidR="002E2F32" w:rsidRDefault="002E2F32" w:rsidP="006C3242">
      <w:pPr>
        <w:spacing w:before="0" w:line="240" w:lineRule="auto"/>
      </w:pPr>
      <w:r>
        <w:separator/>
      </w:r>
    </w:p>
  </w:footnote>
  <w:footnote w:type="continuationSeparator" w:id="0">
    <w:p w14:paraId="74389355" w14:textId="77777777" w:rsidR="002E2F32" w:rsidRDefault="002E2F32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0A1DE" w14:textId="47718F68" w:rsidR="00447F32" w:rsidRPr="00447F32" w:rsidRDefault="00ED65CA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</w:r>
        <w:r w:rsidR="004B1F2F">
          <w:rPr>
            <w:rFonts w:cs="Calibri"/>
            <w:noProof/>
            <w:sz w:val="20"/>
            <w:szCs w:val="20"/>
          </w:rPr>
          <w:t>VC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73118A">
          <w:rPr>
            <w:rFonts w:cs="Calibri"/>
            <w:noProof/>
            <w:sz w:val="20"/>
            <w:szCs w:val="20"/>
          </w:rPr>
          <w:t>4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F32"/>
    <w:rsid w:val="00090574"/>
    <w:rsid w:val="000934F1"/>
    <w:rsid w:val="000C1C0E"/>
    <w:rsid w:val="000C23A7"/>
    <w:rsid w:val="000C548A"/>
    <w:rsid w:val="00117120"/>
    <w:rsid w:val="00154D23"/>
    <w:rsid w:val="00191446"/>
    <w:rsid w:val="001C0169"/>
    <w:rsid w:val="001D1D50"/>
    <w:rsid w:val="001D6745"/>
    <w:rsid w:val="001E446E"/>
    <w:rsid w:val="002154EE"/>
    <w:rsid w:val="002276D2"/>
    <w:rsid w:val="00231775"/>
    <w:rsid w:val="0023283D"/>
    <w:rsid w:val="0026373E"/>
    <w:rsid w:val="002711D0"/>
    <w:rsid w:val="00271C43"/>
    <w:rsid w:val="00290728"/>
    <w:rsid w:val="002978F4"/>
    <w:rsid w:val="002B028D"/>
    <w:rsid w:val="002E2F32"/>
    <w:rsid w:val="002E6541"/>
    <w:rsid w:val="002F71D8"/>
    <w:rsid w:val="00325540"/>
    <w:rsid w:val="00334924"/>
    <w:rsid w:val="003409BC"/>
    <w:rsid w:val="00357185"/>
    <w:rsid w:val="00362652"/>
    <w:rsid w:val="00383829"/>
    <w:rsid w:val="003C6B4F"/>
    <w:rsid w:val="003F4B29"/>
    <w:rsid w:val="004160AE"/>
    <w:rsid w:val="0042686F"/>
    <w:rsid w:val="004317D8"/>
    <w:rsid w:val="00434183"/>
    <w:rsid w:val="00442C1C"/>
    <w:rsid w:val="00443869"/>
    <w:rsid w:val="00447F32"/>
    <w:rsid w:val="004A7BC2"/>
    <w:rsid w:val="004B1F2F"/>
    <w:rsid w:val="004E11DC"/>
    <w:rsid w:val="004F4225"/>
    <w:rsid w:val="00513E3E"/>
    <w:rsid w:val="005409AC"/>
    <w:rsid w:val="0055516A"/>
    <w:rsid w:val="005577B2"/>
    <w:rsid w:val="0056406B"/>
    <w:rsid w:val="0058491B"/>
    <w:rsid w:val="00592EA5"/>
    <w:rsid w:val="005A3170"/>
    <w:rsid w:val="005B1652"/>
    <w:rsid w:val="005E0008"/>
    <w:rsid w:val="00614855"/>
    <w:rsid w:val="006273BF"/>
    <w:rsid w:val="00677396"/>
    <w:rsid w:val="0069200F"/>
    <w:rsid w:val="006943BC"/>
    <w:rsid w:val="006A65CB"/>
    <w:rsid w:val="006A793B"/>
    <w:rsid w:val="006B0E79"/>
    <w:rsid w:val="006C3242"/>
    <w:rsid w:val="006C7CC0"/>
    <w:rsid w:val="006D6B5A"/>
    <w:rsid w:val="006F63F7"/>
    <w:rsid w:val="006F7AB7"/>
    <w:rsid w:val="007025C7"/>
    <w:rsid w:val="00706D7A"/>
    <w:rsid w:val="00722F0D"/>
    <w:rsid w:val="0073118A"/>
    <w:rsid w:val="0074420E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808C9"/>
    <w:rsid w:val="008A7F84"/>
    <w:rsid w:val="0091389A"/>
    <w:rsid w:val="0091702E"/>
    <w:rsid w:val="00923B0C"/>
    <w:rsid w:val="00925EA3"/>
    <w:rsid w:val="0094021C"/>
    <w:rsid w:val="00947949"/>
    <w:rsid w:val="0095172A"/>
    <w:rsid w:val="00952F86"/>
    <w:rsid w:val="00982B28"/>
    <w:rsid w:val="00996A27"/>
    <w:rsid w:val="009A7E09"/>
    <w:rsid w:val="009D313F"/>
    <w:rsid w:val="009D75DF"/>
    <w:rsid w:val="009F4375"/>
    <w:rsid w:val="00A16CE6"/>
    <w:rsid w:val="00A47A5A"/>
    <w:rsid w:val="00A6683B"/>
    <w:rsid w:val="00A97F94"/>
    <w:rsid w:val="00B03099"/>
    <w:rsid w:val="00B05BC8"/>
    <w:rsid w:val="00B64B47"/>
    <w:rsid w:val="00BB2DBF"/>
    <w:rsid w:val="00BB7213"/>
    <w:rsid w:val="00C002DE"/>
    <w:rsid w:val="00C16AFD"/>
    <w:rsid w:val="00C305AA"/>
    <w:rsid w:val="00C53BF8"/>
    <w:rsid w:val="00C66157"/>
    <w:rsid w:val="00C674FE"/>
    <w:rsid w:val="00C67501"/>
    <w:rsid w:val="00C75633"/>
    <w:rsid w:val="00C8214C"/>
    <w:rsid w:val="00CE2EE1"/>
    <w:rsid w:val="00CE3349"/>
    <w:rsid w:val="00CE36E5"/>
    <w:rsid w:val="00CF27F5"/>
    <w:rsid w:val="00CF3FFD"/>
    <w:rsid w:val="00D10CCF"/>
    <w:rsid w:val="00D3573A"/>
    <w:rsid w:val="00D55762"/>
    <w:rsid w:val="00D77D0F"/>
    <w:rsid w:val="00DA1CF0"/>
    <w:rsid w:val="00DC1E02"/>
    <w:rsid w:val="00DC24B4"/>
    <w:rsid w:val="00DC5FB0"/>
    <w:rsid w:val="00DF16DC"/>
    <w:rsid w:val="00E45211"/>
    <w:rsid w:val="00E458FD"/>
    <w:rsid w:val="00E473C5"/>
    <w:rsid w:val="00E92863"/>
    <w:rsid w:val="00E94869"/>
    <w:rsid w:val="00EB796D"/>
    <w:rsid w:val="00ED65CA"/>
    <w:rsid w:val="00EE1E40"/>
    <w:rsid w:val="00F058DC"/>
    <w:rsid w:val="00F24FC4"/>
    <w:rsid w:val="00F2676C"/>
    <w:rsid w:val="00F84366"/>
    <w:rsid w:val="00F85089"/>
    <w:rsid w:val="00F974C5"/>
    <w:rsid w:val="00FA6F46"/>
    <w:rsid w:val="00FE2CC0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57A8BBA"/>
  <w15:chartTrackingRefBased/>
  <w15:docId w15:val="{C1DB86B0-699A-4125-8B68-5222F087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paragraph" w:customStyle="1" w:styleId="Headingb0">
    <w:name w:val="Heading_b"/>
    <w:basedOn w:val="Normal"/>
    <w:next w:val="Normal"/>
    <w:rsid w:val="004B1F2F"/>
    <w:pPr>
      <w:keepNext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80" w:lineRule="exact"/>
      <w:ind w:left="794" w:hanging="794"/>
      <w:textAlignment w:val="baseline"/>
    </w:pPr>
    <w:rPr>
      <w:rFonts w:ascii="Calibri" w:eastAsia="MS Mincho" w:hAnsi="Calibri" w:cs="Calibri"/>
      <w:b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F32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31775"/>
    <w:pPr>
      <w:spacing w:before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31775"/>
    <w:rPr>
      <w:rFonts w:ascii="Consolas" w:hAnsi="Consolas" w:cs="Duba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0-CL-C-0026/en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8A500-6179-4C31-A99E-C6635E3F6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Elbahnassawy, Ganat</dc:creator>
  <cp:keywords/>
  <dc:description/>
  <cp:lastModifiedBy>Arabic</cp:lastModifiedBy>
  <cp:revision>12</cp:revision>
  <dcterms:created xsi:type="dcterms:W3CDTF">2020-06-03T13:59:00Z</dcterms:created>
  <dcterms:modified xsi:type="dcterms:W3CDTF">2020-06-03T14:39:00Z</dcterms:modified>
</cp:coreProperties>
</file>