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BE7EDA" w:rsidRPr="00813E5E" w14:paraId="358CEE5E" w14:textId="77777777" w:rsidTr="00BE7EDA">
        <w:trPr>
          <w:cantSplit/>
          <w:trHeight w:val="1341"/>
        </w:trPr>
        <w:tc>
          <w:tcPr>
            <w:tcW w:w="6911" w:type="dxa"/>
          </w:tcPr>
          <w:p w14:paraId="786FEF68" w14:textId="77777777" w:rsidR="00BE7EDA" w:rsidRPr="0042318E" w:rsidRDefault="00BE7EDA" w:rsidP="002B1F1E">
            <w:pPr>
              <w:spacing w:before="360" w:after="48" w:line="240" w:lineRule="atLeast"/>
              <w:jc w:val="left"/>
              <w:rPr>
                <w:b/>
                <w:bCs/>
                <w:position w:val="6"/>
                <w:sz w:val="26"/>
                <w:szCs w:val="26"/>
                <w:lang w:val="en-GB"/>
              </w:rPr>
            </w:pPr>
            <w:r w:rsidRPr="0042318E">
              <w:rPr>
                <w:b/>
                <w:bCs/>
                <w:position w:val="6"/>
                <w:sz w:val="26"/>
                <w:szCs w:val="26"/>
                <w:lang w:val="en-GB"/>
              </w:rPr>
              <w:t xml:space="preserve">Virtual </w:t>
            </w:r>
            <w:r>
              <w:rPr>
                <w:b/>
                <w:bCs/>
                <w:position w:val="6"/>
                <w:sz w:val="26"/>
                <w:szCs w:val="26"/>
                <w:lang w:val="en-GB"/>
              </w:rPr>
              <w:t xml:space="preserve">consultation of councillors </w:t>
            </w:r>
            <w:r w:rsidRPr="0042318E">
              <w:rPr>
                <w:b/>
                <w:bCs/>
                <w:position w:val="6"/>
                <w:sz w:val="26"/>
                <w:szCs w:val="26"/>
                <w:lang w:val="en-GB"/>
              </w:rPr>
              <w:br/>
              <w:t>starting 9 June 2020</w:t>
            </w:r>
          </w:p>
        </w:tc>
        <w:tc>
          <w:tcPr>
            <w:tcW w:w="3120" w:type="dxa"/>
            <w:vAlign w:val="center"/>
          </w:tcPr>
          <w:p w14:paraId="79405F17" w14:textId="77777777" w:rsidR="00BE7EDA" w:rsidRPr="00813E5E" w:rsidRDefault="00BE7EDA" w:rsidP="002B1F1E">
            <w:pPr>
              <w:spacing w:before="0" w:line="240" w:lineRule="atLeast"/>
            </w:pPr>
            <w:bookmarkStart w:id="0" w:name="ditulogo"/>
            <w:bookmarkEnd w:id="0"/>
            <w:r>
              <w:rPr>
                <w:noProof/>
              </w:rPr>
              <w:drawing>
                <wp:inline distT="0" distB="0" distL="0" distR="0" wp14:anchorId="6DB5924E" wp14:editId="69BAB5D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E7EDA" w:rsidRPr="00813E5E" w14:paraId="4C4B15F8" w14:textId="77777777" w:rsidTr="002B1F1E">
        <w:trPr>
          <w:cantSplit/>
        </w:trPr>
        <w:tc>
          <w:tcPr>
            <w:tcW w:w="6911" w:type="dxa"/>
            <w:tcBorders>
              <w:bottom w:val="single" w:sz="12" w:space="0" w:color="auto"/>
            </w:tcBorders>
          </w:tcPr>
          <w:p w14:paraId="7AA14D1C" w14:textId="77777777" w:rsidR="00BE7EDA" w:rsidRPr="00813E5E" w:rsidRDefault="00BE7EDA" w:rsidP="002B1F1E">
            <w:pPr>
              <w:spacing w:before="0" w:after="48" w:line="240" w:lineRule="atLeast"/>
              <w:rPr>
                <w:b/>
                <w:smallCaps/>
                <w:szCs w:val="24"/>
              </w:rPr>
            </w:pPr>
          </w:p>
        </w:tc>
        <w:tc>
          <w:tcPr>
            <w:tcW w:w="3120" w:type="dxa"/>
            <w:tcBorders>
              <w:bottom w:val="single" w:sz="12" w:space="0" w:color="auto"/>
            </w:tcBorders>
          </w:tcPr>
          <w:p w14:paraId="19181785" w14:textId="77777777" w:rsidR="00BE7EDA" w:rsidRPr="00813E5E" w:rsidRDefault="00BE7EDA" w:rsidP="002B1F1E">
            <w:pPr>
              <w:spacing w:before="0" w:line="240" w:lineRule="atLeast"/>
              <w:rPr>
                <w:szCs w:val="24"/>
              </w:rPr>
            </w:pPr>
          </w:p>
        </w:tc>
      </w:tr>
      <w:tr w:rsidR="00BE7EDA" w:rsidRPr="00813E5E" w14:paraId="1C9D07C6" w14:textId="77777777" w:rsidTr="002B1F1E">
        <w:trPr>
          <w:cantSplit/>
        </w:trPr>
        <w:tc>
          <w:tcPr>
            <w:tcW w:w="6911" w:type="dxa"/>
            <w:tcBorders>
              <w:top w:val="single" w:sz="12" w:space="0" w:color="auto"/>
            </w:tcBorders>
          </w:tcPr>
          <w:p w14:paraId="77969DF6" w14:textId="77777777" w:rsidR="00BE7EDA" w:rsidRPr="00813E5E" w:rsidRDefault="00BE7EDA" w:rsidP="002B1F1E">
            <w:pPr>
              <w:spacing w:before="0" w:after="48" w:line="240" w:lineRule="atLeast"/>
              <w:rPr>
                <w:b/>
                <w:smallCaps/>
                <w:szCs w:val="24"/>
              </w:rPr>
            </w:pPr>
          </w:p>
        </w:tc>
        <w:tc>
          <w:tcPr>
            <w:tcW w:w="3120" w:type="dxa"/>
            <w:tcBorders>
              <w:top w:val="single" w:sz="12" w:space="0" w:color="auto"/>
            </w:tcBorders>
          </w:tcPr>
          <w:p w14:paraId="00BA1ABC" w14:textId="58B2C4A1" w:rsidR="004E19F9" w:rsidRPr="008A1838" w:rsidRDefault="004E19F9" w:rsidP="004E19F9">
            <w:pPr>
              <w:spacing w:before="240" w:line="240" w:lineRule="atLeast"/>
              <w:rPr>
                <w:b/>
                <w:bCs/>
                <w:sz w:val="24"/>
                <w:szCs w:val="24"/>
              </w:rPr>
            </w:pPr>
            <w:r w:rsidRPr="008A1838">
              <w:rPr>
                <w:b/>
                <w:bCs/>
                <w:sz w:val="24"/>
                <w:szCs w:val="24"/>
              </w:rPr>
              <w:t>Document VC\3-E</w:t>
            </w:r>
          </w:p>
          <w:p w14:paraId="7EA05477" w14:textId="29EAB853" w:rsidR="004E19F9" w:rsidRPr="008A1838" w:rsidRDefault="004E19F9" w:rsidP="004E19F9">
            <w:pPr>
              <w:spacing w:before="0" w:line="240" w:lineRule="atLeast"/>
              <w:rPr>
                <w:b/>
                <w:bCs/>
                <w:sz w:val="24"/>
                <w:szCs w:val="24"/>
              </w:rPr>
            </w:pPr>
            <w:r w:rsidRPr="008A1838">
              <w:rPr>
                <w:b/>
                <w:bCs/>
                <w:sz w:val="24"/>
                <w:szCs w:val="24"/>
              </w:rPr>
              <w:t>2</w:t>
            </w:r>
            <w:r w:rsidR="00E11010" w:rsidRPr="008A1838">
              <w:rPr>
                <w:b/>
                <w:bCs/>
                <w:sz w:val="24"/>
                <w:szCs w:val="24"/>
              </w:rPr>
              <w:t>8</w:t>
            </w:r>
            <w:r w:rsidRPr="008A1838">
              <w:rPr>
                <w:b/>
                <w:bCs/>
                <w:sz w:val="24"/>
                <w:szCs w:val="24"/>
              </w:rPr>
              <w:t xml:space="preserve"> May 2020</w:t>
            </w:r>
          </w:p>
          <w:p w14:paraId="6836E285" w14:textId="67D565F2" w:rsidR="00BE7EDA" w:rsidRPr="008A1838" w:rsidRDefault="004E19F9" w:rsidP="004E19F9">
            <w:pPr>
              <w:spacing w:before="0" w:after="120" w:line="240" w:lineRule="atLeast"/>
              <w:rPr>
                <w:sz w:val="24"/>
                <w:szCs w:val="24"/>
              </w:rPr>
            </w:pPr>
            <w:r w:rsidRPr="008A1838">
              <w:rPr>
                <w:b/>
                <w:bCs/>
                <w:sz w:val="24"/>
                <w:szCs w:val="24"/>
              </w:rPr>
              <w:t>Original English</w:t>
            </w:r>
          </w:p>
        </w:tc>
      </w:tr>
    </w:tbl>
    <w:p w14:paraId="61E54B64" w14:textId="77777777" w:rsidR="00BE7EDA" w:rsidRPr="00E5320B" w:rsidRDefault="00BE7EDA" w:rsidP="00BE7EDA">
      <w:pPr>
        <w:spacing w:before="0"/>
        <w:rPr>
          <w:b/>
          <w:bCs/>
          <w:sz w:val="28"/>
        </w:rPr>
      </w:pPr>
      <w:bookmarkStart w:id="1" w:name="dorlang" w:colFirst="1" w:colLast="1"/>
    </w:p>
    <w:tbl>
      <w:tblPr>
        <w:tblW w:w="10093" w:type="dxa"/>
        <w:tblLayout w:type="fixed"/>
        <w:tblLook w:val="0000" w:firstRow="0" w:lastRow="0" w:firstColumn="0" w:lastColumn="0" w:noHBand="0" w:noVBand="0"/>
      </w:tblPr>
      <w:tblGrid>
        <w:gridCol w:w="2835"/>
        <w:gridCol w:w="7258"/>
      </w:tblGrid>
      <w:tr w:rsidR="00BE7EDA" w:rsidRPr="00813E5E" w14:paraId="6865E711" w14:textId="77777777" w:rsidTr="004E19F9">
        <w:trPr>
          <w:cantSplit/>
        </w:trPr>
        <w:tc>
          <w:tcPr>
            <w:tcW w:w="2835" w:type="dxa"/>
            <w:tcBorders>
              <w:right w:val="single" w:sz="12" w:space="0" w:color="auto"/>
            </w:tcBorders>
            <w:vAlign w:val="center"/>
          </w:tcPr>
          <w:p w14:paraId="348A2C2C" w14:textId="77777777" w:rsidR="00BE7EDA" w:rsidRPr="00B478DC" w:rsidRDefault="00BE7EDA" w:rsidP="002B1F1E">
            <w:pPr>
              <w:spacing w:before="0"/>
              <w:jc w:val="left"/>
              <w:rPr>
                <w:b/>
                <w:bCs/>
              </w:rPr>
            </w:pPr>
            <w:bookmarkStart w:id="2" w:name="dsource" w:colFirst="0" w:colLast="0"/>
            <w:bookmarkEnd w:id="1"/>
            <w:r w:rsidRPr="00B478DC">
              <w:rPr>
                <w:b/>
                <w:bCs/>
              </w:rPr>
              <w:t>Name of the submitting Member State</w:t>
            </w:r>
            <w:r>
              <w:rPr>
                <w:b/>
                <w:bCs/>
              </w:rPr>
              <w:t>(s)</w:t>
            </w:r>
            <w:r w:rsidRPr="00B478DC">
              <w:rPr>
                <w:b/>
                <w:bCs/>
              </w:rPr>
              <w:t>:</w:t>
            </w:r>
          </w:p>
        </w:tc>
        <w:tc>
          <w:tcPr>
            <w:tcW w:w="7258" w:type="dxa"/>
            <w:tcBorders>
              <w:top w:val="single" w:sz="12" w:space="0" w:color="auto"/>
              <w:left w:val="single" w:sz="12" w:space="0" w:color="auto"/>
              <w:bottom w:val="single" w:sz="12" w:space="0" w:color="auto"/>
              <w:right w:val="single" w:sz="12" w:space="0" w:color="auto"/>
            </w:tcBorders>
            <w:vAlign w:val="center"/>
          </w:tcPr>
          <w:p w14:paraId="33CD5C97" w14:textId="77777777" w:rsidR="00BE7EDA" w:rsidRPr="004E19F9" w:rsidRDefault="00BE7EDA" w:rsidP="002B1F1E">
            <w:pPr>
              <w:spacing w:before="0"/>
              <w:rPr>
                <w:b/>
                <w:bCs/>
              </w:rPr>
            </w:pPr>
            <w:r w:rsidRPr="004E19F9">
              <w:rPr>
                <w:b/>
                <w:bCs/>
                <w:sz w:val="24"/>
                <w:szCs w:val="24"/>
              </w:rPr>
              <w:t xml:space="preserve">United Arab Emirates </w:t>
            </w:r>
          </w:p>
        </w:tc>
      </w:tr>
      <w:tr w:rsidR="00BE7EDA" w:rsidRPr="00323DAC" w14:paraId="09995E18" w14:textId="77777777" w:rsidTr="004E19F9">
        <w:trPr>
          <w:cantSplit/>
        </w:trPr>
        <w:tc>
          <w:tcPr>
            <w:tcW w:w="2835" w:type="dxa"/>
          </w:tcPr>
          <w:p w14:paraId="285E6BB1" w14:textId="77777777" w:rsidR="00BE7EDA" w:rsidRPr="00323DAC" w:rsidRDefault="00BE7EDA" w:rsidP="002B1F1E">
            <w:pPr>
              <w:spacing w:before="0" w:line="240" w:lineRule="auto"/>
              <w:rPr>
                <w:sz w:val="16"/>
                <w:szCs w:val="16"/>
              </w:rPr>
            </w:pPr>
          </w:p>
        </w:tc>
        <w:tc>
          <w:tcPr>
            <w:tcW w:w="7258" w:type="dxa"/>
            <w:tcBorders>
              <w:top w:val="single" w:sz="12" w:space="0" w:color="auto"/>
              <w:bottom w:val="single" w:sz="12" w:space="0" w:color="auto"/>
            </w:tcBorders>
          </w:tcPr>
          <w:p w14:paraId="49562A16" w14:textId="77777777" w:rsidR="00BE7EDA" w:rsidRPr="00323DAC" w:rsidRDefault="00BE7EDA" w:rsidP="002B1F1E">
            <w:pPr>
              <w:spacing w:before="0" w:line="240" w:lineRule="auto"/>
              <w:rPr>
                <w:sz w:val="16"/>
                <w:szCs w:val="16"/>
              </w:rPr>
            </w:pPr>
          </w:p>
        </w:tc>
      </w:tr>
      <w:tr w:rsidR="00BE7EDA" w:rsidRPr="00813E5E" w14:paraId="4318F067" w14:textId="77777777" w:rsidTr="004E19F9">
        <w:trPr>
          <w:cantSplit/>
        </w:trPr>
        <w:tc>
          <w:tcPr>
            <w:tcW w:w="2835" w:type="dxa"/>
            <w:tcBorders>
              <w:right w:val="single" w:sz="12" w:space="0" w:color="auto"/>
            </w:tcBorders>
          </w:tcPr>
          <w:p w14:paraId="5BBB78DD" w14:textId="77777777" w:rsidR="00BE7EDA" w:rsidRPr="00B478DC" w:rsidRDefault="00BE7EDA" w:rsidP="002B1F1E">
            <w:pPr>
              <w:spacing w:after="120"/>
              <w:rPr>
                <w:b/>
                <w:bCs/>
              </w:rPr>
            </w:pPr>
            <w:r w:rsidRPr="00B478DC">
              <w:rPr>
                <w:b/>
                <w:bCs/>
              </w:rPr>
              <w:t>Document title:</w:t>
            </w:r>
          </w:p>
        </w:tc>
        <w:tc>
          <w:tcPr>
            <w:tcW w:w="7258" w:type="dxa"/>
            <w:tcBorders>
              <w:top w:val="single" w:sz="12" w:space="0" w:color="auto"/>
              <w:left w:val="single" w:sz="12" w:space="0" w:color="auto"/>
              <w:bottom w:val="single" w:sz="12" w:space="0" w:color="auto"/>
              <w:right w:val="single" w:sz="12" w:space="0" w:color="auto"/>
            </w:tcBorders>
          </w:tcPr>
          <w:p w14:paraId="42188E53" w14:textId="77777777" w:rsidR="00BE7EDA" w:rsidRPr="004E19F9" w:rsidRDefault="00BE7EDA" w:rsidP="002B1F1E">
            <w:pPr>
              <w:spacing w:after="120"/>
              <w:rPr>
                <w:b/>
                <w:bCs/>
                <w:sz w:val="24"/>
                <w:szCs w:val="24"/>
              </w:rPr>
            </w:pPr>
            <w:r w:rsidRPr="004E19F9">
              <w:rPr>
                <w:b/>
                <w:bCs/>
                <w:sz w:val="24"/>
                <w:szCs w:val="24"/>
              </w:rPr>
              <w:t>IDI contribution to ITU Council-2020</w:t>
            </w:r>
          </w:p>
        </w:tc>
      </w:tr>
      <w:tr w:rsidR="00BE7EDA" w:rsidRPr="00E5320B" w14:paraId="6D4AA7F7" w14:textId="77777777" w:rsidTr="004E19F9">
        <w:trPr>
          <w:cantSplit/>
          <w:trHeight w:val="269"/>
        </w:trPr>
        <w:tc>
          <w:tcPr>
            <w:tcW w:w="2835" w:type="dxa"/>
          </w:tcPr>
          <w:p w14:paraId="2ECB68A0" w14:textId="77777777" w:rsidR="00BE7EDA" w:rsidRPr="00E5320B" w:rsidRDefault="00BE7EDA" w:rsidP="002B1F1E">
            <w:pPr>
              <w:spacing w:before="0" w:line="240" w:lineRule="auto"/>
              <w:rPr>
                <w:sz w:val="16"/>
                <w:szCs w:val="16"/>
              </w:rPr>
            </w:pPr>
          </w:p>
        </w:tc>
        <w:tc>
          <w:tcPr>
            <w:tcW w:w="7258" w:type="dxa"/>
            <w:tcBorders>
              <w:top w:val="single" w:sz="12" w:space="0" w:color="auto"/>
              <w:bottom w:val="single" w:sz="2" w:space="0" w:color="auto"/>
            </w:tcBorders>
          </w:tcPr>
          <w:p w14:paraId="4C79875C" w14:textId="77777777" w:rsidR="00BE7EDA" w:rsidRPr="00847A6F" w:rsidRDefault="00BE7EDA" w:rsidP="002B1F1E">
            <w:pPr>
              <w:spacing w:before="0" w:line="240" w:lineRule="auto"/>
              <w:rPr>
                <w:sz w:val="16"/>
                <w:szCs w:val="16"/>
              </w:rPr>
            </w:pPr>
          </w:p>
        </w:tc>
      </w:tr>
      <w:tr w:rsidR="00BE7EDA" w:rsidRPr="0013422B" w14:paraId="00FB699F" w14:textId="77777777" w:rsidTr="004E19F9">
        <w:trPr>
          <w:cantSplit/>
          <w:trHeight w:val="668"/>
        </w:trPr>
        <w:tc>
          <w:tcPr>
            <w:tcW w:w="2835" w:type="dxa"/>
            <w:tcBorders>
              <w:right w:val="single" w:sz="2" w:space="0" w:color="auto"/>
            </w:tcBorders>
            <w:vAlign w:val="center"/>
          </w:tcPr>
          <w:p w14:paraId="641A9CE0" w14:textId="77777777" w:rsidR="00BE7EDA" w:rsidRDefault="00BE7EDA" w:rsidP="002B1F1E">
            <w:pPr>
              <w:spacing w:before="0"/>
              <w:jc w:val="left"/>
              <w:rPr>
                <w:b/>
                <w:bCs/>
              </w:rPr>
            </w:pPr>
            <w:r>
              <w:rPr>
                <w:b/>
                <w:bCs/>
              </w:rPr>
              <w:t>Ref. to draft agenda of the virtual consultation:</w:t>
            </w:r>
          </w:p>
        </w:tc>
        <w:tc>
          <w:tcPr>
            <w:tcW w:w="7258" w:type="dxa"/>
            <w:tcBorders>
              <w:top w:val="single" w:sz="2" w:space="0" w:color="auto"/>
              <w:left w:val="single" w:sz="2" w:space="0" w:color="auto"/>
              <w:bottom w:val="single" w:sz="2" w:space="0" w:color="auto"/>
              <w:right w:val="single" w:sz="2" w:space="0" w:color="auto"/>
            </w:tcBorders>
            <w:vAlign w:val="center"/>
          </w:tcPr>
          <w:p w14:paraId="6C0117D0" w14:textId="4B55688D" w:rsidR="00BE7EDA" w:rsidRPr="004E19F9" w:rsidRDefault="00171DC5" w:rsidP="002B1F1E">
            <w:pPr>
              <w:spacing w:before="240" w:after="120"/>
              <w:rPr>
                <w:b/>
                <w:bCs/>
                <w:sz w:val="24"/>
                <w:szCs w:val="24"/>
              </w:rPr>
            </w:pPr>
            <w:hyperlink r:id="rId8" w:history="1">
              <w:r w:rsidR="00BE7EDA" w:rsidRPr="008A1838">
                <w:rPr>
                  <w:rStyle w:val="Hyperlink"/>
                  <w:b/>
                  <w:bCs/>
                  <w:sz w:val="24"/>
                  <w:szCs w:val="24"/>
                </w:rPr>
                <w:t>Document C20/62</w:t>
              </w:r>
            </w:hyperlink>
          </w:p>
        </w:tc>
      </w:tr>
      <w:tr w:rsidR="00BE7EDA" w:rsidRPr="00E5320B" w14:paraId="7982FDCB" w14:textId="77777777" w:rsidTr="004E19F9">
        <w:trPr>
          <w:cantSplit/>
          <w:trHeight w:val="156"/>
        </w:trPr>
        <w:tc>
          <w:tcPr>
            <w:tcW w:w="2835" w:type="dxa"/>
          </w:tcPr>
          <w:p w14:paraId="480FB155" w14:textId="77777777" w:rsidR="00BE7EDA" w:rsidRPr="00E5320B" w:rsidRDefault="00BE7EDA" w:rsidP="002B1F1E">
            <w:pPr>
              <w:spacing w:before="0" w:line="240" w:lineRule="auto"/>
              <w:rPr>
                <w:sz w:val="16"/>
                <w:szCs w:val="16"/>
              </w:rPr>
            </w:pPr>
          </w:p>
        </w:tc>
        <w:tc>
          <w:tcPr>
            <w:tcW w:w="7258" w:type="dxa"/>
            <w:tcBorders>
              <w:top w:val="single" w:sz="12" w:space="0" w:color="auto"/>
              <w:bottom w:val="single" w:sz="2" w:space="0" w:color="auto"/>
            </w:tcBorders>
          </w:tcPr>
          <w:p w14:paraId="1D12E90B" w14:textId="77777777" w:rsidR="00BE7EDA" w:rsidRPr="00847A6F" w:rsidRDefault="00BE7EDA" w:rsidP="002B1F1E">
            <w:pPr>
              <w:spacing w:before="0" w:line="240" w:lineRule="auto"/>
              <w:rPr>
                <w:sz w:val="16"/>
                <w:szCs w:val="16"/>
              </w:rPr>
            </w:pPr>
          </w:p>
        </w:tc>
      </w:tr>
      <w:tr w:rsidR="00BE7EDA" w:rsidRPr="00813E5E" w14:paraId="546ABBF4" w14:textId="77777777" w:rsidTr="004E19F9">
        <w:tc>
          <w:tcPr>
            <w:tcW w:w="10093" w:type="dxa"/>
            <w:gridSpan w:val="2"/>
            <w:tcBorders>
              <w:top w:val="single" w:sz="12" w:space="0" w:color="auto"/>
              <w:left w:val="single" w:sz="12" w:space="0" w:color="auto"/>
              <w:bottom w:val="single" w:sz="12" w:space="0" w:color="auto"/>
              <w:right w:val="single" w:sz="12" w:space="0" w:color="auto"/>
            </w:tcBorders>
          </w:tcPr>
          <w:p w14:paraId="4C5AF5F0" w14:textId="0A4AA416" w:rsidR="00BE7EDA" w:rsidRPr="00813E5E" w:rsidRDefault="00BE7EDA" w:rsidP="004E19F9">
            <w:pPr>
              <w:pStyle w:val="Headingb"/>
              <w:keepNext w:val="0"/>
              <w:spacing w:before="120" w:after="120"/>
            </w:pPr>
            <w:r>
              <w:t>Comments relating to Document C20/62</w:t>
            </w:r>
          </w:p>
          <w:p w14:paraId="5899CA02" w14:textId="77777777" w:rsidR="00BE7EDA" w:rsidRPr="00BE7EDA" w:rsidRDefault="00BE7EDA" w:rsidP="004E19F9">
            <w:pPr>
              <w:rPr>
                <w:b/>
                <w:bCs/>
              </w:rPr>
            </w:pPr>
            <w:r w:rsidRPr="00BE7EDA">
              <w:rPr>
                <w:b/>
                <w:bCs/>
              </w:rPr>
              <w:t>Background</w:t>
            </w:r>
          </w:p>
          <w:p w14:paraId="1EE7960E" w14:textId="6DFE62ED" w:rsidR="00BE7EDA" w:rsidRPr="00EC7659" w:rsidRDefault="00BE7EDA" w:rsidP="004E19F9">
            <w:pPr>
              <w:pStyle w:val="ListParagraph"/>
              <w:numPr>
                <w:ilvl w:val="0"/>
                <w:numId w:val="1"/>
              </w:numPr>
              <w:ind w:left="540"/>
              <w:jc w:val="both"/>
              <w:rPr>
                <w:lang w:val="en-US"/>
              </w:rPr>
            </w:pPr>
            <w:r>
              <w:t>T</w:t>
            </w:r>
            <w:r w:rsidRPr="00B06AF2">
              <w:t xml:space="preserve">he ICT Development Index (IDI) ranks countries’ performance with regard to ICT infrastructure, </w:t>
            </w:r>
            <w:r>
              <w:t xml:space="preserve">access </w:t>
            </w:r>
            <w:r w:rsidRPr="00B06AF2">
              <w:t xml:space="preserve">and use </w:t>
            </w:r>
            <w:r>
              <w:t>since 2009.</w:t>
            </w:r>
          </w:p>
          <w:p w14:paraId="35745D12" w14:textId="77777777" w:rsidR="00BE7EDA" w:rsidRPr="00EC7659" w:rsidRDefault="00BE7EDA" w:rsidP="004E19F9">
            <w:pPr>
              <w:pStyle w:val="ListParagraph"/>
              <w:numPr>
                <w:ilvl w:val="0"/>
                <w:numId w:val="1"/>
              </w:numPr>
              <w:ind w:left="540"/>
              <w:jc w:val="both"/>
            </w:pPr>
            <w:r w:rsidRPr="00EC7659">
              <w:t>In</w:t>
            </w:r>
            <w:r>
              <w:t xml:space="preserve"> March</w:t>
            </w:r>
            <w:r w:rsidRPr="00EC7659">
              <w:t xml:space="preserve"> 2017, the ITU called all ITU members and experts in the field of ICT statistics for an Extraordinary Meeting to update the structure of the IDI.</w:t>
            </w:r>
          </w:p>
          <w:p w14:paraId="4C23480A" w14:textId="77777777" w:rsidR="00BE7EDA" w:rsidRDefault="00BE7EDA" w:rsidP="004E19F9">
            <w:pPr>
              <w:pStyle w:val="ListParagraph"/>
              <w:numPr>
                <w:ilvl w:val="0"/>
                <w:numId w:val="1"/>
              </w:numPr>
              <w:ind w:left="540"/>
              <w:jc w:val="both"/>
            </w:pPr>
            <w:r w:rsidRPr="00EC7659">
              <w:t>The main objective of the Extrao</w:t>
            </w:r>
            <w:r>
              <w:t>rdinary Meeting was to discuss a</w:t>
            </w:r>
            <w:r w:rsidRPr="00EC7659">
              <w:t xml:space="preserve">nd agree on a revised set of indicators in the IDI, based on two input documents prepared by the subgroup and the independent group of experts.  </w:t>
            </w:r>
          </w:p>
          <w:p w14:paraId="008F92EF" w14:textId="0DBFEAA3" w:rsidR="00BE7EDA" w:rsidRPr="00FE3AAE" w:rsidRDefault="00BE7EDA" w:rsidP="004E19F9">
            <w:pPr>
              <w:pStyle w:val="ListParagraph"/>
              <w:numPr>
                <w:ilvl w:val="0"/>
                <w:numId w:val="1"/>
              </w:numPr>
              <w:ind w:left="540"/>
              <w:jc w:val="both"/>
            </w:pPr>
            <w:r w:rsidRPr="003E1557">
              <w:rPr>
                <w:rFonts w:eastAsiaTheme="minorEastAsia"/>
              </w:rPr>
              <w:t xml:space="preserve">The Extraordinary Meeting adopted a total of 14 indicators to be included in the IDI compared to the </w:t>
            </w:r>
            <w:r>
              <w:rPr>
                <w:rFonts w:eastAsiaTheme="minorEastAsia"/>
              </w:rPr>
              <w:t>exi</w:t>
            </w:r>
            <w:r w:rsidR="008A4657">
              <w:rPr>
                <w:rFonts w:eastAsiaTheme="minorEastAsia"/>
              </w:rPr>
              <w:t>s</w:t>
            </w:r>
            <w:r>
              <w:rPr>
                <w:rFonts w:eastAsiaTheme="minorEastAsia"/>
              </w:rPr>
              <w:t>ting</w:t>
            </w:r>
            <w:r w:rsidRPr="003E1557">
              <w:rPr>
                <w:rFonts w:eastAsiaTheme="minorEastAsia"/>
              </w:rPr>
              <w:t xml:space="preserve"> list of 11 indicators</w:t>
            </w:r>
            <w:r>
              <w:rPr>
                <w:rFonts w:eastAsiaTheme="minorEastAsia"/>
              </w:rPr>
              <w:t xml:space="preserve"> and revised IDI.</w:t>
            </w:r>
          </w:p>
          <w:p w14:paraId="1F049280" w14:textId="77777777" w:rsidR="00BE7EDA" w:rsidRPr="00EC7659" w:rsidRDefault="00BE7EDA" w:rsidP="004E19F9">
            <w:pPr>
              <w:pStyle w:val="ListParagraph"/>
              <w:numPr>
                <w:ilvl w:val="0"/>
                <w:numId w:val="1"/>
              </w:numPr>
              <w:ind w:left="540"/>
              <w:jc w:val="both"/>
            </w:pPr>
            <w:r>
              <w:rPr>
                <w:rFonts w:asciiTheme="minorHAnsi" w:hAnsiTheme="minorHAnsi" w:cstheme="minorHAnsi"/>
              </w:rPr>
              <w:t xml:space="preserve">The </w:t>
            </w:r>
            <w:r w:rsidRPr="003236C3">
              <w:rPr>
                <w:rFonts w:asciiTheme="minorHAnsi" w:hAnsiTheme="minorHAnsi" w:cstheme="minorHAnsi"/>
              </w:rPr>
              <w:t>revised set of indicators was agreed to be included in the IDI</w:t>
            </w:r>
            <w:r>
              <w:rPr>
                <w:rFonts w:asciiTheme="minorHAnsi" w:hAnsiTheme="minorHAnsi" w:cstheme="minorHAnsi"/>
              </w:rPr>
              <w:t xml:space="preserve"> in the WTIS 2017 </w:t>
            </w:r>
            <w:r>
              <w:rPr>
                <w:rFonts w:eastAsiaTheme="minorEastAsia"/>
              </w:rPr>
              <w:t>to be published in 2018</w:t>
            </w:r>
            <w:r w:rsidRPr="003E1557">
              <w:rPr>
                <w:rFonts w:eastAsiaTheme="minorEastAsia"/>
              </w:rPr>
              <w:t>.</w:t>
            </w:r>
          </w:p>
          <w:p w14:paraId="0D74EA68" w14:textId="77777777" w:rsidR="00BE7EDA" w:rsidRPr="00EC7659" w:rsidRDefault="00BE7EDA" w:rsidP="004E19F9">
            <w:pPr>
              <w:pStyle w:val="ListParagraph"/>
              <w:numPr>
                <w:ilvl w:val="0"/>
                <w:numId w:val="1"/>
              </w:numPr>
              <w:ind w:left="540"/>
              <w:jc w:val="both"/>
            </w:pPr>
            <w:r w:rsidRPr="009D432B">
              <w:t xml:space="preserve">In 2018, the IDI was not published in order to smoothen the transition for Member States in terms of data collection, and the ITU put off the new IDI until 2019. </w:t>
            </w:r>
          </w:p>
          <w:p w14:paraId="595155B5" w14:textId="5C49C608" w:rsidR="00BE7EDA" w:rsidRPr="00CF4C1B" w:rsidRDefault="00BE7EDA" w:rsidP="004E19F9">
            <w:pPr>
              <w:pStyle w:val="ListParagraph"/>
              <w:numPr>
                <w:ilvl w:val="0"/>
                <w:numId w:val="1"/>
              </w:numPr>
              <w:ind w:left="540"/>
              <w:jc w:val="both"/>
            </w:pPr>
            <w:r w:rsidRPr="009D432B">
              <w:t xml:space="preserve">In 2019, the ITU made an announcement that it has decided to produce the ICT Development Index with its old structure. This announcement was made during the 10th meeting of ITU Expert Group (EGTI)) which took place at the ITU </w:t>
            </w:r>
            <w:r w:rsidR="008A4657">
              <w:t>from</w:t>
            </w:r>
            <w:r w:rsidRPr="009D432B">
              <w:t xml:space="preserve"> 17th to 20th September 2019. The ITU referred to issues and challenges with data collection, data quality and the selection of the new indicators.</w:t>
            </w:r>
          </w:p>
          <w:p w14:paraId="2051F29C" w14:textId="75BC0071" w:rsidR="00BE7EDA" w:rsidRPr="00CF4C1B" w:rsidRDefault="00BE7EDA" w:rsidP="004E19F9">
            <w:pPr>
              <w:pStyle w:val="ListParagraph"/>
              <w:keepNext/>
              <w:numPr>
                <w:ilvl w:val="0"/>
                <w:numId w:val="1"/>
              </w:numPr>
              <w:ind w:left="538" w:hanging="357"/>
              <w:jc w:val="both"/>
            </w:pPr>
            <w:r w:rsidRPr="009D432B">
              <w:t xml:space="preserve">The UAE, among other countries, stated that it has difficulty to accept this approach as many resources has been invested in the past years to arrive to the methodology and the structure of </w:t>
            </w:r>
            <w:r w:rsidRPr="009D432B">
              <w:lastRenderedPageBreak/>
              <w:t>the new IDI. UAE also has referred to the ITU Resolution 131 (Rev. Dubai; PP</w:t>
            </w:r>
            <w:r w:rsidR="008A4657">
              <w:t>-</w:t>
            </w:r>
            <w:r w:rsidRPr="009D432B">
              <w:t xml:space="preserve">18) as to revert the issue back to the Expert group and has sent a letter to the ITU accordingly. </w:t>
            </w:r>
          </w:p>
          <w:p w14:paraId="02D51169" w14:textId="77777777" w:rsidR="00BE7EDA" w:rsidRPr="003E1557" w:rsidRDefault="00BE7EDA" w:rsidP="004E19F9">
            <w:pPr>
              <w:pStyle w:val="ListParagraph"/>
              <w:keepNext/>
              <w:numPr>
                <w:ilvl w:val="0"/>
                <w:numId w:val="1"/>
              </w:numPr>
              <w:ind w:left="538" w:hanging="357"/>
              <w:jc w:val="both"/>
            </w:pPr>
            <w:r w:rsidRPr="009D432B">
              <w:t>The ITU has responded and decided to make a consultation by online voting.</w:t>
            </w:r>
          </w:p>
          <w:p w14:paraId="4309883D" w14:textId="77777777" w:rsidR="00BE7EDA" w:rsidRPr="00CF4C1B" w:rsidRDefault="00BE7EDA" w:rsidP="004E19F9">
            <w:pPr>
              <w:pStyle w:val="ListParagraph"/>
              <w:keepNext/>
              <w:numPr>
                <w:ilvl w:val="0"/>
                <w:numId w:val="1"/>
              </w:numPr>
              <w:ind w:left="540"/>
              <w:jc w:val="both"/>
            </w:pPr>
            <w:r w:rsidRPr="009D432B">
              <w:t>The UAE did not accept the online voting and requested ITU to bring this issue back to the Expert Group for discussion and approval in a formal context as per Res. 131.</w:t>
            </w:r>
          </w:p>
          <w:p w14:paraId="5FBC749C" w14:textId="77777777" w:rsidR="00BE7EDA" w:rsidRPr="009D432B" w:rsidRDefault="00BE7EDA" w:rsidP="004E19F9">
            <w:pPr>
              <w:pStyle w:val="ListParagraph"/>
              <w:numPr>
                <w:ilvl w:val="0"/>
                <w:numId w:val="1"/>
              </w:numPr>
              <w:ind w:left="540"/>
              <w:jc w:val="both"/>
            </w:pPr>
            <w:r w:rsidRPr="009D432B">
              <w:t xml:space="preserve">Accordingly, the ITU called for Expert Group meeting in 10th Feb 2020 in which ITU presented a proposal to ITU Member States for the development of a new composite index, linking digital technologies to the Sustainable Development Goals (SDGs). </w:t>
            </w:r>
          </w:p>
          <w:p w14:paraId="5BD27D74" w14:textId="77777777" w:rsidR="00BE7EDA" w:rsidRDefault="00BE7EDA" w:rsidP="004E19F9">
            <w:pPr>
              <w:pStyle w:val="ListParagraph"/>
              <w:numPr>
                <w:ilvl w:val="0"/>
                <w:numId w:val="1"/>
              </w:numPr>
              <w:ind w:left="540"/>
              <w:jc w:val="both"/>
            </w:pPr>
            <w:r>
              <w:t xml:space="preserve">During the </w:t>
            </w:r>
            <w:r w:rsidRPr="009D432B">
              <w:t>Expert Group Meeting at 10 Feb 2020, some countries</w:t>
            </w:r>
            <w:r>
              <w:t>,</w:t>
            </w:r>
            <w:r w:rsidRPr="009D432B">
              <w:t xml:space="preserve"> </w:t>
            </w:r>
            <w:r>
              <w:t>including UAE,</w:t>
            </w:r>
            <w:r w:rsidRPr="009D432B">
              <w:t xml:space="preserve"> were </w:t>
            </w:r>
            <w:r>
              <w:t xml:space="preserve">asking </w:t>
            </w:r>
            <w:r w:rsidRPr="00EC69E7">
              <w:rPr>
                <w:rFonts w:cstheme="minorHAnsi"/>
                <w:szCs w:val="24"/>
              </w:rPr>
              <w:t xml:space="preserve">how </w:t>
            </w:r>
            <w:r>
              <w:rPr>
                <w:rFonts w:cstheme="minorHAnsi"/>
                <w:szCs w:val="24"/>
              </w:rPr>
              <w:t xml:space="preserve">a </w:t>
            </w:r>
            <w:r w:rsidRPr="00EC69E7">
              <w:rPr>
                <w:rFonts w:cstheme="minorHAnsi"/>
                <w:szCs w:val="24"/>
              </w:rPr>
              <w:t xml:space="preserve">decision was </w:t>
            </w:r>
            <w:r>
              <w:rPr>
                <w:rFonts w:cstheme="minorHAnsi"/>
                <w:szCs w:val="24"/>
              </w:rPr>
              <w:t>made</w:t>
            </w:r>
            <w:r w:rsidRPr="00EC69E7">
              <w:rPr>
                <w:rFonts w:cstheme="minorHAnsi"/>
                <w:szCs w:val="24"/>
              </w:rPr>
              <w:t xml:space="preserve"> on the (dis-)continuation of the publication of the IDI</w:t>
            </w:r>
            <w:r>
              <w:rPr>
                <w:rFonts w:cstheme="minorHAnsi"/>
                <w:szCs w:val="24"/>
              </w:rPr>
              <w:t xml:space="preserve"> or using the old IDI</w:t>
            </w:r>
            <w:r w:rsidRPr="00EC69E7">
              <w:rPr>
                <w:rFonts w:cstheme="minorHAnsi"/>
                <w:szCs w:val="24"/>
              </w:rPr>
              <w:t xml:space="preserve">, </w:t>
            </w:r>
            <w:r w:rsidRPr="009D432B">
              <w:t>and no clear answer was received. Then a new index for SDGs has been proposed.</w:t>
            </w:r>
          </w:p>
          <w:p w14:paraId="3523C3DA" w14:textId="77777777" w:rsidR="00BE7EDA" w:rsidRPr="009D432B" w:rsidRDefault="00BE7EDA" w:rsidP="004E19F9">
            <w:pPr>
              <w:pStyle w:val="ListParagraph"/>
              <w:numPr>
                <w:ilvl w:val="0"/>
                <w:numId w:val="1"/>
              </w:numPr>
              <w:ind w:left="540"/>
              <w:jc w:val="both"/>
            </w:pPr>
            <w:r>
              <w:rPr>
                <w:rFonts w:cstheme="minorHAnsi"/>
              </w:rPr>
              <w:t>The New ITU Index framework was presented in TDAG Web Dialogue of 25 March 2020. However, this cannot be taken into consideration for the development process of an index, as TDAG, with all due respect, did not consist of experts.</w:t>
            </w:r>
          </w:p>
          <w:p w14:paraId="381D4D93" w14:textId="77777777" w:rsidR="00BE7EDA" w:rsidRPr="003E1557" w:rsidRDefault="00BE7EDA" w:rsidP="004E19F9">
            <w:pPr>
              <w:pStyle w:val="ListParagraph"/>
              <w:numPr>
                <w:ilvl w:val="0"/>
                <w:numId w:val="1"/>
              </w:numPr>
              <w:ind w:left="540"/>
              <w:jc w:val="both"/>
            </w:pPr>
            <w:r w:rsidRPr="009D432B">
              <w:t>At 17</w:t>
            </w:r>
            <w:r w:rsidRPr="00995684">
              <w:rPr>
                <w:vertAlign w:val="superscript"/>
              </w:rPr>
              <w:t>th</w:t>
            </w:r>
            <w:r>
              <w:t xml:space="preserve"> </w:t>
            </w:r>
            <w:r w:rsidRPr="009D432B">
              <w:t>April meeting of Expert Group, the ITU presented a draft framework for the new ITU index (SDGs) for discussion by Expert Group.</w:t>
            </w:r>
          </w:p>
          <w:p w14:paraId="5735CFE6" w14:textId="53260C8B" w:rsidR="00BE7EDA" w:rsidRPr="009D432B" w:rsidRDefault="00BE7EDA" w:rsidP="004E19F9">
            <w:pPr>
              <w:pStyle w:val="ListParagraph"/>
              <w:numPr>
                <w:ilvl w:val="0"/>
                <w:numId w:val="1"/>
              </w:numPr>
              <w:ind w:left="540"/>
              <w:jc w:val="both"/>
            </w:pPr>
            <w:r w:rsidRPr="00526010">
              <w:t>The ITU Res. 131 is mainly about</w:t>
            </w:r>
            <w:r>
              <w:t xml:space="preserve"> the </w:t>
            </w:r>
            <w:r w:rsidRPr="00526010">
              <w:t>IDI</w:t>
            </w:r>
            <w:r>
              <w:t xml:space="preserve"> and there is no resolution to govern the new ITU index.</w:t>
            </w:r>
          </w:p>
          <w:p w14:paraId="298998A5" w14:textId="77777777" w:rsidR="00BE7EDA" w:rsidRPr="004E19F9" w:rsidRDefault="00BE7EDA" w:rsidP="004E19F9">
            <w:pPr>
              <w:ind w:left="360"/>
              <w:rPr>
                <w:sz w:val="24"/>
                <w:szCs w:val="24"/>
              </w:rPr>
            </w:pPr>
            <w:r w:rsidRPr="004E19F9">
              <w:rPr>
                <w:sz w:val="24"/>
                <w:szCs w:val="24"/>
              </w:rPr>
              <w:t>Challenges with new indicators:</w:t>
            </w:r>
          </w:p>
          <w:p w14:paraId="1EB1B2D5" w14:textId="77777777" w:rsidR="00BE7EDA" w:rsidRPr="00E2296B" w:rsidRDefault="00BE7EDA" w:rsidP="004E19F9">
            <w:pPr>
              <w:pStyle w:val="ListParagraph"/>
              <w:numPr>
                <w:ilvl w:val="1"/>
                <w:numId w:val="1"/>
              </w:numPr>
              <w:rPr>
                <w:lang w:val="en-US"/>
              </w:rPr>
            </w:pPr>
            <w:r>
              <w:t xml:space="preserve">The New ITU index involves many None-ICT indicators from many other sectors with high risk of mismanagement of information and timelines. </w:t>
            </w:r>
          </w:p>
          <w:p w14:paraId="22265465" w14:textId="378C3B19" w:rsidR="00BE7EDA" w:rsidRPr="009F14C8" w:rsidRDefault="00BE7EDA" w:rsidP="004E19F9">
            <w:pPr>
              <w:pStyle w:val="ListParagraph"/>
              <w:numPr>
                <w:ilvl w:val="1"/>
                <w:numId w:val="1"/>
              </w:numPr>
              <w:rPr>
                <w:lang w:val="en-US"/>
              </w:rPr>
            </w:pPr>
            <w:r w:rsidRPr="00526010">
              <w:t>The new index will be dependent on reports from other international organizations (WHO, WIPO, UN</w:t>
            </w:r>
            <w:r w:rsidR="00171DC5">
              <w:t>E</w:t>
            </w:r>
            <w:r w:rsidRPr="00526010">
              <w:t>SCO, ILO, World Bank …etc of which there are private org</w:t>
            </w:r>
            <w:r w:rsidR="004046CE">
              <w:t>a</w:t>
            </w:r>
            <w:r w:rsidRPr="00526010">
              <w:t>nisations</w:t>
            </w:r>
            <w:r w:rsidR="008A4657">
              <w:t>)</w:t>
            </w:r>
            <w:r>
              <w:t>.</w:t>
            </w:r>
          </w:p>
          <w:p w14:paraId="33807751" w14:textId="77777777" w:rsidR="00BE7EDA" w:rsidRDefault="00BE7EDA" w:rsidP="004E19F9">
            <w:pPr>
              <w:pStyle w:val="ListParagraph"/>
              <w:numPr>
                <w:ilvl w:val="1"/>
                <w:numId w:val="1"/>
              </w:numPr>
              <w:rPr>
                <w:lang w:val="en-US"/>
              </w:rPr>
            </w:pPr>
            <w:r w:rsidRPr="00526010">
              <w:t xml:space="preserve">The new proposed index has not been studied by the Expert Group and its methodology for measuring it is not </w:t>
            </w:r>
            <w:r>
              <w:t>clear.</w:t>
            </w:r>
          </w:p>
          <w:p w14:paraId="626E22FC" w14:textId="77777777" w:rsidR="00BE7EDA" w:rsidRDefault="00BE7EDA" w:rsidP="004E19F9">
            <w:pPr>
              <w:pStyle w:val="ListParagraph"/>
              <w:numPr>
                <w:ilvl w:val="1"/>
                <w:numId w:val="1"/>
              </w:numPr>
              <w:rPr>
                <w:lang w:val="en-US"/>
              </w:rPr>
            </w:pPr>
            <w:r>
              <w:rPr>
                <w:lang w:val="en-US"/>
              </w:rPr>
              <w:t>As per ITU Background document presentation in 17</w:t>
            </w:r>
            <w:r w:rsidRPr="00C033F8">
              <w:rPr>
                <w:vertAlign w:val="superscript"/>
                <w:lang w:val="en-US"/>
              </w:rPr>
              <w:t>th</w:t>
            </w:r>
            <w:r>
              <w:rPr>
                <w:lang w:val="en-US"/>
              </w:rPr>
              <w:t xml:space="preserve"> April 2020, only 50 countries have data of these indicators.</w:t>
            </w:r>
          </w:p>
          <w:p w14:paraId="3640FF1B" w14:textId="08DC7D4F" w:rsidR="00BE7EDA" w:rsidRDefault="00BE7EDA" w:rsidP="004E19F9">
            <w:pPr>
              <w:pStyle w:val="ListParagraph"/>
              <w:numPr>
                <w:ilvl w:val="1"/>
                <w:numId w:val="1"/>
              </w:numPr>
              <w:jc w:val="both"/>
              <w:rPr>
                <w:lang w:val="en-US"/>
              </w:rPr>
            </w:pPr>
            <w:r>
              <w:rPr>
                <w:lang w:val="en-US"/>
              </w:rPr>
              <w:t>The new index is not in accordance with the ITU Res. 131 which clearly states th</w:t>
            </w:r>
            <w:r w:rsidRPr="00C033F8">
              <w:rPr>
                <w:lang w:val="en-US"/>
              </w:rPr>
              <w:t xml:space="preserve">at “ITU should establish a four-year period of validity for the structure and methodology of the IDI and IPB in order to implement </w:t>
            </w:r>
            <w:r w:rsidRPr="008A4657">
              <w:rPr>
                <w:i/>
                <w:iCs/>
                <w:lang w:val="en-US"/>
              </w:rPr>
              <w:t>resolves 2</w:t>
            </w:r>
            <w:r w:rsidRPr="00C033F8">
              <w:rPr>
                <w:lang w:val="en-US"/>
              </w:rPr>
              <w:t xml:space="preserve"> above, in case these need to be reviewed and revised as appropriate through an</w:t>
            </w:r>
            <w:r>
              <w:rPr>
                <w:lang w:val="en-US"/>
              </w:rPr>
              <w:t xml:space="preserve"> </w:t>
            </w:r>
            <w:r w:rsidRPr="00C033F8">
              <w:rPr>
                <w:lang w:val="en-US"/>
              </w:rPr>
              <w:t xml:space="preserve">expert group meeting in Geneva representing all countries, developed and developing, on an equal </w:t>
            </w:r>
            <w:r w:rsidR="008A4657">
              <w:rPr>
                <w:lang w:val="en-US"/>
              </w:rPr>
              <w:t>footing</w:t>
            </w:r>
            <w:r w:rsidRPr="00C033F8">
              <w:rPr>
                <w:lang w:val="en-US"/>
              </w:rPr>
              <w:t>”</w:t>
            </w:r>
            <w:r w:rsidR="008A4657">
              <w:rPr>
                <w:lang w:val="en-US"/>
              </w:rPr>
              <w:t>.</w:t>
            </w:r>
          </w:p>
          <w:p w14:paraId="0504AD6C" w14:textId="77777777" w:rsidR="00BE7EDA" w:rsidRPr="00BE7EDA" w:rsidRDefault="00BE7EDA" w:rsidP="004E19F9">
            <w:pPr>
              <w:pStyle w:val="Headingb"/>
              <w:keepNext w:val="0"/>
              <w:spacing w:before="120" w:after="120"/>
              <w:rPr>
                <w:sz w:val="24"/>
                <w:szCs w:val="24"/>
              </w:rPr>
            </w:pPr>
            <w:r w:rsidRPr="00BE7EDA">
              <w:rPr>
                <w:sz w:val="24"/>
                <w:szCs w:val="24"/>
              </w:rPr>
              <w:t>Proposed way forward</w:t>
            </w:r>
          </w:p>
          <w:p w14:paraId="369C9B05" w14:textId="77777777" w:rsidR="00BE7EDA" w:rsidRPr="004E19F9" w:rsidRDefault="00BE7EDA" w:rsidP="004E19F9">
            <w:pPr>
              <w:rPr>
                <w:sz w:val="24"/>
                <w:szCs w:val="24"/>
              </w:rPr>
            </w:pPr>
            <w:r w:rsidRPr="004E19F9">
              <w:rPr>
                <w:sz w:val="24"/>
                <w:szCs w:val="24"/>
              </w:rPr>
              <w:t>Based on the above, the following are proposed:</w:t>
            </w:r>
          </w:p>
          <w:p w14:paraId="30F3F0D3" w14:textId="77777777" w:rsidR="00BE7EDA" w:rsidRDefault="00BE7EDA" w:rsidP="004E19F9">
            <w:pPr>
              <w:pStyle w:val="ListParagraph"/>
              <w:numPr>
                <w:ilvl w:val="0"/>
                <w:numId w:val="1"/>
              </w:numPr>
              <w:rPr>
                <w:lang w:val="en-US"/>
              </w:rPr>
            </w:pPr>
            <w:r>
              <w:rPr>
                <w:lang w:val="en-US"/>
              </w:rPr>
              <w:t>To urgently request the Expert Group to review the updated IDI of 2018 and to find out and resolve the issues within the index in order that ITU can publish the IDI report at 2020 without further delay.</w:t>
            </w:r>
          </w:p>
          <w:p w14:paraId="47CB117D" w14:textId="6A1903E4" w:rsidR="00BE7EDA" w:rsidRDefault="00BE7EDA" w:rsidP="004E19F9">
            <w:pPr>
              <w:pStyle w:val="ListParagraph"/>
              <w:numPr>
                <w:ilvl w:val="0"/>
                <w:numId w:val="1"/>
              </w:numPr>
              <w:rPr>
                <w:b/>
                <w:bCs/>
              </w:rPr>
            </w:pPr>
            <w:r>
              <w:rPr>
                <w:lang w:val="en-US"/>
              </w:rPr>
              <w:t>To request Expert Group to review</w:t>
            </w:r>
            <w:r w:rsidRPr="00C033F8">
              <w:rPr>
                <w:lang w:val="en-US"/>
              </w:rPr>
              <w:t xml:space="preserve"> </w:t>
            </w:r>
            <w:r>
              <w:rPr>
                <w:lang w:val="en-US"/>
              </w:rPr>
              <w:t xml:space="preserve">the new proposed index by ITU </w:t>
            </w:r>
            <w:r w:rsidRPr="00C033F8">
              <w:rPr>
                <w:lang w:val="en-US"/>
              </w:rPr>
              <w:t>as appropriate</w:t>
            </w:r>
            <w:r>
              <w:rPr>
                <w:lang w:val="en-US"/>
              </w:rPr>
              <w:t>,</w:t>
            </w:r>
            <w:r w:rsidRPr="00C033F8">
              <w:rPr>
                <w:lang w:val="en-US"/>
              </w:rPr>
              <w:t xml:space="preserve"> through an</w:t>
            </w:r>
            <w:r>
              <w:rPr>
                <w:lang w:val="en-US"/>
              </w:rPr>
              <w:t xml:space="preserve"> </w:t>
            </w:r>
            <w:r w:rsidRPr="00C033F8">
              <w:rPr>
                <w:lang w:val="en-US"/>
              </w:rPr>
              <w:t xml:space="preserve">expert group meeting representing all </w:t>
            </w:r>
            <w:r>
              <w:rPr>
                <w:lang w:val="en-US"/>
              </w:rPr>
              <w:t>administrations until it is finalized, then it may replace the IDI in the future if agreed upon by ITU member states.</w:t>
            </w:r>
          </w:p>
        </w:tc>
      </w:tr>
    </w:tbl>
    <w:bookmarkEnd w:id="2"/>
    <w:p w14:paraId="2CCC7EDE" w14:textId="13B7F7FC" w:rsidR="008A1838" w:rsidRPr="008A1838" w:rsidRDefault="008A1838" w:rsidP="008A1838">
      <w:pPr>
        <w:jc w:val="center"/>
        <w:rPr>
          <w:u w:val="single"/>
        </w:rPr>
      </w:pPr>
      <w:r>
        <w:rPr>
          <w:u w:val="single"/>
        </w:rPr>
        <w:lastRenderedPageBreak/>
        <w:t>                                       </w:t>
      </w:r>
    </w:p>
    <w:sectPr w:rsidR="008A1838" w:rsidRPr="008A1838" w:rsidSect="004E19F9">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C3BC0" w14:textId="77777777" w:rsidR="004E19F9" w:rsidRDefault="004E19F9" w:rsidP="004E19F9">
      <w:pPr>
        <w:spacing w:before="0" w:line="240" w:lineRule="auto"/>
      </w:pPr>
      <w:r>
        <w:separator/>
      </w:r>
    </w:p>
  </w:endnote>
  <w:endnote w:type="continuationSeparator" w:id="0">
    <w:p w14:paraId="4F972833" w14:textId="77777777" w:rsidR="004E19F9" w:rsidRDefault="004E19F9" w:rsidP="004E19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013AC" w14:textId="77777777" w:rsidR="004E19F9" w:rsidRDefault="004E19F9" w:rsidP="004E19F9">
      <w:pPr>
        <w:spacing w:before="0" w:line="240" w:lineRule="auto"/>
      </w:pPr>
      <w:r>
        <w:separator/>
      </w:r>
    </w:p>
  </w:footnote>
  <w:footnote w:type="continuationSeparator" w:id="0">
    <w:p w14:paraId="245F5F1E" w14:textId="77777777" w:rsidR="004E19F9" w:rsidRDefault="004E19F9" w:rsidP="004E19F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FB887" w14:textId="79A68E7B" w:rsidR="004E19F9" w:rsidRPr="004E19F9" w:rsidRDefault="004E19F9" w:rsidP="004E19F9">
    <w:pPr>
      <w:pStyle w:val="Header"/>
      <w:jc w:val="center"/>
      <w:rPr>
        <w:sz w:val="20"/>
        <w:szCs w:val="20"/>
      </w:rPr>
    </w:pPr>
    <w:r w:rsidRPr="004E19F9">
      <w:rPr>
        <w:sz w:val="20"/>
        <w:szCs w:val="20"/>
      </w:rPr>
      <w:fldChar w:fldCharType="begin"/>
    </w:r>
    <w:r w:rsidRPr="004E19F9">
      <w:rPr>
        <w:sz w:val="20"/>
        <w:szCs w:val="20"/>
      </w:rPr>
      <w:instrText xml:space="preserve"> PAGE   \* MERGEFORMAT </w:instrText>
    </w:r>
    <w:r w:rsidRPr="004E19F9">
      <w:rPr>
        <w:sz w:val="20"/>
        <w:szCs w:val="20"/>
      </w:rPr>
      <w:fldChar w:fldCharType="separate"/>
    </w:r>
    <w:r w:rsidRPr="004E19F9">
      <w:rPr>
        <w:noProof/>
        <w:sz w:val="20"/>
        <w:szCs w:val="20"/>
      </w:rPr>
      <w:t>1</w:t>
    </w:r>
    <w:r w:rsidRPr="004E19F9">
      <w:rPr>
        <w:noProof/>
        <w:sz w:val="20"/>
        <w:szCs w:val="20"/>
      </w:rPr>
      <w:fldChar w:fldCharType="end"/>
    </w:r>
    <w:r w:rsidRPr="004E19F9">
      <w:rPr>
        <w:noProof/>
        <w:sz w:val="20"/>
        <w:szCs w:val="20"/>
      </w:rPr>
      <w:br/>
      <w:t>VC\3-E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94476"/>
    <w:multiLevelType w:val="hybridMultilevel"/>
    <w:tmpl w:val="026C3150"/>
    <w:lvl w:ilvl="0" w:tplc="A1085D20">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1C"/>
    <w:rsid w:val="00084D0B"/>
    <w:rsid w:val="00171DC5"/>
    <w:rsid w:val="002A3C23"/>
    <w:rsid w:val="0033075B"/>
    <w:rsid w:val="004046CE"/>
    <w:rsid w:val="004E19F9"/>
    <w:rsid w:val="00645E1C"/>
    <w:rsid w:val="008A1838"/>
    <w:rsid w:val="008A4657"/>
    <w:rsid w:val="00A258CC"/>
    <w:rsid w:val="00BE7EDA"/>
    <w:rsid w:val="00CF7546"/>
    <w:rsid w:val="00D130F8"/>
    <w:rsid w:val="00E11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D61C"/>
  <w15:chartTrackingRefBased/>
  <w15:docId w15:val="{0BCD717A-C5D5-4DD9-B7D4-89DE116D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EDA"/>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MS Mincho"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
    <w:name w:val="Heading_b"/>
    <w:basedOn w:val="Normal"/>
    <w:next w:val="Normal"/>
    <w:rsid w:val="00BE7EDA"/>
    <w:pPr>
      <w:keepNext/>
      <w:spacing w:before="240"/>
      <w:ind w:left="794" w:hanging="794"/>
    </w:pPr>
    <w:rPr>
      <w:b/>
    </w:rPr>
  </w:style>
  <w:style w:type="paragraph" w:styleId="ListParagraph">
    <w:name w:val="List Paragraph"/>
    <w:basedOn w:val="Normal"/>
    <w:uiPriority w:val="34"/>
    <w:qFormat/>
    <w:rsid w:val="00BE7EDA"/>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720"/>
      <w:contextualSpacing/>
      <w:jc w:val="left"/>
    </w:pPr>
    <w:rPr>
      <w:rFonts w:eastAsia="Times New Roman" w:cs="Times New Roman"/>
      <w:sz w:val="24"/>
      <w:szCs w:val="20"/>
      <w:lang w:val="en-GB"/>
    </w:rPr>
  </w:style>
  <w:style w:type="paragraph" w:styleId="Header">
    <w:name w:val="header"/>
    <w:basedOn w:val="Normal"/>
    <w:link w:val="HeaderChar"/>
    <w:uiPriority w:val="99"/>
    <w:unhideWhenUsed/>
    <w:rsid w:val="004E19F9"/>
    <w:pPr>
      <w:tabs>
        <w:tab w:val="clear" w:pos="794"/>
        <w:tab w:val="clear" w:pos="1191"/>
        <w:tab w:val="clear" w:pos="1588"/>
        <w:tab w:val="clear" w:pos="1985"/>
        <w:tab w:val="center" w:pos="4513"/>
        <w:tab w:val="right" w:pos="9026"/>
      </w:tabs>
      <w:spacing w:before="0" w:line="240" w:lineRule="auto"/>
    </w:pPr>
  </w:style>
  <w:style w:type="character" w:customStyle="1" w:styleId="HeaderChar">
    <w:name w:val="Header Char"/>
    <w:basedOn w:val="DefaultParagraphFont"/>
    <w:link w:val="Header"/>
    <w:uiPriority w:val="99"/>
    <w:rsid w:val="004E19F9"/>
    <w:rPr>
      <w:rFonts w:ascii="Calibri" w:eastAsia="MS Mincho" w:hAnsi="Calibri" w:cs="Calibri"/>
    </w:rPr>
  </w:style>
  <w:style w:type="paragraph" w:styleId="Footer">
    <w:name w:val="footer"/>
    <w:basedOn w:val="Normal"/>
    <w:link w:val="FooterChar"/>
    <w:uiPriority w:val="99"/>
    <w:unhideWhenUsed/>
    <w:rsid w:val="004E19F9"/>
    <w:pPr>
      <w:tabs>
        <w:tab w:val="clear" w:pos="794"/>
        <w:tab w:val="clear" w:pos="1191"/>
        <w:tab w:val="clear" w:pos="1588"/>
        <w:tab w:val="clear" w:pos="1985"/>
        <w:tab w:val="center" w:pos="4513"/>
        <w:tab w:val="right" w:pos="9026"/>
      </w:tabs>
      <w:spacing w:before="0" w:line="240" w:lineRule="auto"/>
    </w:pPr>
  </w:style>
  <w:style w:type="character" w:customStyle="1" w:styleId="FooterChar">
    <w:name w:val="Footer Char"/>
    <w:basedOn w:val="DefaultParagraphFont"/>
    <w:link w:val="Footer"/>
    <w:uiPriority w:val="99"/>
    <w:rsid w:val="004E19F9"/>
    <w:rPr>
      <w:rFonts w:ascii="Calibri" w:eastAsia="MS Mincho" w:hAnsi="Calibri" w:cs="Calibri"/>
    </w:rPr>
  </w:style>
  <w:style w:type="character" w:styleId="Hyperlink">
    <w:name w:val="Hyperlink"/>
    <w:basedOn w:val="DefaultParagraphFont"/>
    <w:uiPriority w:val="99"/>
    <w:unhideWhenUsed/>
    <w:rsid w:val="008A1838"/>
    <w:rPr>
      <w:color w:val="0563C1" w:themeColor="hyperlink"/>
      <w:u w:val="single"/>
    </w:rPr>
  </w:style>
  <w:style w:type="character" w:styleId="UnresolvedMention">
    <w:name w:val="Unresolved Mention"/>
    <w:basedOn w:val="DefaultParagraphFont"/>
    <w:uiPriority w:val="99"/>
    <w:semiHidden/>
    <w:unhideWhenUsed/>
    <w:rsid w:val="008A1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20-CL-C-0062/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Bin Khadia</dc:creator>
  <cp:keywords/>
  <dc:description/>
  <cp:lastModifiedBy>Janin, Patricia</cp:lastModifiedBy>
  <cp:revision>3</cp:revision>
  <dcterms:created xsi:type="dcterms:W3CDTF">2020-05-28T09:32:00Z</dcterms:created>
  <dcterms:modified xsi:type="dcterms:W3CDTF">2020-05-28T09:33:00Z</dcterms:modified>
</cp:coreProperties>
</file>