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Layout w:type="fixed"/>
        <w:tblLook w:val="0000" w:firstRow="0" w:lastRow="0" w:firstColumn="0" w:lastColumn="0" w:noHBand="0" w:noVBand="0"/>
      </w:tblPr>
      <w:tblGrid>
        <w:gridCol w:w="6911"/>
        <w:gridCol w:w="3120"/>
      </w:tblGrid>
      <w:tr w:rsidR="00554570" w:rsidRPr="004629E2" w14:paraId="4ED9B334" w14:textId="77777777" w:rsidTr="00FA7FCF">
        <w:trPr>
          <w:cantSplit/>
          <w:trHeight w:val="1276"/>
        </w:trPr>
        <w:tc>
          <w:tcPr>
            <w:tcW w:w="6911" w:type="dxa"/>
          </w:tcPr>
          <w:p w14:paraId="549378B9" w14:textId="3F8CA5F3" w:rsidR="00554570" w:rsidRPr="004629E2" w:rsidRDefault="00C65078" w:rsidP="00FA7FCF">
            <w:pPr>
              <w:spacing w:before="360" w:after="48"/>
              <w:rPr>
                <w:b/>
                <w:bCs/>
                <w:position w:val="6"/>
                <w:sz w:val="26"/>
                <w:szCs w:val="26"/>
                <w:lang w:eastAsia="zh-CN"/>
              </w:rPr>
            </w:pPr>
            <w:r w:rsidRPr="00C65078">
              <w:rPr>
                <w:rFonts w:hint="eastAsia"/>
                <w:b/>
                <w:bCs/>
                <w:position w:val="6"/>
                <w:sz w:val="26"/>
                <w:szCs w:val="26"/>
                <w:lang w:eastAsia="zh-CN"/>
              </w:rPr>
              <w:t>理事磋商会虚拟会议</w:t>
            </w:r>
            <w:bookmarkStart w:id="0" w:name="lt_pId447"/>
            <w:r w:rsidR="00554570">
              <w:rPr>
                <w:b/>
                <w:bCs/>
                <w:position w:val="6"/>
                <w:sz w:val="26"/>
                <w:szCs w:val="26"/>
                <w:lang w:eastAsia="zh-CN"/>
              </w:rPr>
              <w:br/>
            </w:r>
            <w:r w:rsidR="00554570" w:rsidRPr="004629E2">
              <w:rPr>
                <w:rFonts w:hint="eastAsia"/>
                <w:b/>
                <w:bCs/>
                <w:position w:val="6"/>
                <w:sz w:val="26"/>
                <w:szCs w:val="26"/>
                <w:lang w:eastAsia="zh-CN"/>
              </w:rPr>
              <w:t>自</w:t>
            </w:r>
            <w:r w:rsidR="00554570" w:rsidRPr="004629E2">
              <w:rPr>
                <w:b/>
                <w:bCs/>
                <w:position w:val="6"/>
                <w:sz w:val="26"/>
                <w:szCs w:val="26"/>
                <w:lang w:eastAsia="zh-CN"/>
              </w:rPr>
              <w:t>2020</w:t>
            </w:r>
            <w:bookmarkEnd w:id="0"/>
            <w:r w:rsidR="00554570" w:rsidRPr="004629E2">
              <w:rPr>
                <w:rFonts w:hint="eastAsia"/>
                <w:b/>
                <w:bCs/>
                <w:position w:val="6"/>
                <w:sz w:val="26"/>
                <w:szCs w:val="26"/>
                <w:lang w:eastAsia="zh-CN"/>
              </w:rPr>
              <w:t>年</w:t>
            </w:r>
            <w:r w:rsidR="00554570" w:rsidRPr="004629E2">
              <w:rPr>
                <w:b/>
                <w:bCs/>
                <w:position w:val="6"/>
                <w:sz w:val="26"/>
                <w:szCs w:val="26"/>
                <w:lang w:eastAsia="zh-CN"/>
              </w:rPr>
              <w:t>6</w:t>
            </w:r>
            <w:r w:rsidR="00554570" w:rsidRPr="004629E2">
              <w:rPr>
                <w:rFonts w:hint="eastAsia"/>
                <w:b/>
                <w:bCs/>
                <w:position w:val="6"/>
                <w:sz w:val="26"/>
                <w:szCs w:val="26"/>
                <w:lang w:eastAsia="zh-CN"/>
              </w:rPr>
              <w:t>月</w:t>
            </w:r>
            <w:r w:rsidR="00554570" w:rsidRPr="004629E2">
              <w:rPr>
                <w:b/>
                <w:bCs/>
                <w:position w:val="6"/>
                <w:sz w:val="26"/>
                <w:szCs w:val="26"/>
                <w:lang w:eastAsia="zh-CN"/>
              </w:rPr>
              <w:t>9</w:t>
            </w:r>
            <w:r w:rsidR="00554570" w:rsidRPr="004629E2">
              <w:rPr>
                <w:rFonts w:hint="eastAsia"/>
                <w:b/>
                <w:bCs/>
                <w:position w:val="6"/>
                <w:sz w:val="26"/>
                <w:szCs w:val="26"/>
                <w:lang w:eastAsia="zh-CN"/>
              </w:rPr>
              <w:t>日开始</w:t>
            </w:r>
          </w:p>
        </w:tc>
        <w:tc>
          <w:tcPr>
            <w:tcW w:w="3120" w:type="dxa"/>
            <w:vAlign w:val="center"/>
          </w:tcPr>
          <w:p w14:paraId="388B30BE" w14:textId="77777777" w:rsidR="00554570" w:rsidRPr="004629E2" w:rsidRDefault="00554570" w:rsidP="00FA7FCF">
            <w:pPr>
              <w:spacing w:line="240" w:lineRule="atLeast"/>
            </w:pPr>
            <w:r w:rsidRPr="004629E2">
              <w:rPr>
                <w:noProof/>
                <w:lang w:val="en-US" w:eastAsia="zh-CN"/>
              </w:rPr>
              <w:drawing>
                <wp:inline distT="0" distB="0" distL="0" distR="0" wp14:anchorId="61166483" wp14:editId="331ACD08">
                  <wp:extent cx="682402" cy="720000"/>
                  <wp:effectExtent l="0" t="0" r="3810" b="4445"/>
                  <wp:docPr id="10359099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89664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54570" w:rsidRPr="004629E2" w14:paraId="4784378A" w14:textId="77777777" w:rsidTr="00FA7FCF">
        <w:trPr>
          <w:cantSplit/>
        </w:trPr>
        <w:tc>
          <w:tcPr>
            <w:tcW w:w="6911" w:type="dxa"/>
            <w:tcBorders>
              <w:bottom w:val="single" w:sz="12" w:space="0" w:color="auto"/>
            </w:tcBorders>
          </w:tcPr>
          <w:p w14:paraId="10BCA4FD" w14:textId="77777777" w:rsidR="00554570" w:rsidRPr="004629E2" w:rsidRDefault="00554570" w:rsidP="00FA7FCF">
            <w:pPr>
              <w:spacing w:after="48" w:line="240" w:lineRule="atLeast"/>
              <w:rPr>
                <w:b/>
                <w:smallCaps/>
                <w:szCs w:val="24"/>
              </w:rPr>
            </w:pPr>
          </w:p>
        </w:tc>
        <w:tc>
          <w:tcPr>
            <w:tcW w:w="3120" w:type="dxa"/>
            <w:tcBorders>
              <w:bottom w:val="single" w:sz="12" w:space="0" w:color="auto"/>
            </w:tcBorders>
          </w:tcPr>
          <w:p w14:paraId="3012423F" w14:textId="77777777" w:rsidR="00554570" w:rsidRPr="004629E2" w:rsidRDefault="00554570" w:rsidP="00FA7FCF">
            <w:pPr>
              <w:spacing w:line="240" w:lineRule="atLeast"/>
              <w:rPr>
                <w:szCs w:val="24"/>
              </w:rPr>
            </w:pPr>
          </w:p>
        </w:tc>
      </w:tr>
      <w:tr w:rsidR="00554570" w:rsidRPr="004629E2" w14:paraId="2A4ABF8C" w14:textId="77777777" w:rsidTr="00FA7FCF">
        <w:trPr>
          <w:cantSplit/>
        </w:trPr>
        <w:tc>
          <w:tcPr>
            <w:tcW w:w="6911" w:type="dxa"/>
            <w:tcBorders>
              <w:top w:val="single" w:sz="12" w:space="0" w:color="auto"/>
            </w:tcBorders>
          </w:tcPr>
          <w:p w14:paraId="36537C01" w14:textId="77777777" w:rsidR="00554570" w:rsidRPr="004629E2" w:rsidRDefault="00554570" w:rsidP="00FA7FCF">
            <w:pPr>
              <w:spacing w:after="48" w:line="240" w:lineRule="atLeast"/>
              <w:rPr>
                <w:b/>
                <w:smallCaps/>
                <w:szCs w:val="24"/>
              </w:rPr>
            </w:pPr>
          </w:p>
        </w:tc>
        <w:tc>
          <w:tcPr>
            <w:tcW w:w="3120" w:type="dxa"/>
            <w:tcBorders>
              <w:top w:val="single" w:sz="12" w:space="0" w:color="auto"/>
            </w:tcBorders>
          </w:tcPr>
          <w:p w14:paraId="3BC90828" w14:textId="3ED61AB3" w:rsidR="00554570" w:rsidRPr="00554570" w:rsidRDefault="00554570" w:rsidP="002B4C0F">
            <w:pPr>
              <w:spacing w:before="240" w:line="240" w:lineRule="atLeast"/>
              <w:rPr>
                <w:szCs w:val="24"/>
                <w:lang w:val="en-US"/>
              </w:rPr>
            </w:pPr>
            <w:r w:rsidRPr="00FC5386">
              <w:rPr>
                <w:rFonts w:hint="eastAsia"/>
                <w:b/>
                <w:bCs/>
                <w:szCs w:val="24"/>
                <w:lang w:val="fr-CH" w:eastAsia="zh-CN"/>
              </w:rPr>
              <w:t>文件</w:t>
            </w:r>
            <w:r w:rsidRPr="00700D1F">
              <w:rPr>
                <w:b/>
                <w:bCs/>
                <w:sz w:val="20"/>
                <w:lang w:eastAsia="zh-CN"/>
              </w:rPr>
              <w:t xml:space="preserve"> </w:t>
            </w:r>
            <w:r>
              <w:rPr>
                <w:b/>
                <w:bCs/>
                <w:szCs w:val="24"/>
                <w:lang w:eastAsia="zh-CN"/>
              </w:rPr>
              <w:t>VC</w:t>
            </w:r>
            <w:r w:rsidRPr="00FC5386">
              <w:rPr>
                <w:b/>
                <w:bCs/>
                <w:szCs w:val="24"/>
                <w:lang w:eastAsia="zh-CN"/>
              </w:rPr>
              <w:t>/</w:t>
            </w:r>
            <w:r w:rsidR="002B4C0F">
              <w:rPr>
                <w:b/>
                <w:bCs/>
                <w:szCs w:val="24"/>
                <w:lang w:eastAsia="zh-CN"/>
              </w:rPr>
              <w:t>3</w:t>
            </w:r>
            <w:r w:rsidRPr="00FC5386">
              <w:rPr>
                <w:b/>
                <w:bCs/>
                <w:szCs w:val="24"/>
                <w:lang w:eastAsia="zh-CN"/>
              </w:rPr>
              <w:t>-C</w:t>
            </w:r>
            <w:r>
              <w:rPr>
                <w:b/>
                <w:bCs/>
                <w:szCs w:val="24"/>
                <w:lang w:eastAsia="zh-CN"/>
              </w:rPr>
              <w:br/>
            </w:r>
            <w:r w:rsidRPr="00FC5386">
              <w:rPr>
                <w:b/>
                <w:bCs/>
                <w:szCs w:val="24"/>
                <w:lang w:eastAsia="zh-CN"/>
              </w:rPr>
              <w:t>20</w:t>
            </w:r>
            <w:r>
              <w:rPr>
                <w:b/>
                <w:bCs/>
                <w:szCs w:val="24"/>
                <w:lang w:eastAsia="zh-CN"/>
              </w:rPr>
              <w:t>20</w:t>
            </w:r>
            <w:r w:rsidRPr="00FC5386">
              <w:rPr>
                <w:rFonts w:hint="eastAsia"/>
                <w:b/>
                <w:bCs/>
                <w:szCs w:val="24"/>
                <w:lang w:eastAsia="zh-CN"/>
              </w:rPr>
              <w:t>年</w:t>
            </w:r>
            <w:r w:rsidR="002B4C0F">
              <w:rPr>
                <w:rFonts w:asciiTheme="minorHAnsi" w:hAnsiTheme="minorHAnsi" w:cstheme="minorHAnsi"/>
                <w:b/>
                <w:bCs/>
                <w:szCs w:val="24"/>
                <w:lang w:eastAsia="zh-CN"/>
              </w:rPr>
              <w:t>5</w:t>
            </w:r>
            <w:r w:rsidRPr="00FC5386">
              <w:rPr>
                <w:rFonts w:hint="eastAsia"/>
                <w:b/>
                <w:bCs/>
                <w:szCs w:val="24"/>
                <w:lang w:eastAsia="zh-CN"/>
              </w:rPr>
              <w:t>月</w:t>
            </w:r>
            <w:r w:rsidR="002B4C0F">
              <w:rPr>
                <w:rFonts w:asciiTheme="minorHAnsi" w:hAnsiTheme="minorHAnsi" w:cstheme="minorHAnsi"/>
                <w:b/>
                <w:bCs/>
                <w:szCs w:val="24"/>
                <w:lang w:eastAsia="zh-CN"/>
              </w:rPr>
              <w:t>28</w:t>
            </w:r>
            <w:r w:rsidRPr="00FC5386">
              <w:rPr>
                <w:rFonts w:hint="eastAsia"/>
                <w:b/>
                <w:bCs/>
                <w:szCs w:val="24"/>
                <w:lang w:eastAsia="zh-CN"/>
              </w:rPr>
              <w:t>日</w:t>
            </w:r>
            <w:r>
              <w:rPr>
                <w:b/>
                <w:bCs/>
                <w:szCs w:val="24"/>
                <w:lang w:eastAsia="zh-CN"/>
              </w:rPr>
              <w:br/>
            </w:r>
            <w:r w:rsidRPr="00FC5386">
              <w:rPr>
                <w:rFonts w:hint="eastAsia"/>
                <w:b/>
                <w:bCs/>
                <w:szCs w:val="24"/>
                <w:lang w:eastAsia="zh-CN"/>
              </w:rPr>
              <w:t>原文：英文</w:t>
            </w:r>
          </w:p>
        </w:tc>
      </w:tr>
    </w:tbl>
    <w:p w14:paraId="6DF2C339" w14:textId="77777777" w:rsidR="00554570" w:rsidRPr="004629E2" w:rsidRDefault="00554570" w:rsidP="00554570">
      <w:pPr>
        <w:rPr>
          <w:b/>
          <w:bCs/>
          <w:sz w:val="28"/>
          <w:lang w:eastAsia="zh-CN"/>
        </w:rPr>
      </w:pPr>
      <w:bookmarkStart w:id="1" w:name="dorlang" w:colFirst="1" w:colLast="1"/>
    </w:p>
    <w:tbl>
      <w:tblPr>
        <w:tblW w:w="10093" w:type="dxa"/>
        <w:tblLayout w:type="fixed"/>
        <w:tblLook w:val="0000" w:firstRow="0" w:lastRow="0" w:firstColumn="0" w:lastColumn="0" w:noHBand="0" w:noVBand="0"/>
      </w:tblPr>
      <w:tblGrid>
        <w:gridCol w:w="2835"/>
        <w:gridCol w:w="7258"/>
      </w:tblGrid>
      <w:tr w:rsidR="00554570" w:rsidRPr="000D3495" w14:paraId="64E3BFD2" w14:textId="77777777" w:rsidTr="00C05152">
        <w:trPr>
          <w:cantSplit/>
        </w:trPr>
        <w:tc>
          <w:tcPr>
            <w:tcW w:w="2835" w:type="dxa"/>
            <w:tcBorders>
              <w:right w:val="single" w:sz="12" w:space="0" w:color="auto"/>
            </w:tcBorders>
            <w:vAlign w:val="center"/>
          </w:tcPr>
          <w:p w14:paraId="15385433" w14:textId="7711BB86" w:rsidR="00554570" w:rsidRPr="000D3495" w:rsidRDefault="00C65078" w:rsidP="00FA7FCF">
            <w:pPr>
              <w:rPr>
                <w:rFonts w:cs="Calibri"/>
                <w:b/>
                <w:bCs/>
                <w:szCs w:val="24"/>
              </w:rPr>
            </w:pPr>
            <w:bookmarkStart w:id="2" w:name="dsource" w:colFirst="0" w:colLast="0"/>
            <w:bookmarkEnd w:id="1"/>
            <w:r w:rsidRPr="000D3495">
              <w:rPr>
                <w:rFonts w:cs="Calibri" w:hint="eastAsia"/>
                <w:b/>
                <w:bCs/>
                <w:szCs w:val="24"/>
                <w:lang w:eastAsia="zh-CN"/>
              </w:rPr>
              <w:t>提交成员国国名：</w:t>
            </w:r>
          </w:p>
        </w:tc>
        <w:tc>
          <w:tcPr>
            <w:tcW w:w="7258" w:type="dxa"/>
            <w:tcBorders>
              <w:top w:val="single" w:sz="12" w:space="0" w:color="auto"/>
              <w:left w:val="single" w:sz="12" w:space="0" w:color="auto"/>
              <w:bottom w:val="single" w:sz="12" w:space="0" w:color="auto"/>
              <w:right w:val="single" w:sz="12" w:space="0" w:color="auto"/>
            </w:tcBorders>
            <w:vAlign w:val="center"/>
          </w:tcPr>
          <w:p w14:paraId="2D02F0FC" w14:textId="75E1AD5E" w:rsidR="00554570" w:rsidRPr="000D3495" w:rsidRDefault="002B4C0F" w:rsidP="00FA7FCF">
            <w:pPr>
              <w:rPr>
                <w:rFonts w:cs="Calibri"/>
                <w:b/>
                <w:szCs w:val="24"/>
              </w:rPr>
            </w:pPr>
            <w:proofErr w:type="spellStart"/>
            <w:r w:rsidRPr="000D3495">
              <w:rPr>
                <w:rFonts w:cs="Calibri" w:hint="eastAsia"/>
                <w:b/>
                <w:szCs w:val="24"/>
              </w:rPr>
              <w:t>阿拉伯联合酋长国</w:t>
            </w:r>
            <w:proofErr w:type="spellEnd"/>
          </w:p>
        </w:tc>
      </w:tr>
      <w:tr w:rsidR="00554570" w:rsidRPr="000D3495" w14:paraId="5EB9E1D5" w14:textId="77777777" w:rsidTr="00C05152">
        <w:trPr>
          <w:cantSplit/>
        </w:trPr>
        <w:tc>
          <w:tcPr>
            <w:tcW w:w="2835" w:type="dxa"/>
          </w:tcPr>
          <w:p w14:paraId="1042D80C" w14:textId="77777777" w:rsidR="00554570" w:rsidRPr="000D3495" w:rsidRDefault="00554570" w:rsidP="00FA7FCF">
            <w:pPr>
              <w:rPr>
                <w:rFonts w:cs="Calibri"/>
                <w:szCs w:val="24"/>
              </w:rPr>
            </w:pPr>
          </w:p>
        </w:tc>
        <w:tc>
          <w:tcPr>
            <w:tcW w:w="7258" w:type="dxa"/>
            <w:tcBorders>
              <w:top w:val="single" w:sz="12" w:space="0" w:color="auto"/>
              <w:bottom w:val="single" w:sz="12" w:space="0" w:color="auto"/>
            </w:tcBorders>
          </w:tcPr>
          <w:p w14:paraId="6F670864" w14:textId="77777777" w:rsidR="00554570" w:rsidRPr="000D3495" w:rsidRDefault="00554570" w:rsidP="00FA7FCF">
            <w:pPr>
              <w:rPr>
                <w:rFonts w:cs="Calibri"/>
                <w:szCs w:val="24"/>
              </w:rPr>
            </w:pPr>
          </w:p>
        </w:tc>
      </w:tr>
      <w:tr w:rsidR="00554570" w:rsidRPr="000D3495" w14:paraId="1DFC14DA" w14:textId="77777777" w:rsidTr="00C05152">
        <w:trPr>
          <w:cantSplit/>
        </w:trPr>
        <w:tc>
          <w:tcPr>
            <w:tcW w:w="2835" w:type="dxa"/>
            <w:tcBorders>
              <w:right w:val="single" w:sz="12" w:space="0" w:color="auto"/>
            </w:tcBorders>
          </w:tcPr>
          <w:p w14:paraId="1C198BD0" w14:textId="77777777" w:rsidR="00554570" w:rsidRPr="000D3495" w:rsidRDefault="00554570" w:rsidP="00FA7FCF">
            <w:pPr>
              <w:spacing w:after="120"/>
              <w:rPr>
                <w:rFonts w:cs="Calibri"/>
                <w:b/>
                <w:bCs/>
                <w:szCs w:val="24"/>
              </w:rPr>
            </w:pPr>
            <w:r w:rsidRPr="000D3495">
              <w:rPr>
                <w:rFonts w:cs="Calibri" w:hint="eastAsia"/>
                <w:b/>
                <w:bCs/>
                <w:szCs w:val="24"/>
                <w:lang w:eastAsia="zh-CN"/>
              </w:rPr>
              <w:t>文件标题：</w:t>
            </w:r>
          </w:p>
        </w:tc>
        <w:tc>
          <w:tcPr>
            <w:tcW w:w="7258" w:type="dxa"/>
            <w:tcBorders>
              <w:top w:val="single" w:sz="12" w:space="0" w:color="auto"/>
              <w:left w:val="single" w:sz="12" w:space="0" w:color="auto"/>
              <w:bottom w:val="single" w:sz="12" w:space="0" w:color="auto"/>
              <w:right w:val="single" w:sz="12" w:space="0" w:color="auto"/>
            </w:tcBorders>
          </w:tcPr>
          <w:p w14:paraId="1B155F77" w14:textId="275B0DFC" w:rsidR="00554570" w:rsidRPr="000D3495" w:rsidRDefault="0011675D" w:rsidP="00FA7FCF">
            <w:pPr>
              <w:spacing w:after="120"/>
              <w:rPr>
                <w:rFonts w:cs="Calibri"/>
                <w:szCs w:val="24"/>
                <w:lang w:eastAsia="zh-CN"/>
              </w:rPr>
            </w:pPr>
            <w:bookmarkStart w:id="3" w:name="lt_pId010"/>
            <w:r w:rsidRPr="000D3495">
              <w:rPr>
                <w:rFonts w:cs="Calibri" w:hint="eastAsia"/>
                <w:b/>
                <w:bCs/>
                <w:szCs w:val="24"/>
                <w:lang w:val="en-US" w:eastAsia="zh-CN"/>
              </w:rPr>
              <w:t>向理事会</w:t>
            </w:r>
            <w:r w:rsidRPr="000D3495">
              <w:rPr>
                <w:rFonts w:cs="Calibri" w:hint="eastAsia"/>
                <w:b/>
                <w:bCs/>
                <w:szCs w:val="24"/>
                <w:lang w:val="en-US" w:eastAsia="zh-CN"/>
              </w:rPr>
              <w:t>2</w:t>
            </w:r>
            <w:r w:rsidRPr="000D3495">
              <w:rPr>
                <w:rFonts w:cs="Calibri"/>
                <w:b/>
                <w:bCs/>
                <w:szCs w:val="24"/>
                <w:lang w:val="en-US" w:eastAsia="zh-CN"/>
              </w:rPr>
              <w:t>020</w:t>
            </w:r>
            <w:r w:rsidRPr="000D3495">
              <w:rPr>
                <w:rFonts w:cs="Calibri" w:hint="eastAsia"/>
                <w:b/>
                <w:bCs/>
                <w:szCs w:val="24"/>
                <w:lang w:val="en-US" w:eastAsia="zh-CN"/>
              </w:rPr>
              <w:t>年会议提交的有关</w:t>
            </w:r>
            <w:r w:rsidRPr="000D3495">
              <w:rPr>
                <w:rFonts w:cs="Calibri"/>
                <w:b/>
                <w:bCs/>
                <w:szCs w:val="24"/>
                <w:lang w:val="en-US" w:eastAsia="zh-CN"/>
              </w:rPr>
              <w:t>IDI</w:t>
            </w:r>
            <w:r w:rsidRPr="000D3495">
              <w:rPr>
                <w:rFonts w:cs="Calibri" w:hint="eastAsia"/>
                <w:b/>
                <w:bCs/>
                <w:szCs w:val="24"/>
                <w:lang w:val="en-US" w:eastAsia="zh-CN"/>
              </w:rPr>
              <w:t>的文稿</w:t>
            </w:r>
            <w:bookmarkEnd w:id="3"/>
          </w:p>
        </w:tc>
      </w:tr>
      <w:tr w:rsidR="00554570" w:rsidRPr="000D3495" w14:paraId="09CC16E0" w14:textId="77777777" w:rsidTr="00C05152">
        <w:trPr>
          <w:cantSplit/>
          <w:trHeight w:val="269"/>
        </w:trPr>
        <w:tc>
          <w:tcPr>
            <w:tcW w:w="2835" w:type="dxa"/>
          </w:tcPr>
          <w:p w14:paraId="6AB8A0A5" w14:textId="77777777" w:rsidR="00554570" w:rsidRPr="000D3495" w:rsidRDefault="00554570" w:rsidP="00FA7FCF">
            <w:pPr>
              <w:rPr>
                <w:rFonts w:cs="Calibri"/>
                <w:szCs w:val="24"/>
                <w:lang w:eastAsia="zh-CN"/>
              </w:rPr>
            </w:pPr>
          </w:p>
        </w:tc>
        <w:tc>
          <w:tcPr>
            <w:tcW w:w="7258" w:type="dxa"/>
            <w:tcBorders>
              <w:top w:val="single" w:sz="12" w:space="0" w:color="auto"/>
              <w:bottom w:val="single" w:sz="4" w:space="0" w:color="auto"/>
            </w:tcBorders>
          </w:tcPr>
          <w:p w14:paraId="47F7D5A6" w14:textId="77777777" w:rsidR="00554570" w:rsidRPr="000D3495" w:rsidRDefault="00554570" w:rsidP="00FA7FCF">
            <w:pPr>
              <w:rPr>
                <w:rFonts w:cs="Calibri"/>
                <w:szCs w:val="24"/>
                <w:lang w:eastAsia="zh-CN"/>
              </w:rPr>
            </w:pPr>
          </w:p>
        </w:tc>
      </w:tr>
      <w:tr w:rsidR="00554570" w:rsidRPr="000D3495" w14:paraId="343266E0" w14:textId="77777777" w:rsidTr="00C05152">
        <w:trPr>
          <w:cantSplit/>
          <w:trHeight w:val="668"/>
        </w:trPr>
        <w:tc>
          <w:tcPr>
            <w:tcW w:w="2835" w:type="dxa"/>
            <w:tcBorders>
              <w:right w:val="single" w:sz="2" w:space="0" w:color="auto"/>
            </w:tcBorders>
            <w:vAlign w:val="center"/>
          </w:tcPr>
          <w:p w14:paraId="044DF4D7" w14:textId="77777777" w:rsidR="00C65078" w:rsidRPr="000D3495" w:rsidRDefault="00C65078" w:rsidP="00C65078">
            <w:pPr>
              <w:rPr>
                <w:rFonts w:cs="Calibri"/>
                <w:b/>
                <w:bCs/>
                <w:szCs w:val="24"/>
                <w:lang w:eastAsia="zh-CN"/>
              </w:rPr>
            </w:pPr>
            <w:proofErr w:type="gramStart"/>
            <w:r w:rsidRPr="000D3495">
              <w:rPr>
                <w:rFonts w:cs="Calibri" w:hint="eastAsia"/>
                <w:b/>
                <w:bCs/>
                <w:szCs w:val="24"/>
                <w:lang w:eastAsia="zh-CN"/>
              </w:rPr>
              <w:t>虚拟磋商</w:t>
            </w:r>
            <w:proofErr w:type="gramEnd"/>
            <w:r w:rsidRPr="000D3495">
              <w:rPr>
                <w:rFonts w:cs="Calibri" w:hint="eastAsia"/>
                <w:b/>
                <w:bCs/>
                <w:szCs w:val="24"/>
                <w:lang w:eastAsia="zh-CN"/>
              </w:rPr>
              <w:t>会</w:t>
            </w:r>
          </w:p>
          <w:p w14:paraId="3DB69414" w14:textId="77777777" w:rsidR="00C65078" w:rsidRPr="000D3495" w:rsidRDefault="00C65078" w:rsidP="00C65078">
            <w:pPr>
              <w:rPr>
                <w:rFonts w:cs="Calibri"/>
                <w:b/>
                <w:bCs/>
                <w:szCs w:val="24"/>
                <w:lang w:eastAsia="zh-CN"/>
              </w:rPr>
            </w:pPr>
            <w:r w:rsidRPr="000D3495">
              <w:rPr>
                <w:rFonts w:cs="Calibri" w:hint="eastAsia"/>
                <w:b/>
                <w:bCs/>
                <w:szCs w:val="24"/>
                <w:lang w:eastAsia="zh-CN"/>
              </w:rPr>
              <w:t>议程草案</w:t>
            </w:r>
          </w:p>
          <w:p w14:paraId="230D9A29" w14:textId="205B910B" w:rsidR="00554570" w:rsidRPr="000D3495" w:rsidRDefault="00C65078" w:rsidP="00C65078">
            <w:pPr>
              <w:rPr>
                <w:rFonts w:cs="Calibri"/>
                <w:b/>
                <w:bCs/>
                <w:szCs w:val="24"/>
                <w:lang w:eastAsia="zh-CN"/>
              </w:rPr>
            </w:pPr>
            <w:r w:rsidRPr="000D3495">
              <w:rPr>
                <w:rFonts w:cs="Calibri" w:hint="eastAsia"/>
                <w:b/>
                <w:bCs/>
                <w:szCs w:val="24"/>
                <w:lang w:eastAsia="zh-CN"/>
              </w:rPr>
              <w:t>相关参考：</w:t>
            </w:r>
          </w:p>
        </w:tc>
        <w:bookmarkStart w:id="4" w:name="lt_pId453"/>
        <w:tc>
          <w:tcPr>
            <w:tcW w:w="7258" w:type="dxa"/>
            <w:tcBorders>
              <w:top w:val="single" w:sz="4" w:space="0" w:color="auto"/>
              <w:left w:val="single" w:sz="2" w:space="0" w:color="auto"/>
              <w:bottom w:val="single" w:sz="12" w:space="0" w:color="auto"/>
              <w:right w:val="single" w:sz="2" w:space="0" w:color="auto"/>
            </w:tcBorders>
            <w:vAlign w:val="center"/>
          </w:tcPr>
          <w:p w14:paraId="5BDFCFC4" w14:textId="34E19669" w:rsidR="00554570" w:rsidRPr="000D3495" w:rsidRDefault="002B4C0F" w:rsidP="002B4C0F">
            <w:pPr>
              <w:spacing w:before="240" w:after="120"/>
              <w:rPr>
                <w:rFonts w:cs="Calibri"/>
                <w:b/>
                <w:bCs/>
                <w:szCs w:val="24"/>
              </w:rPr>
            </w:pPr>
            <w:r w:rsidRPr="000D3495">
              <w:fldChar w:fldCharType="begin"/>
            </w:r>
            <w:r w:rsidR="004D4E8D">
              <w:rPr>
                <w:szCs w:val="24"/>
              </w:rPr>
              <w:instrText>HYPERLINK "https://www.itu.int/md/S20-CL-C-0062/en"</w:instrText>
            </w:r>
            <w:r w:rsidRPr="000D3495">
              <w:fldChar w:fldCharType="separate"/>
            </w:r>
            <w:bookmarkStart w:id="5" w:name="lt_pId012"/>
            <w:r w:rsidRPr="000D3495">
              <w:rPr>
                <w:rStyle w:val="Hyperlink"/>
                <w:b/>
                <w:bCs/>
                <w:szCs w:val="24"/>
              </w:rPr>
              <w:t>C20/62</w:t>
            </w:r>
            <w:bookmarkEnd w:id="5"/>
            <w:r w:rsidRPr="000D3495">
              <w:rPr>
                <w:rStyle w:val="Hyperlink"/>
                <w:b/>
                <w:bCs/>
                <w:szCs w:val="24"/>
              </w:rPr>
              <w:fldChar w:fldCharType="end"/>
            </w:r>
            <w:r w:rsidRPr="000D3495">
              <w:rPr>
                <w:rStyle w:val="Hyperlink"/>
                <w:rFonts w:hint="eastAsia"/>
                <w:b/>
                <w:bCs/>
                <w:szCs w:val="24"/>
                <w:lang w:eastAsia="zh-CN"/>
              </w:rPr>
              <w:t>号文件</w:t>
            </w:r>
            <w:bookmarkEnd w:id="4"/>
          </w:p>
        </w:tc>
      </w:tr>
      <w:tr w:rsidR="00554570" w:rsidRPr="000D3495" w14:paraId="6D1151D2" w14:textId="77777777" w:rsidTr="00C05152">
        <w:trPr>
          <w:cantSplit/>
          <w:trHeight w:val="156"/>
        </w:trPr>
        <w:tc>
          <w:tcPr>
            <w:tcW w:w="2835" w:type="dxa"/>
          </w:tcPr>
          <w:p w14:paraId="0CA15C98" w14:textId="77777777" w:rsidR="00554570" w:rsidRPr="000D3495" w:rsidRDefault="00554570" w:rsidP="00FA7FCF">
            <w:pPr>
              <w:rPr>
                <w:szCs w:val="24"/>
              </w:rPr>
            </w:pPr>
          </w:p>
        </w:tc>
        <w:tc>
          <w:tcPr>
            <w:tcW w:w="7258" w:type="dxa"/>
            <w:tcBorders>
              <w:top w:val="single" w:sz="12" w:space="0" w:color="auto"/>
              <w:bottom w:val="single" w:sz="2" w:space="0" w:color="auto"/>
            </w:tcBorders>
          </w:tcPr>
          <w:p w14:paraId="2569F60F" w14:textId="77777777" w:rsidR="00554570" w:rsidRPr="000D3495" w:rsidRDefault="00554570" w:rsidP="00FA7FCF">
            <w:pPr>
              <w:rPr>
                <w:szCs w:val="24"/>
              </w:rPr>
            </w:pPr>
          </w:p>
        </w:tc>
      </w:tr>
      <w:tr w:rsidR="000115D3" w:rsidRPr="00620E8B" w14:paraId="3CFACB02" w14:textId="77777777" w:rsidTr="00C05152">
        <w:trPr>
          <w:cantSplit/>
        </w:trPr>
        <w:tc>
          <w:tcPr>
            <w:tcW w:w="10093" w:type="dxa"/>
            <w:gridSpan w:val="2"/>
            <w:tcBorders>
              <w:top w:val="single" w:sz="12" w:space="0" w:color="auto"/>
              <w:left w:val="single" w:sz="12" w:space="0" w:color="auto"/>
              <w:bottom w:val="single" w:sz="12" w:space="0" w:color="auto"/>
              <w:right w:val="single" w:sz="12" w:space="0" w:color="auto"/>
            </w:tcBorders>
          </w:tcPr>
          <w:p w14:paraId="4BE195AD" w14:textId="77777777" w:rsidR="000115D3" w:rsidRPr="00620E8B" w:rsidRDefault="000115D3" w:rsidP="000115D3">
            <w:pPr>
              <w:pStyle w:val="Headingb"/>
              <w:keepNext w:val="0"/>
              <w:keepLines w:val="0"/>
              <w:spacing w:before="120" w:after="120"/>
              <w:rPr>
                <w:rFonts w:cs="Calibri"/>
                <w:szCs w:val="24"/>
                <w:lang w:eastAsia="zh-CN"/>
              </w:rPr>
            </w:pPr>
            <w:r w:rsidRPr="00620E8B">
              <w:rPr>
                <w:rFonts w:cs="Calibri" w:hint="eastAsia"/>
                <w:szCs w:val="24"/>
                <w:lang w:eastAsia="zh-CN"/>
              </w:rPr>
              <w:lastRenderedPageBreak/>
              <w:t>与</w:t>
            </w:r>
            <w:r w:rsidRPr="00620E8B">
              <w:rPr>
                <w:rFonts w:cs="Calibri"/>
                <w:szCs w:val="24"/>
                <w:lang w:eastAsia="zh-CN"/>
              </w:rPr>
              <w:t>C20/62</w:t>
            </w:r>
            <w:r w:rsidRPr="00620E8B">
              <w:rPr>
                <w:rFonts w:cs="Calibri" w:hint="eastAsia"/>
                <w:szCs w:val="24"/>
                <w:lang w:eastAsia="zh-CN"/>
              </w:rPr>
              <w:t>号文件相关的意见</w:t>
            </w:r>
          </w:p>
          <w:p w14:paraId="2837F673" w14:textId="3A25DBFC" w:rsidR="000115D3" w:rsidRPr="00620E8B" w:rsidRDefault="0011675D" w:rsidP="00620E8B">
            <w:pPr>
              <w:pStyle w:val="Headingb"/>
              <w:spacing w:after="120"/>
              <w:rPr>
                <w:b w:val="0"/>
                <w:lang w:eastAsia="zh-CN"/>
              </w:rPr>
            </w:pPr>
            <w:bookmarkStart w:id="6" w:name="lt_pId014"/>
            <w:proofErr w:type="spellStart"/>
            <w:r w:rsidRPr="00620E8B">
              <w:rPr>
                <w:rFonts w:hint="eastAsia"/>
              </w:rPr>
              <w:t>背景情况</w:t>
            </w:r>
            <w:bookmarkEnd w:id="6"/>
            <w:proofErr w:type="spellEnd"/>
          </w:p>
          <w:p w14:paraId="39F356DE" w14:textId="2D22429F" w:rsidR="0011675D" w:rsidRPr="00620E8B" w:rsidRDefault="00620E8B" w:rsidP="00620E8B">
            <w:pPr>
              <w:pStyle w:val="enumlev1"/>
              <w:rPr>
                <w:lang w:eastAsia="zh-CN"/>
              </w:rPr>
            </w:pPr>
            <w:r>
              <w:rPr>
                <w:lang w:eastAsia="zh-CN"/>
              </w:rPr>
              <w:t>–</w:t>
            </w:r>
            <w:r>
              <w:rPr>
                <w:lang w:eastAsia="zh-CN"/>
              </w:rPr>
              <w:tab/>
            </w:r>
            <w:r w:rsidR="0011675D" w:rsidRPr="00620E8B">
              <w:rPr>
                <w:lang w:eastAsia="zh-CN"/>
              </w:rPr>
              <w:t>信息通信技术发展指数（</w:t>
            </w:r>
            <w:r w:rsidR="0011675D" w:rsidRPr="00620E8B">
              <w:rPr>
                <w:lang w:eastAsia="zh-CN"/>
              </w:rPr>
              <w:t>IDI</w:t>
            </w:r>
            <w:r w:rsidR="0011675D" w:rsidRPr="00620E8B">
              <w:rPr>
                <w:lang w:eastAsia="zh-CN"/>
              </w:rPr>
              <w:t>）对</w:t>
            </w:r>
            <w:r w:rsidR="0011675D" w:rsidRPr="00620E8B">
              <w:rPr>
                <w:lang w:eastAsia="zh-CN"/>
              </w:rPr>
              <w:t>2009</w:t>
            </w:r>
            <w:r w:rsidR="0011675D" w:rsidRPr="00620E8B">
              <w:rPr>
                <w:lang w:eastAsia="zh-CN"/>
              </w:rPr>
              <w:t>年以来各国在信息通信技术基础设施、获取和使用方面的</w:t>
            </w:r>
            <w:r w:rsidR="0011675D" w:rsidRPr="00620E8B">
              <w:rPr>
                <w:rFonts w:hint="eastAsia"/>
                <w:lang w:eastAsia="zh-CN"/>
              </w:rPr>
              <w:t>成绩</w:t>
            </w:r>
            <w:r w:rsidR="0011675D" w:rsidRPr="00620E8B">
              <w:rPr>
                <w:lang w:eastAsia="zh-CN"/>
              </w:rPr>
              <w:t>进行排名。</w:t>
            </w:r>
          </w:p>
          <w:p w14:paraId="2BD0E9A9" w14:textId="54CF895D" w:rsidR="0011675D" w:rsidRPr="00620E8B" w:rsidRDefault="00620E8B" w:rsidP="00620E8B">
            <w:pPr>
              <w:pStyle w:val="enumlev1"/>
              <w:rPr>
                <w:lang w:eastAsia="zh-CN"/>
              </w:rPr>
            </w:pPr>
            <w:r>
              <w:rPr>
                <w:lang w:eastAsia="zh-CN"/>
              </w:rPr>
              <w:t>–</w:t>
            </w:r>
            <w:r>
              <w:rPr>
                <w:lang w:eastAsia="zh-CN"/>
              </w:rPr>
              <w:tab/>
            </w:r>
            <w:r w:rsidR="0011675D" w:rsidRPr="00620E8B">
              <w:rPr>
                <w:lang w:eastAsia="zh-CN"/>
              </w:rPr>
              <w:t>2017</w:t>
            </w:r>
            <w:r w:rsidR="0011675D" w:rsidRPr="00620E8B">
              <w:rPr>
                <w:lang w:eastAsia="zh-CN"/>
              </w:rPr>
              <w:t>年</w:t>
            </w:r>
            <w:r w:rsidR="0011675D" w:rsidRPr="00620E8B">
              <w:rPr>
                <w:lang w:eastAsia="zh-CN"/>
              </w:rPr>
              <w:t>3</w:t>
            </w:r>
            <w:r w:rsidR="0011675D" w:rsidRPr="00620E8B">
              <w:rPr>
                <w:lang w:eastAsia="zh-CN"/>
              </w:rPr>
              <w:t>月，国际电联召集信息通信技术统计领域的所有成员和专家召开</w:t>
            </w:r>
            <w:r w:rsidR="0011675D" w:rsidRPr="00620E8B">
              <w:rPr>
                <w:rFonts w:hint="eastAsia"/>
                <w:lang w:eastAsia="zh-CN"/>
              </w:rPr>
              <w:t>了一次</w:t>
            </w:r>
            <w:r w:rsidR="0011675D" w:rsidRPr="00620E8B">
              <w:rPr>
                <w:lang w:eastAsia="zh-CN"/>
              </w:rPr>
              <w:t>特别会议，更新</w:t>
            </w:r>
            <w:r w:rsidR="0011675D" w:rsidRPr="00620E8B">
              <w:rPr>
                <w:lang w:eastAsia="zh-CN"/>
              </w:rPr>
              <w:t>IDI</w:t>
            </w:r>
            <w:r w:rsidR="0011675D" w:rsidRPr="00620E8B">
              <w:rPr>
                <w:lang w:eastAsia="zh-CN"/>
              </w:rPr>
              <w:t>的结构。</w:t>
            </w:r>
          </w:p>
          <w:p w14:paraId="2CD40CE4" w14:textId="1EB24B54" w:rsidR="0011675D" w:rsidRPr="00620E8B" w:rsidRDefault="00620E8B" w:rsidP="00620E8B">
            <w:pPr>
              <w:pStyle w:val="enumlev1"/>
              <w:rPr>
                <w:lang w:eastAsia="zh-CN"/>
              </w:rPr>
            </w:pPr>
            <w:r>
              <w:rPr>
                <w:lang w:eastAsia="zh-CN"/>
              </w:rPr>
              <w:t>–</w:t>
            </w:r>
            <w:r>
              <w:rPr>
                <w:lang w:eastAsia="zh-CN"/>
              </w:rPr>
              <w:tab/>
            </w:r>
            <w:r w:rsidR="0011675D" w:rsidRPr="00620E8B">
              <w:rPr>
                <w:lang w:eastAsia="zh-CN"/>
              </w:rPr>
              <w:t>特别会议的主要目标是根据分</w:t>
            </w:r>
            <w:r w:rsidR="009809CF" w:rsidRPr="00620E8B">
              <w:rPr>
                <w:rFonts w:hint="eastAsia"/>
                <w:lang w:eastAsia="zh-CN"/>
              </w:rPr>
              <w:t>小</w:t>
            </w:r>
            <w:r w:rsidR="0011675D" w:rsidRPr="00620E8B">
              <w:rPr>
                <w:lang w:eastAsia="zh-CN"/>
              </w:rPr>
              <w:t>组和独立专家组</w:t>
            </w:r>
            <w:r w:rsidR="009809CF" w:rsidRPr="00620E8B">
              <w:rPr>
                <w:rFonts w:hint="eastAsia"/>
                <w:lang w:eastAsia="zh-CN"/>
              </w:rPr>
              <w:t>起草</w:t>
            </w:r>
            <w:r w:rsidR="0011675D" w:rsidRPr="00620E8B">
              <w:rPr>
                <w:lang w:eastAsia="zh-CN"/>
              </w:rPr>
              <w:t>的两份</w:t>
            </w:r>
            <w:r w:rsidR="009809CF" w:rsidRPr="00620E8B">
              <w:rPr>
                <w:rFonts w:hint="eastAsia"/>
                <w:lang w:eastAsia="zh-CN"/>
              </w:rPr>
              <w:t>输入</w:t>
            </w:r>
            <w:r w:rsidR="0011675D" w:rsidRPr="00620E8B">
              <w:rPr>
                <w:lang w:eastAsia="zh-CN"/>
              </w:rPr>
              <w:t>文件，讨论并商定</w:t>
            </w:r>
            <w:r w:rsidR="0011675D" w:rsidRPr="00620E8B">
              <w:rPr>
                <w:lang w:eastAsia="zh-CN"/>
              </w:rPr>
              <w:t>IDI</w:t>
            </w:r>
            <w:r w:rsidR="0011675D" w:rsidRPr="00620E8B">
              <w:rPr>
                <w:lang w:eastAsia="zh-CN"/>
              </w:rPr>
              <w:t>的一套</w:t>
            </w:r>
            <w:r w:rsidR="009809CF" w:rsidRPr="00620E8B">
              <w:rPr>
                <w:rFonts w:hint="eastAsia"/>
                <w:lang w:eastAsia="zh-CN"/>
              </w:rPr>
              <w:t>修订</w:t>
            </w:r>
            <w:r w:rsidR="0011675D" w:rsidRPr="00620E8B">
              <w:rPr>
                <w:lang w:eastAsia="zh-CN"/>
              </w:rPr>
              <w:t>指标。</w:t>
            </w:r>
          </w:p>
          <w:p w14:paraId="221AC63B" w14:textId="76A5C535" w:rsidR="009809CF" w:rsidRPr="00620E8B" w:rsidRDefault="00620E8B" w:rsidP="00620E8B">
            <w:pPr>
              <w:pStyle w:val="enumlev1"/>
              <w:rPr>
                <w:lang w:eastAsia="zh-CN"/>
              </w:rPr>
            </w:pPr>
            <w:r>
              <w:rPr>
                <w:lang w:eastAsia="zh-CN"/>
              </w:rPr>
              <w:t>–</w:t>
            </w:r>
            <w:r>
              <w:rPr>
                <w:lang w:eastAsia="zh-CN"/>
              </w:rPr>
              <w:tab/>
            </w:r>
            <w:r w:rsidR="0011675D" w:rsidRPr="00620E8B">
              <w:rPr>
                <w:lang w:eastAsia="zh-CN"/>
              </w:rPr>
              <w:t>特别会议通过了将纳入</w:t>
            </w:r>
            <w:r w:rsidR="0011675D" w:rsidRPr="00620E8B">
              <w:rPr>
                <w:lang w:eastAsia="zh-CN"/>
              </w:rPr>
              <w:t>IDI</w:t>
            </w:r>
            <w:r w:rsidR="0011675D" w:rsidRPr="00620E8B">
              <w:rPr>
                <w:lang w:eastAsia="zh-CN"/>
              </w:rPr>
              <w:t>的总共</w:t>
            </w:r>
            <w:r w:rsidR="0011675D" w:rsidRPr="00620E8B">
              <w:rPr>
                <w:lang w:eastAsia="zh-CN"/>
              </w:rPr>
              <w:t>14</w:t>
            </w:r>
            <w:r w:rsidR="0011675D" w:rsidRPr="00620E8B">
              <w:rPr>
                <w:lang w:eastAsia="zh-CN"/>
              </w:rPr>
              <w:t>项指标</w:t>
            </w:r>
            <w:r w:rsidR="009809CF" w:rsidRPr="00620E8B">
              <w:rPr>
                <w:rFonts w:hint="eastAsia"/>
                <w:lang w:eastAsia="zh-CN"/>
              </w:rPr>
              <w:t>（现行的清单只有</w:t>
            </w:r>
            <w:r w:rsidR="0011675D" w:rsidRPr="00620E8B">
              <w:rPr>
                <w:lang w:eastAsia="zh-CN"/>
              </w:rPr>
              <w:t>11</w:t>
            </w:r>
            <w:r w:rsidR="0011675D" w:rsidRPr="00620E8B">
              <w:rPr>
                <w:lang w:eastAsia="zh-CN"/>
              </w:rPr>
              <w:t>项</w:t>
            </w:r>
            <w:r w:rsidR="009809CF" w:rsidRPr="00620E8B">
              <w:rPr>
                <w:rFonts w:hint="eastAsia"/>
                <w:lang w:eastAsia="zh-CN"/>
              </w:rPr>
              <w:t>）并</w:t>
            </w:r>
            <w:r w:rsidR="0011675D" w:rsidRPr="00620E8B">
              <w:rPr>
                <w:lang w:eastAsia="zh-CN"/>
              </w:rPr>
              <w:t>修订</w:t>
            </w:r>
            <w:r w:rsidR="009809CF" w:rsidRPr="00620E8B">
              <w:rPr>
                <w:rFonts w:hint="eastAsia"/>
                <w:lang w:eastAsia="zh-CN"/>
              </w:rPr>
              <w:t>了</w:t>
            </w:r>
            <w:r w:rsidR="0011675D" w:rsidRPr="00620E8B">
              <w:rPr>
                <w:lang w:eastAsia="zh-CN"/>
              </w:rPr>
              <w:t>IDI</w:t>
            </w:r>
            <w:r w:rsidR="0011675D" w:rsidRPr="00620E8B">
              <w:rPr>
                <w:lang w:eastAsia="zh-CN"/>
              </w:rPr>
              <w:t>。</w:t>
            </w:r>
          </w:p>
          <w:p w14:paraId="0653D1A7" w14:textId="761DACF5" w:rsidR="0011675D" w:rsidRPr="00620E8B" w:rsidRDefault="00620E8B" w:rsidP="00620E8B">
            <w:pPr>
              <w:pStyle w:val="enumlev1"/>
              <w:rPr>
                <w:lang w:eastAsia="zh-CN"/>
              </w:rPr>
            </w:pPr>
            <w:r>
              <w:rPr>
                <w:lang w:eastAsia="zh-CN"/>
              </w:rPr>
              <w:t>–</w:t>
            </w:r>
            <w:r>
              <w:rPr>
                <w:lang w:eastAsia="zh-CN"/>
              </w:rPr>
              <w:tab/>
            </w:r>
            <w:r w:rsidR="0011675D" w:rsidRPr="00620E8B">
              <w:rPr>
                <w:lang w:eastAsia="zh-CN"/>
              </w:rPr>
              <w:t>商定将修订后的一</w:t>
            </w:r>
            <w:r w:rsidR="009809CF" w:rsidRPr="00620E8B">
              <w:rPr>
                <w:rFonts w:hint="eastAsia"/>
                <w:lang w:eastAsia="zh-CN"/>
              </w:rPr>
              <w:t>整</w:t>
            </w:r>
            <w:r w:rsidR="0011675D" w:rsidRPr="00620E8B">
              <w:rPr>
                <w:lang w:eastAsia="zh-CN"/>
              </w:rPr>
              <w:t>套指标</w:t>
            </w:r>
            <w:r w:rsidR="009809CF" w:rsidRPr="00620E8B">
              <w:rPr>
                <w:rFonts w:hint="eastAsia"/>
                <w:lang w:eastAsia="zh-CN"/>
              </w:rPr>
              <w:t>将</w:t>
            </w:r>
            <w:r w:rsidR="0011675D" w:rsidRPr="00620E8B">
              <w:rPr>
                <w:lang w:eastAsia="zh-CN"/>
              </w:rPr>
              <w:t>纳入</w:t>
            </w:r>
            <w:r w:rsidR="009809CF" w:rsidRPr="00620E8B">
              <w:rPr>
                <w:lang w:eastAsia="zh-CN"/>
              </w:rPr>
              <w:t>2017</w:t>
            </w:r>
            <w:r w:rsidR="009809CF" w:rsidRPr="00620E8B">
              <w:rPr>
                <w:lang w:eastAsia="zh-CN"/>
              </w:rPr>
              <w:t>年</w:t>
            </w:r>
            <w:r w:rsidR="009809CF" w:rsidRPr="00620E8B">
              <w:rPr>
                <w:rFonts w:ascii="inherit" w:hAnsi="inherit"/>
                <w:color w:val="000000"/>
                <w:shd w:val="clear" w:color="auto" w:fill="FFFFFF"/>
                <w:lang w:eastAsia="zh-CN"/>
              </w:rPr>
              <w:t>世界电信</w:t>
            </w:r>
            <w:r w:rsidR="009809CF" w:rsidRPr="00620E8B">
              <w:rPr>
                <w:rFonts w:ascii="inherit" w:hAnsi="inherit"/>
                <w:color w:val="000000"/>
                <w:shd w:val="clear" w:color="auto" w:fill="FFFFFF"/>
                <w:lang w:eastAsia="zh-CN"/>
              </w:rPr>
              <w:t>/</w:t>
            </w:r>
            <w:r w:rsidR="009809CF" w:rsidRPr="00620E8B">
              <w:rPr>
                <w:lang w:eastAsia="zh-CN"/>
              </w:rPr>
              <w:t>ICT</w:t>
            </w:r>
            <w:r w:rsidR="009809CF" w:rsidRPr="00620E8B">
              <w:rPr>
                <w:lang w:eastAsia="zh-CN"/>
              </w:rPr>
              <w:t>指标专题研讨会（</w:t>
            </w:r>
            <w:r w:rsidR="009809CF" w:rsidRPr="00620E8B">
              <w:rPr>
                <w:lang w:eastAsia="zh-CN"/>
              </w:rPr>
              <w:t>WTIS</w:t>
            </w:r>
            <w:r w:rsidR="009809CF" w:rsidRPr="00620E8B">
              <w:rPr>
                <w:rFonts w:ascii="SimSun" w:hAnsi="SimSun" w:cs="SimSun" w:hint="eastAsia"/>
                <w:color w:val="000000"/>
                <w:shd w:val="clear" w:color="auto" w:fill="FFFFFF"/>
                <w:lang w:eastAsia="zh-CN"/>
              </w:rPr>
              <w:t>）</w:t>
            </w:r>
            <w:r w:rsidR="009809CF" w:rsidRPr="00620E8B">
              <w:rPr>
                <w:rFonts w:hint="eastAsia"/>
                <w:lang w:eastAsia="zh-CN"/>
              </w:rPr>
              <w:t>的</w:t>
            </w:r>
            <w:r w:rsidR="009809CF" w:rsidRPr="00620E8B">
              <w:rPr>
                <w:lang w:eastAsia="zh-CN"/>
              </w:rPr>
              <w:t>IDI</w:t>
            </w:r>
            <w:r w:rsidR="009809CF" w:rsidRPr="00620E8B">
              <w:rPr>
                <w:rFonts w:hint="eastAsia"/>
                <w:lang w:eastAsia="zh-CN"/>
              </w:rPr>
              <w:t>中并</w:t>
            </w:r>
            <w:r w:rsidR="0011675D" w:rsidRPr="00620E8B">
              <w:rPr>
                <w:lang w:eastAsia="zh-CN"/>
              </w:rPr>
              <w:t>于</w:t>
            </w:r>
            <w:r w:rsidR="0011675D" w:rsidRPr="00620E8B">
              <w:rPr>
                <w:lang w:eastAsia="zh-CN"/>
              </w:rPr>
              <w:t>2018</w:t>
            </w:r>
            <w:r w:rsidR="0011675D" w:rsidRPr="00620E8B">
              <w:rPr>
                <w:lang w:eastAsia="zh-CN"/>
              </w:rPr>
              <w:t>年发布。</w:t>
            </w:r>
          </w:p>
          <w:p w14:paraId="4DC9F382" w14:textId="1E2AC4D5" w:rsidR="0011675D" w:rsidRPr="00620E8B" w:rsidRDefault="00620E8B" w:rsidP="00620E8B">
            <w:pPr>
              <w:pStyle w:val="enumlev1"/>
              <w:rPr>
                <w:lang w:eastAsia="zh-CN"/>
              </w:rPr>
            </w:pPr>
            <w:r>
              <w:rPr>
                <w:lang w:eastAsia="zh-CN"/>
              </w:rPr>
              <w:t>–</w:t>
            </w:r>
            <w:r>
              <w:rPr>
                <w:lang w:eastAsia="zh-CN"/>
              </w:rPr>
              <w:tab/>
            </w:r>
            <w:r w:rsidR="0011675D" w:rsidRPr="00620E8B">
              <w:rPr>
                <w:lang w:eastAsia="zh-CN"/>
              </w:rPr>
              <w:t>2018</w:t>
            </w:r>
            <w:r w:rsidR="0011675D" w:rsidRPr="00620E8B">
              <w:rPr>
                <w:lang w:eastAsia="zh-CN"/>
              </w:rPr>
              <w:t>年，没有</w:t>
            </w:r>
            <w:r w:rsidR="009809CF" w:rsidRPr="00620E8B">
              <w:rPr>
                <w:rFonts w:hint="eastAsia"/>
                <w:lang w:eastAsia="zh-CN"/>
              </w:rPr>
              <w:t>发布</w:t>
            </w:r>
            <w:r w:rsidR="0011675D" w:rsidRPr="00620E8B">
              <w:rPr>
                <w:lang w:eastAsia="zh-CN"/>
              </w:rPr>
              <w:t>IDI</w:t>
            </w:r>
            <w:r w:rsidR="0011675D" w:rsidRPr="00620E8B">
              <w:rPr>
                <w:lang w:eastAsia="zh-CN"/>
              </w:rPr>
              <w:t>，以便在数据</w:t>
            </w:r>
            <w:r w:rsidR="009809CF" w:rsidRPr="00620E8B">
              <w:rPr>
                <w:rFonts w:hint="eastAsia"/>
                <w:lang w:eastAsia="zh-CN"/>
              </w:rPr>
              <w:t>收集</w:t>
            </w:r>
            <w:r w:rsidR="0011675D" w:rsidRPr="00620E8B">
              <w:rPr>
                <w:lang w:eastAsia="zh-CN"/>
              </w:rPr>
              <w:t>方面</w:t>
            </w:r>
            <w:r w:rsidR="009809CF" w:rsidRPr="00620E8B">
              <w:rPr>
                <w:rFonts w:hint="eastAsia"/>
                <w:lang w:eastAsia="zh-CN"/>
              </w:rPr>
              <w:t>让</w:t>
            </w:r>
            <w:r w:rsidR="0011675D" w:rsidRPr="00620E8B">
              <w:rPr>
                <w:lang w:eastAsia="zh-CN"/>
              </w:rPr>
              <w:t>成员国平稳过渡，国际电联将新</w:t>
            </w:r>
            <w:r w:rsidR="0011675D" w:rsidRPr="00620E8B">
              <w:rPr>
                <w:lang w:eastAsia="zh-CN"/>
              </w:rPr>
              <w:t>IDI</w:t>
            </w:r>
            <w:r w:rsidR="009809CF" w:rsidRPr="00620E8B">
              <w:rPr>
                <w:rFonts w:hint="eastAsia"/>
                <w:lang w:eastAsia="zh-CN"/>
              </w:rPr>
              <w:t>的发布</w:t>
            </w:r>
            <w:r w:rsidR="0011675D" w:rsidRPr="00620E8B">
              <w:rPr>
                <w:lang w:eastAsia="zh-CN"/>
              </w:rPr>
              <w:t>推迟到</w:t>
            </w:r>
            <w:r w:rsidR="0011675D" w:rsidRPr="00620E8B">
              <w:rPr>
                <w:lang w:eastAsia="zh-CN"/>
              </w:rPr>
              <w:t>2019</w:t>
            </w:r>
            <w:r w:rsidR="0011675D" w:rsidRPr="00620E8B">
              <w:rPr>
                <w:lang w:eastAsia="zh-CN"/>
              </w:rPr>
              <w:t>年。</w:t>
            </w:r>
          </w:p>
          <w:p w14:paraId="558B32C0" w14:textId="7379C8A6" w:rsidR="0011675D" w:rsidRPr="00620E8B" w:rsidRDefault="00620E8B" w:rsidP="00620E8B">
            <w:pPr>
              <w:pStyle w:val="enumlev1"/>
              <w:rPr>
                <w:lang w:eastAsia="zh-CN"/>
              </w:rPr>
            </w:pPr>
            <w:r>
              <w:rPr>
                <w:lang w:eastAsia="zh-CN"/>
              </w:rPr>
              <w:t>–</w:t>
            </w:r>
            <w:r>
              <w:rPr>
                <w:lang w:eastAsia="zh-CN"/>
              </w:rPr>
              <w:tab/>
            </w:r>
            <w:r w:rsidR="0011675D" w:rsidRPr="00620E8B">
              <w:rPr>
                <w:lang w:eastAsia="zh-CN"/>
              </w:rPr>
              <w:t>2019</w:t>
            </w:r>
            <w:r w:rsidR="0011675D" w:rsidRPr="00620E8B">
              <w:rPr>
                <w:lang w:eastAsia="zh-CN"/>
              </w:rPr>
              <w:t>年，国际电联宣布，它已决定采用旧结构编制信息通信技术发展指数。这一宣布是在</w:t>
            </w:r>
            <w:r w:rsidR="0011675D" w:rsidRPr="00620E8B">
              <w:rPr>
                <w:lang w:eastAsia="zh-CN"/>
              </w:rPr>
              <w:t>2019</w:t>
            </w:r>
            <w:r w:rsidR="0011675D" w:rsidRPr="00620E8B">
              <w:rPr>
                <w:lang w:eastAsia="zh-CN"/>
              </w:rPr>
              <w:t>年</w:t>
            </w:r>
            <w:r w:rsidR="0011675D" w:rsidRPr="00620E8B">
              <w:rPr>
                <w:lang w:eastAsia="zh-CN"/>
              </w:rPr>
              <w:t>9</w:t>
            </w:r>
            <w:r w:rsidR="0011675D" w:rsidRPr="00620E8B">
              <w:rPr>
                <w:lang w:eastAsia="zh-CN"/>
              </w:rPr>
              <w:t>月</w:t>
            </w:r>
            <w:r w:rsidR="0011675D" w:rsidRPr="00620E8B">
              <w:rPr>
                <w:lang w:eastAsia="zh-CN"/>
              </w:rPr>
              <w:t>17</w:t>
            </w:r>
            <w:r w:rsidR="009809CF" w:rsidRPr="00620E8B">
              <w:rPr>
                <w:lang w:eastAsia="zh-CN"/>
              </w:rPr>
              <w:t>-</w:t>
            </w:r>
            <w:r w:rsidR="0011675D" w:rsidRPr="00620E8B">
              <w:rPr>
                <w:lang w:eastAsia="zh-CN"/>
              </w:rPr>
              <w:t>20</w:t>
            </w:r>
            <w:r w:rsidR="0011675D" w:rsidRPr="00620E8B">
              <w:rPr>
                <w:lang w:eastAsia="zh-CN"/>
              </w:rPr>
              <w:t>日在国际电联举行的</w:t>
            </w:r>
            <w:r w:rsidR="009809CF" w:rsidRPr="00620E8B">
              <w:rPr>
                <w:lang w:eastAsia="zh-CN"/>
              </w:rPr>
              <w:t>第</w:t>
            </w:r>
            <w:r w:rsidR="009809CF" w:rsidRPr="00620E8B">
              <w:rPr>
                <w:rFonts w:hint="eastAsia"/>
                <w:lang w:eastAsia="zh-CN"/>
              </w:rPr>
              <w:t>1</w:t>
            </w:r>
            <w:r w:rsidR="009809CF" w:rsidRPr="00620E8B">
              <w:rPr>
                <w:lang w:eastAsia="zh-CN"/>
              </w:rPr>
              <w:t>0</w:t>
            </w:r>
            <w:r w:rsidR="009809CF" w:rsidRPr="00620E8B">
              <w:rPr>
                <w:lang w:eastAsia="zh-CN"/>
              </w:rPr>
              <w:t>次</w:t>
            </w:r>
            <w:r w:rsidR="0011675D" w:rsidRPr="00620E8B">
              <w:rPr>
                <w:lang w:eastAsia="zh-CN"/>
              </w:rPr>
              <w:t>国际电联专家组会议上做出的。国际电联提到了数据</w:t>
            </w:r>
            <w:r w:rsidR="009809CF" w:rsidRPr="00620E8B">
              <w:rPr>
                <w:rFonts w:hint="eastAsia"/>
                <w:lang w:eastAsia="zh-CN"/>
              </w:rPr>
              <w:t>收集</w:t>
            </w:r>
            <w:r w:rsidR="0011675D" w:rsidRPr="00620E8B">
              <w:rPr>
                <w:lang w:eastAsia="zh-CN"/>
              </w:rPr>
              <w:t>、数据质量和选择新指标</w:t>
            </w:r>
            <w:r w:rsidR="009809CF" w:rsidRPr="00620E8B">
              <w:rPr>
                <w:rFonts w:hint="eastAsia"/>
                <w:lang w:eastAsia="zh-CN"/>
              </w:rPr>
              <w:t>等</w:t>
            </w:r>
            <w:r w:rsidR="0011675D" w:rsidRPr="00620E8B">
              <w:rPr>
                <w:lang w:eastAsia="zh-CN"/>
              </w:rPr>
              <w:t>方面</w:t>
            </w:r>
            <w:r w:rsidR="009809CF" w:rsidRPr="00620E8B">
              <w:rPr>
                <w:rFonts w:hint="eastAsia"/>
                <w:lang w:eastAsia="zh-CN"/>
              </w:rPr>
              <w:t>面临的</w:t>
            </w:r>
            <w:r w:rsidR="0011675D" w:rsidRPr="00620E8B">
              <w:rPr>
                <w:lang w:eastAsia="zh-CN"/>
              </w:rPr>
              <w:t>问题和挑战。</w:t>
            </w:r>
          </w:p>
          <w:p w14:paraId="0BD653EF" w14:textId="173371E9" w:rsidR="008F29CA" w:rsidRPr="00620E8B" w:rsidRDefault="00620E8B" w:rsidP="00620E8B">
            <w:pPr>
              <w:pStyle w:val="enumlev1"/>
              <w:rPr>
                <w:lang w:eastAsia="zh-CN"/>
              </w:rPr>
            </w:pPr>
            <w:r>
              <w:rPr>
                <w:lang w:eastAsia="zh-CN"/>
              </w:rPr>
              <w:t>–</w:t>
            </w:r>
            <w:r>
              <w:rPr>
                <w:lang w:eastAsia="zh-CN"/>
              </w:rPr>
              <w:tab/>
            </w:r>
            <w:r w:rsidR="0011675D" w:rsidRPr="00620E8B">
              <w:rPr>
                <w:lang w:eastAsia="zh-CN"/>
              </w:rPr>
              <w:t>阿联酋和其他国家表示难以接受这种方法，因为过去几年</w:t>
            </w:r>
            <w:r w:rsidR="008F29CA" w:rsidRPr="00620E8B">
              <w:rPr>
                <w:rFonts w:hint="eastAsia"/>
                <w:lang w:eastAsia="zh-CN"/>
              </w:rPr>
              <w:t>为</w:t>
            </w:r>
            <w:r w:rsidR="0011675D" w:rsidRPr="00620E8B">
              <w:rPr>
                <w:lang w:eastAsia="zh-CN"/>
              </w:rPr>
              <w:t>确定新</w:t>
            </w:r>
            <w:r w:rsidR="0011675D" w:rsidRPr="00620E8B">
              <w:rPr>
                <w:lang w:eastAsia="zh-CN"/>
              </w:rPr>
              <w:t>IDI</w:t>
            </w:r>
            <w:r w:rsidR="0011675D" w:rsidRPr="00620E8B">
              <w:rPr>
                <w:lang w:eastAsia="zh-CN"/>
              </w:rPr>
              <w:t>的方法和结构</w:t>
            </w:r>
            <w:r w:rsidR="008F29CA" w:rsidRPr="00620E8B">
              <w:rPr>
                <w:lang w:eastAsia="zh-CN"/>
              </w:rPr>
              <w:t>投入了</w:t>
            </w:r>
            <w:r w:rsidR="008F29CA" w:rsidRPr="00620E8B">
              <w:rPr>
                <w:rFonts w:hint="eastAsia"/>
                <w:lang w:eastAsia="zh-CN"/>
              </w:rPr>
              <w:t>大量的</w:t>
            </w:r>
            <w:r w:rsidR="008F29CA" w:rsidRPr="00620E8B">
              <w:rPr>
                <w:lang w:eastAsia="zh-CN"/>
              </w:rPr>
              <w:t>资源</w:t>
            </w:r>
            <w:r w:rsidR="0011675D" w:rsidRPr="00620E8B">
              <w:rPr>
                <w:lang w:eastAsia="zh-CN"/>
              </w:rPr>
              <w:t>。阿联酋还提到了国际电联第</w:t>
            </w:r>
            <w:r w:rsidR="0011675D" w:rsidRPr="00620E8B">
              <w:rPr>
                <w:lang w:eastAsia="zh-CN"/>
              </w:rPr>
              <w:t>131</w:t>
            </w:r>
            <w:r w:rsidR="0011675D" w:rsidRPr="00620E8B">
              <w:rPr>
                <w:lang w:eastAsia="zh-CN"/>
              </w:rPr>
              <w:t>号决议（</w:t>
            </w:r>
            <w:r w:rsidR="008F29CA" w:rsidRPr="00620E8B">
              <w:rPr>
                <w:rFonts w:hint="eastAsia"/>
                <w:lang w:eastAsia="zh-CN"/>
              </w:rPr>
              <w:t>2</w:t>
            </w:r>
            <w:r w:rsidR="008F29CA" w:rsidRPr="00620E8B">
              <w:rPr>
                <w:lang w:eastAsia="zh-CN"/>
              </w:rPr>
              <w:t>018</w:t>
            </w:r>
            <w:r w:rsidR="008F29CA" w:rsidRPr="00620E8B">
              <w:rPr>
                <w:rFonts w:hint="eastAsia"/>
                <w:lang w:eastAsia="zh-CN"/>
              </w:rPr>
              <w:t>年，</w:t>
            </w:r>
            <w:r w:rsidR="0011675D" w:rsidRPr="00620E8B">
              <w:rPr>
                <w:lang w:eastAsia="zh-CN"/>
              </w:rPr>
              <w:t>迪拜</w:t>
            </w:r>
            <w:r w:rsidR="008F29CA" w:rsidRPr="00620E8B">
              <w:rPr>
                <w:rFonts w:hint="eastAsia"/>
                <w:lang w:eastAsia="zh-CN"/>
              </w:rPr>
              <w:t>，</w:t>
            </w:r>
            <w:r w:rsidR="0011675D" w:rsidRPr="00620E8B">
              <w:rPr>
                <w:lang w:eastAsia="zh-CN"/>
              </w:rPr>
              <w:t>修订版），以便将该问题重新提交给专家组，并已就此致函国际电联。</w:t>
            </w:r>
          </w:p>
          <w:p w14:paraId="0C6651CD" w14:textId="3EAF07A9" w:rsidR="0011675D" w:rsidRPr="00620E8B" w:rsidRDefault="00620E8B" w:rsidP="00620E8B">
            <w:pPr>
              <w:pStyle w:val="enumlev1"/>
              <w:rPr>
                <w:lang w:eastAsia="zh-CN"/>
              </w:rPr>
            </w:pPr>
            <w:r>
              <w:rPr>
                <w:lang w:eastAsia="zh-CN"/>
              </w:rPr>
              <w:t>–</w:t>
            </w:r>
            <w:r>
              <w:rPr>
                <w:lang w:eastAsia="zh-CN"/>
              </w:rPr>
              <w:tab/>
            </w:r>
            <w:r w:rsidR="0011675D" w:rsidRPr="00620E8B">
              <w:rPr>
                <w:lang w:eastAsia="zh-CN"/>
              </w:rPr>
              <w:t>国际电联已做出回应，决定通过在线投票</w:t>
            </w:r>
            <w:r w:rsidR="008F29CA" w:rsidRPr="00620E8B">
              <w:rPr>
                <w:rFonts w:hint="eastAsia"/>
                <w:lang w:eastAsia="zh-CN"/>
              </w:rPr>
              <w:t>的方式</w:t>
            </w:r>
            <w:r w:rsidR="0011675D" w:rsidRPr="00620E8B">
              <w:rPr>
                <w:lang w:eastAsia="zh-CN"/>
              </w:rPr>
              <w:t>进行</w:t>
            </w:r>
            <w:r w:rsidR="008F29CA" w:rsidRPr="00620E8B">
              <w:rPr>
                <w:rFonts w:hint="eastAsia"/>
                <w:lang w:eastAsia="zh-CN"/>
              </w:rPr>
              <w:t>磋商</w:t>
            </w:r>
            <w:r w:rsidR="0011675D" w:rsidRPr="00620E8B">
              <w:rPr>
                <w:lang w:eastAsia="zh-CN"/>
              </w:rPr>
              <w:t>。</w:t>
            </w:r>
          </w:p>
          <w:p w14:paraId="74BCD768" w14:textId="62220120" w:rsidR="0011675D" w:rsidRPr="00620E8B" w:rsidRDefault="00620E8B" w:rsidP="00620E8B">
            <w:pPr>
              <w:pStyle w:val="enumlev1"/>
              <w:rPr>
                <w:lang w:eastAsia="zh-CN"/>
              </w:rPr>
            </w:pPr>
            <w:r>
              <w:rPr>
                <w:lang w:eastAsia="zh-CN"/>
              </w:rPr>
              <w:t>–</w:t>
            </w:r>
            <w:r>
              <w:rPr>
                <w:lang w:eastAsia="zh-CN"/>
              </w:rPr>
              <w:tab/>
            </w:r>
            <w:r w:rsidR="0011675D" w:rsidRPr="00620E8B">
              <w:rPr>
                <w:lang w:eastAsia="zh-CN"/>
              </w:rPr>
              <w:t>阿联酋不接受网上投票</w:t>
            </w:r>
            <w:r w:rsidR="008F29CA" w:rsidRPr="00620E8B">
              <w:rPr>
                <w:rFonts w:hint="eastAsia"/>
                <w:lang w:eastAsia="zh-CN"/>
              </w:rPr>
              <w:t>的</w:t>
            </w:r>
            <w:r w:rsidR="003B07AB" w:rsidRPr="00620E8B">
              <w:rPr>
                <w:rFonts w:hint="eastAsia"/>
                <w:lang w:eastAsia="zh-CN"/>
              </w:rPr>
              <w:t>形式</w:t>
            </w:r>
            <w:r w:rsidR="0011675D" w:rsidRPr="00620E8B">
              <w:rPr>
                <w:lang w:eastAsia="zh-CN"/>
              </w:rPr>
              <w:t>，并要求国际电联将这一问题重新提交专家组讨论</w:t>
            </w:r>
            <w:r w:rsidR="008F29CA" w:rsidRPr="00620E8B">
              <w:rPr>
                <w:rFonts w:hint="eastAsia"/>
                <w:lang w:eastAsia="zh-CN"/>
              </w:rPr>
              <w:t>并</w:t>
            </w:r>
            <w:r w:rsidR="008F29CA" w:rsidRPr="00620E8B">
              <w:rPr>
                <w:lang w:eastAsia="zh-CN"/>
              </w:rPr>
              <w:t>根据第</w:t>
            </w:r>
            <w:r w:rsidR="008F29CA" w:rsidRPr="00620E8B">
              <w:rPr>
                <w:lang w:eastAsia="zh-CN"/>
              </w:rPr>
              <w:t>131</w:t>
            </w:r>
            <w:r w:rsidR="008F29CA" w:rsidRPr="00620E8B">
              <w:rPr>
                <w:lang w:eastAsia="zh-CN"/>
              </w:rPr>
              <w:t>号决议</w:t>
            </w:r>
            <w:r w:rsidR="008F29CA" w:rsidRPr="00620E8B">
              <w:rPr>
                <w:rFonts w:hint="eastAsia"/>
                <w:lang w:eastAsia="zh-CN"/>
              </w:rPr>
              <w:t>予以</w:t>
            </w:r>
            <w:r w:rsidR="0011675D" w:rsidRPr="00620E8B">
              <w:rPr>
                <w:lang w:eastAsia="zh-CN"/>
              </w:rPr>
              <w:t>正式批准。</w:t>
            </w:r>
            <w:bookmarkStart w:id="7" w:name="lt_pId028"/>
          </w:p>
          <w:p w14:paraId="262741AA" w14:textId="5A346B73" w:rsidR="000115D3" w:rsidRPr="00620E8B" w:rsidRDefault="00620E8B" w:rsidP="00620E8B">
            <w:pPr>
              <w:pStyle w:val="enumlev1"/>
              <w:rPr>
                <w:lang w:eastAsia="zh-CN"/>
              </w:rPr>
            </w:pPr>
            <w:r>
              <w:rPr>
                <w:lang w:eastAsia="zh-CN"/>
              </w:rPr>
              <w:t>–</w:t>
            </w:r>
            <w:r>
              <w:rPr>
                <w:lang w:eastAsia="zh-CN"/>
              </w:rPr>
              <w:tab/>
            </w:r>
            <w:r w:rsidR="008F29CA" w:rsidRPr="00620E8B">
              <w:rPr>
                <w:rFonts w:hint="eastAsia"/>
                <w:lang w:eastAsia="zh-CN"/>
              </w:rPr>
              <w:t>为此，国际电联于</w:t>
            </w:r>
            <w:r w:rsidR="008F29CA" w:rsidRPr="00620E8B">
              <w:rPr>
                <w:rFonts w:hint="eastAsia"/>
                <w:lang w:eastAsia="zh-CN"/>
              </w:rPr>
              <w:t>2</w:t>
            </w:r>
            <w:r w:rsidR="008F29CA" w:rsidRPr="00620E8B">
              <w:rPr>
                <w:lang w:eastAsia="zh-CN"/>
              </w:rPr>
              <w:t>020</w:t>
            </w:r>
            <w:r w:rsidR="008F29CA" w:rsidRPr="00620E8B">
              <w:rPr>
                <w:rFonts w:hint="eastAsia"/>
                <w:lang w:eastAsia="zh-CN"/>
              </w:rPr>
              <w:t>年</w:t>
            </w:r>
            <w:r w:rsidR="008F29CA" w:rsidRPr="00620E8B">
              <w:rPr>
                <w:rFonts w:hint="eastAsia"/>
                <w:lang w:eastAsia="zh-CN"/>
              </w:rPr>
              <w:t>2</w:t>
            </w:r>
            <w:r w:rsidR="008F29CA" w:rsidRPr="00620E8B">
              <w:rPr>
                <w:rFonts w:hint="eastAsia"/>
                <w:lang w:eastAsia="zh-CN"/>
              </w:rPr>
              <w:t>月</w:t>
            </w:r>
            <w:r w:rsidR="008F29CA" w:rsidRPr="00620E8B">
              <w:rPr>
                <w:rFonts w:hint="eastAsia"/>
                <w:lang w:eastAsia="zh-CN"/>
              </w:rPr>
              <w:t>1</w:t>
            </w:r>
            <w:r w:rsidR="008F29CA" w:rsidRPr="00620E8B">
              <w:rPr>
                <w:lang w:eastAsia="zh-CN"/>
              </w:rPr>
              <w:t>0</w:t>
            </w:r>
            <w:r w:rsidR="008F29CA" w:rsidRPr="00620E8B">
              <w:rPr>
                <w:rFonts w:hint="eastAsia"/>
                <w:lang w:eastAsia="zh-CN"/>
              </w:rPr>
              <w:t>日召开了专家组会议并在此次会议中向国际电联成员国提出一项建议，制定一项新的综合指数，将数字技术与可持续发展目标（</w:t>
            </w:r>
            <w:r w:rsidR="008F29CA" w:rsidRPr="00620E8B">
              <w:rPr>
                <w:rFonts w:hint="eastAsia"/>
                <w:lang w:eastAsia="zh-CN"/>
              </w:rPr>
              <w:t>SDG</w:t>
            </w:r>
            <w:r w:rsidR="008F29CA" w:rsidRPr="00620E8B">
              <w:rPr>
                <w:rFonts w:hint="eastAsia"/>
                <w:lang w:eastAsia="zh-CN"/>
              </w:rPr>
              <w:t>）联系起来。</w:t>
            </w:r>
            <w:bookmarkEnd w:id="7"/>
          </w:p>
          <w:p w14:paraId="78D23A11" w14:textId="32F79FCA" w:rsidR="0011675D" w:rsidRPr="00620E8B" w:rsidRDefault="00620E8B" w:rsidP="00620E8B">
            <w:pPr>
              <w:pStyle w:val="enumlev1"/>
              <w:rPr>
                <w:lang w:eastAsia="zh-CN"/>
              </w:rPr>
            </w:pPr>
            <w:bookmarkStart w:id="8" w:name="lt_pId029"/>
            <w:r>
              <w:rPr>
                <w:lang w:eastAsia="zh-CN"/>
              </w:rPr>
              <w:t>–</w:t>
            </w:r>
            <w:r>
              <w:rPr>
                <w:lang w:eastAsia="zh-CN"/>
              </w:rPr>
              <w:tab/>
            </w:r>
            <w:r w:rsidR="0011675D" w:rsidRPr="00620E8B">
              <w:rPr>
                <w:lang w:eastAsia="zh-CN"/>
              </w:rPr>
              <w:t>在</w:t>
            </w:r>
            <w:r w:rsidR="0011675D" w:rsidRPr="00620E8B">
              <w:rPr>
                <w:lang w:eastAsia="zh-CN"/>
              </w:rPr>
              <w:t>2020</w:t>
            </w:r>
            <w:r w:rsidR="0011675D" w:rsidRPr="00620E8B">
              <w:rPr>
                <w:lang w:eastAsia="zh-CN"/>
              </w:rPr>
              <w:t>年</w:t>
            </w:r>
            <w:r w:rsidR="0011675D" w:rsidRPr="00620E8B">
              <w:rPr>
                <w:lang w:eastAsia="zh-CN"/>
              </w:rPr>
              <w:t>2</w:t>
            </w:r>
            <w:r w:rsidR="0011675D" w:rsidRPr="00620E8B">
              <w:rPr>
                <w:lang w:eastAsia="zh-CN"/>
              </w:rPr>
              <w:t>月</w:t>
            </w:r>
            <w:r w:rsidR="0011675D" w:rsidRPr="00620E8B">
              <w:rPr>
                <w:lang w:eastAsia="zh-CN"/>
              </w:rPr>
              <w:t>10</w:t>
            </w:r>
            <w:r w:rsidR="0011675D" w:rsidRPr="00620E8B">
              <w:rPr>
                <w:lang w:eastAsia="zh-CN"/>
              </w:rPr>
              <w:t>日的专家组会议上，包括阿联酋在内的一些国家询问，（不）继续</w:t>
            </w:r>
            <w:r w:rsidR="008F29CA" w:rsidRPr="00620E8B">
              <w:rPr>
                <w:rFonts w:hint="eastAsia"/>
                <w:lang w:eastAsia="zh-CN"/>
              </w:rPr>
              <w:t>发布</w:t>
            </w:r>
            <w:r w:rsidR="0011675D" w:rsidRPr="00620E8B">
              <w:rPr>
                <w:lang w:eastAsia="zh-CN"/>
              </w:rPr>
              <w:t>IDI</w:t>
            </w:r>
            <w:r w:rsidR="0011675D" w:rsidRPr="00620E8B">
              <w:rPr>
                <w:lang w:eastAsia="zh-CN"/>
              </w:rPr>
              <w:t>或</w:t>
            </w:r>
            <w:r w:rsidR="008F29CA" w:rsidRPr="00620E8B">
              <w:rPr>
                <w:rFonts w:hint="eastAsia"/>
                <w:lang w:eastAsia="zh-CN"/>
              </w:rPr>
              <w:t>继续</w:t>
            </w:r>
            <w:r w:rsidR="0011675D" w:rsidRPr="00620E8B">
              <w:rPr>
                <w:lang w:eastAsia="zh-CN"/>
              </w:rPr>
              <w:t>使用旧</w:t>
            </w:r>
            <w:r w:rsidR="0011675D" w:rsidRPr="00620E8B">
              <w:rPr>
                <w:lang w:eastAsia="zh-CN"/>
              </w:rPr>
              <w:t>IDI</w:t>
            </w:r>
            <w:r w:rsidR="008F29CA" w:rsidRPr="00620E8B">
              <w:rPr>
                <w:rFonts w:hint="eastAsia"/>
                <w:lang w:eastAsia="zh-CN"/>
              </w:rPr>
              <w:t>的决定是如何做出的</w:t>
            </w:r>
            <w:r w:rsidR="0011675D" w:rsidRPr="00620E8B">
              <w:rPr>
                <w:lang w:eastAsia="zh-CN"/>
              </w:rPr>
              <w:t>，但没有得到明确答复。</w:t>
            </w:r>
            <w:r w:rsidR="008F29CA" w:rsidRPr="00620E8B">
              <w:rPr>
                <w:rFonts w:hint="eastAsia"/>
                <w:lang w:eastAsia="zh-CN"/>
              </w:rPr>
              <w:t>随后</w:t>
            </w:r>
            <w:r w:rsidR="0011675D" w:rsidRPr="00620E8B">
              <w:rPr>
                <w:lang w:eastAsia="zh-CN"/>
              </w:rPr>
              <w:t>，为可持续发展目标提出了一个新的指数。</w:t>
            </w:r>
          </w:p>
          <w:p w14:paraId="4C39D6BA" w14:textId="047B1BFF" w:rsidR="0011675D" w:rsidRPr="00620E8B" w:rsidRDefault="00620E8B" w:rsidP="00620E8B">
            <w:pPr>
              <w:pStyle w:val="enumlev1"/>
              <w:rPr>
                <w:lang w:eastAsia="zh-CN"/>
              </w:rPr>
            </w:pPr>
            <w:r>
              <w:rPr>
                <w:lang w:eastAsia="zh-CN"/>
              </w:rPr>
              <w:t>–</w:t>
            </w:r>
            <w:r>
              <w:rPr>
                <w:lang w:eastAsia="zh-CN"/>
              </w:rPr>
              <w:tab/>
            </w:r>
            <w:r w:rsidR="0011675D" w:rsidRPr="00620E8B">
              <w:rPr>
                <w:lang w:eastAsia="zh-CN"/>
              </w:rPr>
              <w:t>2020</w:t>
            </w:r>
            <w:r w:rsidR="0011675D" w:rsidRPr="00620E8B">
              <w:rPr>
                <w:lang w:eastAsia="zh-CN"/>
              </w:rPr>
              <w:t>年</w:t>
            </w:r>
            <w:r w:rsidR="0011675D" w:rsidRPr="00620E8B">
              <w:rPr>
                <w:lang w:eastAsia="zh-CN"/>
              </w:rPr>
              <w:t>3</w:t>
            </w:r>
            <w:r w:rsidR="0011675D" w:rsidRPr="00620E8B">
              <w:rPr>
                <w:lang w:eastAsia="zh-CN"/>
              </w:rPr>
              <w:t>月</w:t>
            </w:r>
            <w:r w:rsidR="0011675D" w:rsidRPr="00620E8B">
              <w:rPr>
                <w:lang w:eastAsia="zh-CN"/>
              </w:rPr>
              <w:t>25</w:t>
            </w:r>
            <w:r w:rsidR="0011675D" w:rsidRPr="00620E8B">
              <w:rPr>
                <w:lang w:eastAsia="zh-CN"/>
              </w:rPr>
              <w:t>日在</w:t>
            </w:r>
            <w:r w:rsidR="0011675D" w:rsidRPr="00620E8B">
              <w:rPr>
                <w:lang w:eastAsia="zh-CN"/>
              </w:rPr>
              <w:t>TDAG</w:t>
            </w:r>
            <w:r w:rsidR="0011675D" w:rsidRPr="00620E8B">
              <w:rPr>
                <w:lang w:eastAsia="zh-CN"/>
              </w:rPr>
              <w:t>网络对话中介绍了新的国际电联</w:t>
            </w:r>
            <w:r w:rsidR="00C4007B" w:rsidRPr="00620E8B">
              <w:rPr>
                <w:lang w:eastAsia="zh-CN"/>
              </w:rPr>
              <w:t>指数</w:t>
            </w:r>
            <w:r w:rsidR="0011675D" w:rsidRPr="00620E8B">
              <w:rPr>
                <w:lang w:eastAsia="zh-CN"/>
              </w:rPr>
              <w:t>框架。然而，在制定指数的过程中不能考虑这一点，因为</w:t>
            </w:r>
            <w:r w:rsidR="0011675D" w:rsidRPr="00620E8B">
              <w:rPr>
                <w:lang w:eastAsia="zh-CN"/>
              </w:rPr>
              <w:t>TDAG</w:t>
            </w:r>
            <w:r w:rsidR="008F29CA" w:rsidRPr="00620E8B">
              <w:rPr>
                <w:rFonts w:hint="eastAsia"/>
                <w:lang w:eastAsia="zh-CN"/>
              </w:rPr>
              <w:t>并非</w:t>
            </w:r>
            <w:r w:rsidR="0011675D" w:rsidRPr="00620E8B">
              <w:rPr>
                <w:lang w:eastAsia="zh-CN"/>
              </w:rPr>
              <w:t>由专家组成。</w:t>
            </w:r>
          </w:p>
          <w:p w14:paraId="73E0225A" w14:textId="0DBF9B38" w:rsidR="0011675D" w:rsidRPr="00620E8B" w:rsidRDefault="00620E8B" w:rsidP="00620E8B">
            <w:pPr>
              <w:pStyle w:val="enumlev1"/>
              <w:rPr>
                <w:lang w:eastAsia="zh-CN"/>
              </w:rPr>
            </w:pPr>
            <w:r>
              <w:rPr>
                <w:lang w:eastAsia="zh-CN"/>
              </w:rPr>
              <w:t>–</w:t>
            </w:r>
            <w:r>
              <w:rPr>
                <w:lang w:eastAsia="zh-CN"/>
              </w:rPr>
              <w:tab/>
            </w:r>
            <w:r w:rsidR="0011675D" w:rsidRPr="00620E8B">
              <w:rPr>
                <w:lang w:eastAsia="zh-CN"/>
              </w:rPr>
              <w:t>在</w:t>
            </w:r>
            <w:r w:rsidR="0011675D" w:rsidRPr="00620E8B">
              <w:rPr>
                <w:lang w:eastAsia="zh-CN"/>
              </w:rPr>
              <w:t>4</w:t>
            </w:r>
            <w:r w:rsidR="0011675D" w:rsidRPr="00620E8B">
              <w:rPr>
                <w:lang w:eastAsia="zh-CN"/>
              </w:rPr>
              <w:t>月</w:t>
            </w:r>
            <w:r w:rsidR="0011675D" w:rsidRPr="00620E8B">
              <w:rPr>
                <w:lang w:eastAsia="zh-CN"/>
              </w:rPr>
              <w:t>17</w:t>
            </w:r>
            <w:r w:rsidR="0011675D" w:rsidRPr="00620E8B">
              <w:rPr>
                <w:lang w:eastAsia="zh-CN"/>
              </w:rPr>
              <w:t>日的专家组会议上，国际电联提交了新的国际电联指数</w:t>
            </w:r>
            <w:r w:rsidR="008F29CA" w:rsidRPr="00620E8B">
              <w:rPr>
                <w:rFonts w:hint="eastAsia"/>
                <w:lang w:eastAsia="zh-CN"/>
              </w:rPr>
              <w:t>（</w:t>
            </w:r>
            <w:r w:rsidR="008F29CA" w:rsidRPr="00620E8B">
              <w:rPr>
                <w:rFonts w:hint="eastAsia"/>
                <w:lang w:eastAsia="zh-CN"/>
              </w:rPr>
              <w:t>S</w:t>
            </w:r>
            <w:r w:rsidR="008F29CA" w:rsidRPr="00620E8B">
              <w:rPr>
                <w:lang w:eastAsia="zh-CN"/>
              </w:rPr>
              <w:t>DG</w:t>
            </w:r>
            <w:r w:rsidR="008F29CA" w:rsidRPr="00620E8B">
              <w:rPr>
                <w:rFonts w:hint="eastAsia"/>
                <w:lang w:eastAsia="zh-CN"/>
              </w:rPr>
              <w:t>）</w:t>
            </w:r>
            <w:r w:rsidR="0011675D" w:rsidRPr="00620E8B">
              <w:rPr>
                <w:lang w:eastAsia="zh-CN"/>
              </w:rPr>
              <w:t>框架草案，供专家组讨论。</w:t>
            </w:r>
          </w:p>
          <w:p w14:paraId="5BFF45EC" w14:textId="0D8018FF" w:rsidR="000115D3" w:rsidRPr="00620E8B" w:rsidRDefault="00434FD0" w:rsidP="00620E8B">
            <w:pPr>
              <w:pStyle w:val="enumlev1"/>
              <w:rPr>
                <w:lang w:eastAsia="zh-CN"/>
              </w:rPr>
            </w:pPr>
            <w:r>
              <w:rPr>
                <w:lang w:eastAsia="zh-CN"/>
              </w:rPr>
              <w:t>–</w:t>
            </w:r>
            <w:r>
              <w:rPr>
                <w:lang w:eastAsia="zh-CN"/>
              </w:rPr>
              <w:tab/>
            </w:r>
            <w:r w:rsidR="0011675D" w:rsidRPr="00620E8B">
              <w:rPr>
                <w:lang w:eastAsia="zh-CN"/>
              </w:rPr>
              <w:t>国际电联第</w:t>
            </w:r>
            <w:r w:rsidR="0011675D" w:rsidRPr="00620E8B">
              <w:rPr>
                <w:lang w:eastAsia="zh-CN"/>
              </w:rPr>
              <w:t>131</w:t>
            </w:r>
            <w:r w:rsidR="0011675D" w:rsidRPr="00620E8B">
              <w:rPr>
                <w:lang w:eastAsia="zh-CN"/>
              </w:rPr>
              <w:t>号决议主要涉及</w:t>
            </w:r>
            <w:r w:rsidR="0011675D" w:rsidRPr="00620E8B">
              <w:rPr>
                <w:lang w:eastAsia="zh-CN"/>
              </w:rPr>
              <w:t>IDI</w:t>
            </w:r>
            <w:r w:rsidR="0011675D" w:rsidRPr="00620E8B">
              <w:rPr>
                <w:lang w:eastAsia="zh-CN"/>
              </w:rPr>
              <w:t>，</w:t>
            </w:r>
            <w:r w:rsidR="00C4007B" w:rsidRPr="00620E8B">
              <w:rPr>
                <w:rFonts w:hint="eastAsia"/>
                <w:lang w:eastAsia="zh-CN"/>
              </w:rPr>
              <w:t>并</w:t>
            </w:r>
            <w:r w:rsidR="0011675D" w:rsidRPr="00620E8B">
              <w:rPr>
                <w:lang w:eastAsia="zh-CN"/>
              </w:rPr>
              <w:t>没有</w:t>
            </w:r>
            <w:r w:rsidR="00C4007B" w:rsidRPr="00620E8B">
              <w:rPr>
                <w:rFonts w:hint="eastAsia"/>
                <w:lang w:eastAsia="zh-CN"/>
              </w:rPr>
              <w:t>决议专门规范</w:t>
            </w:r>
            <w:r w:rsidR="0011675D" w:rsidRPr="00620E8B">
              <w:rPr>
                <w:lang w:eastAsia="zh-CN"/>
              </w:rPr>
              <w:t>新的国际电联指数。</w:t>
            </w:r>
            <w:bookmarkEnd w:id="8"/>
          </w:p>
          <w:p w14:paraId="6B2A620C" w14:textId="5F7CE99A" w:rsidR="000115D3" w:rsidRPr="00620E8B" w:rsidRDefault="0011675D" w:rsidP="00434FD0">
            <w:pPr>
              <w:ind w:firstLineChars="200" w:firstLine="480"/>
              <w:rPr>
                <w:szCs w:val="24"/>
                <w:lang w:eastAsia="zh-CN"/>
              </w:rPr>
            </w:pPr>
            <w:bookmarkStart w:id="9" w:name="lt_pId035"/>
            <w:r w:rsidRPr="00620E8B">
              <w:rPr>
                <w:rFonts w:hint="eastAsia"/>
                <w:szCs w:val="24"/>
                <w:lang w:eastAsia="zh-CN"/>
              </w:rPr>
              <w:t>新指标</w:t>
            </w:r>
            <w:r w:rsidR="00C4007B" w:rsidRPr="00620E8B">
              <w:rPr>
                <w:rFonts w:hint="eastAsia"/>
                <w:szCs w:val="24"/>
                <w:lang w:eastAsia="zh-CN"/>
              </w:rPr>
              <w:t>存在</w:t>
            </w:r>
            <w:r w:rsidRPr="00620E8B">
              <w:rPr>
                <w:rFonts w:hint="eastAsia"/>
                <w:szCs w:val="24"/>
                <w:lang w:eastAsia="zh-CN"/>
              </w:rPr>
              <w:t>的问题：</w:t>
            </w:r>
            <w:bookmarkEnd w:id="9"/>
          </w:p>
          <w:p w14:paraId="5400551A" w14:textId="7EED56C0" w:rsidR="000115D3" w:rsidRPr="00620E8B" w:rsidRDefault="00434FD0" w:rsidP="00434FD0">
            <w:pPr>
              <w:pStyle w:val="enumlev1"/>
              <w:rPr>
                <w:lang w:val="en-US" w:eastAsia="zh-CN"/>
              </w:rPr>
            </w:pPr>
            <w:bookmarkStart w:id="10" w:name="lt_pId036"/>
            <w:r>
              <w:rPr>
                <w:lang w:eastAsia="zh-CN"/>
              </w:rPr>
              <w:t>•</w:t>
            </w:r>
            <w:r>
              <w:rPr>
                <w:lang w:eastAsia="zh-CN"/>
              </w:rPr>
              <w:tab/>
            </w:r>
            <w:r w:rsidR="0011675D" w:rsidRPr="00620E8B">
              <w:rPr>
                <w:lang w:eastAsia="zh-CN"/>
              </w:rPr>
              <w:t>新国际电联指数涉及许多其他部门的非信息通信技术指标，这些指标具有</w:t>
            </w:r>
            <w:r w:rsidR="00C4007B" w:rsidRPr="00620E8B">
              <w:rPr>
                <w:rFonts w:hint="eastAsia"/>
                <w:lang w:eastAsia="zh-CN"/>
              </w:rPr>
              <w:t>很大的</w:t>
            </w:r>
            <w:r w:rsidR="0011675D" w:rsidRPr="00620E8B">
              <w:rPr>
                <w:lang w:eastAsia="zh-CN"/>
              </w:rPr>
              <w:t>信息和</w:t>
            </w:r>
            <w:r w:rsidR="00C4007B" w:rsidRPr="00620E8B">
              <w:rPr>
                <w:rFonts w:hint="eastAsia"/>
                <w:lang w:eastAsia="zh-CN"/>
              </w:rPr>
              <w:t>时限</w:t>
            </w:r>
            <w:r w:rsidR="0011675D" w:rsidRPr="00620E8B">
              <w:rPr>
                <w:lang w:eastAsia="zh-CN"/>
              </w:rPr>
              <w:t>管理不善风险。</w:t>
            </w:r>
            <w:bookmarkEnd w:id="10"/>
            <w:r w:rsidR="000115D3" w:rsidRPr="00620E8B">
              <w:rPr>
                <w:lang w:eastAsia="zh-CN"/>
              </w:rPr>
              <w:t xml:space="preserve"> </w:t>
            </w:r>
          </w:p>
          <w:p w14:paraId="2BCDB245" w14:textId="71032CF1" w:rsidR="000115D3" w:rsidRPr="00620E8B" w:rsidRDefault="00434FD0" w:rsidP="00434FD0">
            <w:pPr>
              <w:pStyle w:val="enumlev1"/>
              <w:rPr>
                <w:lang w:val="en-US" w:eastAsia="zh-CN"/>
              </w:rPr>
            </w:pPr>
            <w:bookmarkStart w:id="11" w:name="lt_pId037"/>
            <w:r>
              <w:rPr>
                <w:lang w:eastAsia="zh-CN"/>
              </w:rPr>
              <w:t>•</w:t>
            </w:r>
            <w:r>
              <w:rPr>
                <w:lang w:eastAsia="zh-CN"/>
              </w:rPr>
              <w:tab/>
            </w:r>
            <w:r w:rsidR="0011675D" w:rsidRPr="00620E8B">
              <w:rPr>
                <w:lang w:eastAsia="zh-CN"/>
              </w:rPr>
              <w:t>新的指数将取决于其他国际组织（世界卫生组织、世界知识产权组织、联合国教科文组织、国际劳工组织、世界银行等，其中有</w:t>
            </w:r>
            <w:r w:rsidR="00C4007B" w:rsidRPr="00620E8B">
              <w:rPr>
                <w:rFonts w:hint="eastAsia"/>
                <w:lang w:eastAsia="zh-CN"/>
              </w:rPr>
              <w:t>些</w:t>
            </w:r>
            <w:r w:rsidR="003B07AB" w:rsidRPr="00620E8B">
              <w:rPr>
                <w:rFonts w:hint="eastAsia"/>
                <w:lang w:eastAsia="zh-CN"/>
              </w:rPr>
              <w:t>是</w:t>
            </w:r>
            <w:r w:rsidR="00C4007B" w:rsidRPr="00620E8B">
              <w:rPr>
                <w:rFonts w:hint="eastAsia"/>
                <w:lang w:eastAsia="zh-CN"/>
              </w:rPr>
              <w:t>私营</w:t>
            </w:r>
            <w:r w:rsidR="0011675D" w:rsidRPr="00620E8B">
              <w:rPr>
                <w:lang w:eastAsia="zh-CN"/>
              </w:rPr>
              <w:t>组织）</w:t>
            </w:r>
            <w:r w:rsidR="00C4007B" w:rsidRPr="00620E8B">
              <w:rPr>
                <w:rFonts w:hint="eastAsia"/>
                <w:lang w:eastAsia="zh-CN"/>
              </w:rPr>
              <w:t>发布</w:t>
            </w:r>
            <w:r w:rsidR="0011675D" w:rsidRPr="00620E8B">
              <w:rPr>
                <w:lang w:eastAsia="zh-CN"/>
              </w:rPr>
              <w:t>的报告。</w:t>
            </w:r>
            <w:bookmarkEnd w:id="11"/>
          </w:p>
          <w:p w14:paraId="0D3CC328" w14:textId="45C47432" w:rsidR="000115D3" w:rsidRPr="00620E8B" w:rsidRDefault="00434FD0" w:rsidP="00434FD0">
            <w:pPr>
              <w:pStyle w:val="enumlev1"/>
              <w:rPr>
                <w:lang w:val="en-US" w:eastAsia="zh-CN"/>
              </w:rPr>
            </w:pPr>
            <w:bookmarkStart w:id="12" w:name="lt_pId038"/>
            <w:r>
              <w:rPr>
                <w:lang w:eastAsia="zh-CN"/>
              </w:rPr>
              <w:lastRenderedPageBreak/>
              <w:t>•</w:t>
            </w:r>
            <w:r>
              <w:rPr>
                <w:lang w:eastAsia="zh-CN"/>
              </w:rPr>
              <w:tab/>
            </w:r>
            <w:r w:rsidR="0011675D" w:rsidRPr="00620E8B">
              <w:rPr>
                <w:lang w:eastAsia="zh-CN"/>
              </w:rPr>
              <w:t>专家组尚未研究新提出的指数，其衡量方法也不</w:t>
            </w:r>
            <w:r w:rsidR="00C4007B" w:rsidRPr="00620E8B">
              <w:rPr>
                <w:rFonts w:hint="eastAsia"/>
                <w:lang w:eastAsia="zh-CN"/>
              </w:rPr>
              <w:t>明确</w:t>
            </w:r>
            <w:r w:rsidR="0011675D" w:rsidRPr="00620E8B">
              <w:rPr>
                <w:lang w:eastAsia="zh-CN"/>
              </w:rPr>
              <w:t>。</w:t>
            </w:r>
            <w:bookmarkEnd w:id="12"/>
          </w:p>
          <w:p w14:paraId="6F1790F2" w14:textId="5BA91E81" w:rsidR="000115D3" w:rsidRPr="00620E8B" w:rsidRDefault="00434FD0" w:rsidP="00434FD0">
            <w:pPr>
              <w:pStyle w:val="enumlev1"/>
              <w:rPr>
                <w:lang w:val="en-US" w:eastAsia="zh-CN"/>
              </w:rPr>
            </w:pPr>
            <w:bookmarkStart w:id="13" w:name="lt_pId039"/>
            <w:r>
              <w:rPr>
                <w:lang w:eastAsia="zh-CN"/>
              </w:rPr>
              <w:t>•</w:t>
            </w:r>
            <w:r>
              <w:rPr>
                <w:lang w:eastAsia="zh-CN"/>
              </w:rPr>
              <w:tab/>
            </w:r>
            <w:r w:rsidR="0011675D" w:rsidRPr="00620E8B">
              <w:rPr>
                <w:lang w:eastAsia="zh-CN"/>
              </w:rPr>
              <w:t>根据国际电联</w:t>
            </w:r>
            <w:r w:rsidR="00C4007B" w:rsidRPr="00620E8B">
              <w:rPr>
                <w:lang w:eastAsia="zh-CN"/>
              </w:rPr>
              <w:t>2020</w:t>
            </w:r>
            <w:r w:rsidR="00C4007B" w:rsidRPr="00620E8B">
              <w:rPr>
                <w:lang w:eastAsia="zh-CN"/>
              </w:rPr>
              <w:t>年</w:t>
            </w:r>
            <w:r w:rsidR="00C4007B" w:rsidRPr="00620E8B">
              <w:rPr>
                <w:lang w:eastAsia="zh-CN"/>
              </w:rPr>
              <w:t>4</w:t>
            </w:r>
            <w:r w:rsidR="00C4007B" w:rsidRPr="00620E8B">
              <w:rPr>
                <w:lang w:eastAsia="zh-CN"/>
              </w:rPr>
              <w:t>月</w:t>
            </w:r>
            <w:r w:rsidR="00C4007B" w:rsidRPr="00620E8B">
              <w:rPr>
                <w:lang w:eastAsia="zh-CN"/>
              </w:rPr>
              <w:t>17</w:t>
            </w:r>
            <w:r w:rsidR="00C4007B" w:rsidRPr="00620E8B">
              <w:rPr>
                <w:lang w:eastAsia="zh-CN"/>
              </w:rPr>
              <w:t>日</w:t>
            </w:r>
            <w:r w:rsidR="0011675D" w:rsidRPr="00620E8B">
              <w:rPr>
                <w:lang w:eastAsia="zh-CN"/>
              </w:rPr>
              <w:t>背景文件</w:t>
            </w:r>
            <w:r w:rsidR="00C4007B" w:rsidRPr="00620E8B">
              <w:rPr>
                <w:rFonts w:hint="eastAsia"/>
                <w:lang w:eastAsia="zh-CN"/>
              </w:rPr>
              <w:t>的</w:t>
            </w:r>
            <w:r w:rsidR="0011675D" w:rsidRPr="00620E8B">
              <w:rPr>
                <w:lang w:eastAsia="zh-CN"/>
              </w:rPr>
              <w:t>介绍，只有</w:t>
            </w:r>
            <w:r w:rsidR="0011675D" w:rsidRPr="00620E8B">
              <w:rPr>
                <w:lang w:eastAsia="zh-CN"/>
              </w:rPr>
              <w:t>50</w:t>
            </w:r>
            <w:r w:rsidR="0011675D" w:rsidRPr="00620E8B">
              <w:rPr>
                <w:lang w:eastAsia="zh-CN"/>
              </w:rPr>
              <w:t>个国家拥有这些指标的数据</w:t>
            </w:r>
            <w:bookmarkEnd w:id="13"/>
            <w:r w:rsidR="00C4007B" w:rsidRPr="00620E8B">
              <w:rPr>
                <w:rFonts w:hint="eastAsia"/>
                <w:lang w:eastAsia="zh-CN"/>
              </w:rPr>
              <w:t>。</w:t>
            </w:r>
          </w:p>
          <w:p w14:paraId="762095B0" w14:textId="26C5FDFE" w:rsidR="000115D3" w:rsidRPr="00620E8B" w:rsidRDefault="00434FD0" w:rsidP="00434FD0">
            <w:pPr>
              <w:pStyle w:val="enumlev1"/>
              <w:rPr>
                <w:lang w:val="en-US" w:eastAsia="zh-CN"/>
              </w:rPr>
            </w:pPr>
            <w:bookmarkStart w:id="14" w:name="lt_pId040"/>
            <w:r>
              <w:rPr>
                <w:lang w:eastAsia="zh-CN"/>
              </w:rPr>
              <w:t>•</w:t>
            </w:r>
            <w:r>
              <w:rPr>
                <w:lang w:eastAsia="zh-CN"/>
              </w:rPr>
              <w:tab/>
            </w:r>
            <w:r w:rsidR="00C4007B" w:rsidRPr="00620E8B">
              <w:rPr>
                <w:rFonts w:hint="eastAsia"/>
                <w:lang w:val="en-US" w:eastAsia="zh-CN"/>
              </w:rPr>
              <w:t>新指数并不符合</w:t>
            </w:r>
            <w:r w:rsidR="00C4007B" w:rsidRPr="00620E8B">
              <w:rPr>
                <w:lang w:eastAsia="zh-CN"/>
              </w:rPr>
              <w:t>国际电联第</w:t>
            </w:r>
            <w:r w:rsidR="00C4007B" w:rsidRPr="00620E8B">
              <w:rPr>
                <w:lang w:eastAsia="zh-CN"/>
              </w:rPr>
              <w:t>131</w:t>
            </w:r>
            <w:r w:rsidR="00C4007B" w:rsidRPr="00620E8B">
              <w:rPr>
                <w:lang w:eastAsia="zh-CN"/>
              </w:rPr>
              <w:t>号决议</w:t>
            </w:r>
            <w:r w:rsidR="00C4007B" w:rsidRPr="00620E8B">
              <w:rPr>
                <w:rFonts w:hint="eastAsia"/>
                <w:lang w:eastAsia="zh-CN"/>
              </w:rPr>
              <w:t>，该决议明确规定</w:t>
            </w:r>
            <w:proofErr w:type="gramStart"/>
            <w:r w:rsidR="00C4007B" w:rsidRPr="00620E8B">
              <w:rPr>
                <w:rFonts w:hint="eastAsia"/>
                <w:lang w:eastAsia="zh-CN"/>
              </w:rPr>
              <w:t>：</w:t>
            </w:r>
            <w:r w:rsidR="00C4007B" w:rsidRPr="00620E8B">
              <w:rPr>
                <w:rFonts w:hint="eastAsia"/>
                <w:lang w:val="en-US" w:eastAsia="zh-CN"/>
              </w:rPr>
              <w:t>“</w:t>
            </w:r>
            <w:proofErr w:type="gramEnd"/>
            <w:r w:rsidR="00C4007B" w:rsidRPr="00620E8B">
              <w:rPr>
                <w:rFonts w:hint="eastAsia"/>
                <w:lang w:val="en-US" w:eastAsia="zh-CN"/>
              </w:rPr>
              <w:t>国际电联应为</w:t>
            </w:r>
            <w:r w:rsidR="00C4007B" w:rsidRPr="00620E8B">
              <w:rPr>
                <w:rFonts w:hint="eastAsia"/>
                <w:lang w:val="en-US" w:eastAsia="zh-CN"/>
              </w:rPr>
              <w:t>IDI</w:t>
            </w:r>
            <w:r w:rsidR="00C4007B" w:rsidRPr="00620E8B">
              <w:rPr>
                <w:rFonts w:hint="eastAsia"/>
                <w:lang w:val="en-US" w:eastAsia="zh-CN"/>
              </w:rPr>
              <w:t>和</w:t>
            </w:r>
            <w:r w:rsidR="00C4007B" w:rsidRPr="00620E8B">
              <w:rPr>
                <w:rFonts w:hint="eastAsia"/>
                <w:lang w:val="en-US" w:eastAsia="zh-CN"/>
              </w:rPr>
              <w:t>IPB</w:t>
            </w:r>
            <w:r w:rsidR="00C4007B" w:rsidRPr="00620E8B">
              <w:rPr>
                <w:rFonts w:hint="eastAsia"/>
                <w:lang w:val="en-US" w:eastAsia="zh-CN"/>
              </w:rPr>
              <w:t>结构和方法确定四年的有效期，以落实上述</w:t>
            </w:r>
            <w:r w:rsidR="00C4007B" w:rsidRPr="00620E8B">
              <w:rPr>
                <w:rFonts w:eastAsia="STKaiti" w:hint="eastAsia"/>
                <w:lang w:val="en-US" w:eastAsia="zh-CN"/>
              </w:rPr>
              <w:t>做出决议</w:t>
            </w:r>
            <w:r w:rsidR="00C4007B" w:rsidRPr="00620E8B">
              <w:rPr>
                <w:rFonts w:eastAsia="STKaiti" w:hint="eastAsia"/>
                <w:lang w:val="en-US" w:eastAsia="zh-CN"/>
              </w:rPr>
              <w:t>2</w:t>
            </w:r>
            <w:r w:rsidR="00C4007B" w:rsidRPr="00620E8B">
              <w:rPr>
                <w:rFonts w:hint="eastAsia"/>
                <w:lang w:val="en-US" w:eastAsia="zh-CN"/>
              </w:rPr>
              <w:t>，在需要重新审议和修订之时，通过在日内瓦召开的、平等代表所有发达国家和发展中国家的专家组会议进行”。</w:t>
            </w:r>
            <w:bookmarkEnd w:id="14"/>
          </w:p>
          <w:p w14:paraId="5B1B71DA" w14:textId="77777777" w:rsidR="000115D3" w:rsidRPr="00620E8B" w:rsidRDefault="000115D3" w:rsidP="00434FD0">
            <w:pPr>
              <w:pStyle w:val="Headingb"/>
              <w:keepNext w:val="0"/>
              <w:spacing w:before="240" w:after="120"/>
              <w:rPr>
                <w:color w:val="800000"/>
                <w:szCs w:val="24"/>
                <w:lang w:eastAsia="zh-CN"/>
              </w:rPr>
            </w:pPr>
            <w:bookmarkStart w:id="15" w:name="lt_pId041"/>
            <w:r w:rsidRPr="00620E8B">
              <w:rPr>
                <w:rFonts w:cs="Calibri" w:hint="eastAsia"/>
                <w:bCs/>
                <w:szCs w:val="24"/>
                <w:lang w:eastAsia="zh-CN"/>
              </w:rPr>
              <w:t>拟议前进方向</w:t>
            </w:r>
            <w:bookmarkEnd w:id="15"/>
          </w:p>
          <w:p w14:paraId="46EBAE35" w14:textId="3B115340" w:rsidR="000115D3" w:rsidRPr="00620E8B" w:rsidRDefault="00C4007B" w:rsidP="00434FD0">
            <w:pPr>
              <w:ind w:firstLineChars="200" w:firstLine="480"/>
              <w:rPr>
                <w:szCs w:val="24"/>
                <w:lang w:eastAsia="zh-CN"/>
              </w:rPr>
            </w:pPr>
            <w:bookmarkStart w:id="16" w:name="lt_pId042"/>
            <w:r w:rsidRPr="00620E8B">
              <w:rPr>
                <w:rFonts w:hint="eastAsia"/>
                <w:szCs w:val="24"/>
                <w:lang w:eastAsia="zh-CN"/>
              </w:rPr>
              <w:t>综上所述</w:t>
            </w:r>
            <w:r w:rsidRPr="00620E8B">
              <w:rPr>
                <w:szCs w:val="24"/>
                <w:lang w:eastAsia="zh-CN"/>
              </w:rPr>
              <w:t>，</w:t>
            </w:r>
            <w:r w:rsidRPr="00620E8B">
              <w:rPr>
                <w:rFonts w:hint="eastAsia"/>
                <w:szCs w:val="24"/>
                <w:lang w:eastAsia="zh-CN"/>
              </w:rPr>
              <w:t>特</w:t>
            </w:r>
            <w:r w:rsidRPr="00620E8B">
              <w:rPr>
                <w:szCs w:val="24"/>
                <w:lang w:eastAsia="zh-CN"/>
              </w:rPr>
              <w:t>建议如下</w:t>
            </w:r>
            <w:r w:rsidRPr="00620E8B">
              <w:rPr>
                <w:rFonts w:hint="eastAsia"/>
                <w:szCs w:val="24"/>
                <w:lang w:eastAsia="zh-CN"/>
              </w:rPr>
              <w:t>：</w:t>
            </w:r>
            <w:bookmarkEnd w:id="16"/>
          </w:p>
          <w:p w14:paraId="5A870450" w14:textId="577B663A" w:rsidR="000115D3" w:rsidRPr="00620E8B" w:rsidRDefault="00434FD0" w:rsidP="00434FD0">
            <w:pPr>
              <w:pStyle w:val="enumlev1"/>
              <w:rPr>
                <w:lang w:val="en-US" w:eastAsia="zh-CN"/>
              </w:rPr>
            </w:pPr>
            <w:bookmarkStart w:id="17" w:name="lt_pId043"/>
            <w:r>
              <w:rPr>
                <w:lang w:eastAsia="zh-CN"/>
              </w:rPr>
              <w:t>–</w:t>
            </w:r>
            <w:r>
              <w:rPr>
                <w:lang w:eastAsia="zh-CN"/>
              </w:rPr>
              <w:tab/>
            </w:r>
            <w:r w:rsidR="0011675D" w:rsidRPr="00620E8B">
              <w:rPr>
                <w:lang w:eastAsia="zh-CN"/>
              </w:rPr>
              <w:t>紧急要求专家组审查</w:t>
            </w:r>
            <w:r w:rsidR="00C4007B" w:rsidRPr="00620E8B">
              <w:rPr>
                <w:lang w:eastAsia="zh-CN"/>
              </w:rPr>
              <w:t>2018</w:t>
            </w:r>
            <w:r w:rsidR="00C4007B" w:rsidRPr="00620E8B">
              <w:rPr>
                <w:lang w:eastAsia="zh-CN"/>
              </w:rPr>
              <w:t>年</w:t>
            </w:r>
            <w:r w:rsidR="00C4007B" w:rsidRPr="00620E8B">
              <w:rPr>
                <w:rFonts w:hint="eastAsia"/>
                <w:lang w:eastAsia="zh-CN"/>
              </w:rPr>
              <w:t>发布的</w:t>
            </w:r>
            <w:r w:rsidR="0011675D" w:rsidRPr="00620E8B">
              <w:rPr>
                <w:lang w:eastAsia="zh-CN"/>
              </w:rPr>
              <w:t>最新</w:t>
            </w:r>
            <w:r w:rsidR="0011675D" w:rsidRPr="00620E8B">
              <w:rPr>
                <w:lang w:eastAsia="zh-CN"/>
              </w:rPr>
              <w:t>IDI</w:t>
            </w:r>
            <w:r w:rsidR="0011675D" w:rsidRPr="00620E8B">
              <w:rPr>
                <w:lang w:eastAsia="zh-CN"/>
              </w:rPr>
              <w:t>，找出并解决</w:t>
            </w:r>
            <w:r w:rsidR="00C4007B" w:rsidRPr="00620E8B">
              <w:rPr>
                <w:lang w:eastAsia="zh-CN"/>
              </w:rPr>
              <w:t>指数</w:t>
            </w:r>
            <w:r w:rsidR="0011675D" w:rsidRPr="00620E8B">
              <w:rPr>
                <w:lang w:eastAsia="zh-CN"/>
              </w:rPr>
              <w:t>中的问题，以便国际电联能够在</w:t>
            </w:r>
            <w:r w:rsidR="0011675D" w:rsidRPr="00620E8B">
              <w:rPr>
                <w:lang w:eastAsia="zh-CN"/>
              </w:rPr>
              <w:t>2020</w:t>
            </w:r>
            <w:r w:rsidR="0011675D" w:rsidRPr="00620E8B">
              <w:rPr>
                <w:lang w:eastAsia="zh-CN"/>
              </w:rPr>
              <w:t>年发布</w:t>
            </w:r>
            <w:r w:rsidR="0011675D" w:rsidRPr="00620E8B">
              <w:rPr>
                <w:lang w:eastAsia="zh-CN"/>
              </w:rPr>
              <w:t>IDI</w:t>
            </w:r>
            <w:r w:rsidR="0011675D" w:rsidRPr="00620E8B">
              <w:rPr>
                <w:lang w:eastAsia="zh-CN"/>
              </w:rPr>
              <w:t>报告，不再拖延。</w:t>
            </w:r>
            <w:bookmarkEnd w:id="17"/>
          </w:p>
          <w:p w14:paraId="15BADE9C" w14:textId="109DF134" w:rsidR="000115D3" w:rsidRPr="00620E8B" w:rsidRDefault="00434FD0" w:rsidP="00434FD0">
            <w:pPr>
              <w:pStyle w:val="enumlev1"/>
              <w:rPr>
                <w:lang w:eastAsia="zh-CN"/>
              </w:rPr>
            </w:pPr>
            <w:bookmarkStart w:id="18" w:name="lt_pId044"/>
            <w:r>
              <w:rPr>
                <w:lang w:eastAsia="zh-CN"/>
              </w:rPr>
              <w:t>–</w:t>
            </w:r>
            <w:r>
              <w:rPr>
                <w:lang w:eastAsia="zh-CN"/>
              </w:rPr>
              <w:tab/>
            </w:r>
            <w:r w:rsidR="0011675D" w:rsidRPr="00620E8B">
              <w:rPr>
                <w:lang w:eastAsia="zh-CN"/>
              </w:rPr>
              <w:t>请专家组通过</w:t>
            </w:r>
            <w:r w:rsidR="00C4007B" w:rsidRPr="00620E8B">
              <w:rPr>
                <w:rFonts w:hint="eastAsia"/>
                <w:lang w:eastAsia="zh-CN"/>
              </w:rPr>
              <w:t>由</w:t>
            </w:r>
            <w:r w:rsidR="0011675D" w:rsidRPr="00620E8B">
              <w:rPr>
                <w:lang w:eastAsia="zh-CN"/>
              </w:rPr>
              <w:t>所有</w:t>
            </w:r>
            <w:r w:rsidR="00C4007B" w:rsidRPr="00620E8B">
              <w:rPr>
                <w:rFonts w:hint="eastAsia"/>
                <w:lang w:eastAsia="zh-CN"/>
              </w:rPr>
              <w:t>主管</w:t>
            </w:r>
            <w:r w:rsidR="0011675D" w:rsidRPr="00620E8B">
              <w:rPr>
                <w:lang w:eastAsia="zh-CN"/>
              </w:rPr>
              <w:t>部门</w:t>
            </w:r>
            <w:r w:rsidR="00C4007B" w:rsidRPr="00620E8B">
              <w:rPr>
                <w:rFonts w:hint="eastAsia"/>
                <w:lang w:eastAsia="zh-CN"/>
              </w:rPr>
              <w:t>派员出席</w:t>
            </w:r>
            <w:r w:rsidR="0011675D" w:rsidRPr="00620E8B">
              <w:rPr>
                <w:lang w:eastAsia="zh-CN"/>
              </w:rPr>
              <w:t>的专家组会议，</w:t>
            </w:r>
            <w:r w:rsidR="00C4007B" w:rsidRPr="00620E8B">
              <w:rPr>
                <w:lang w:eastAsia="zh-CN"/>
              </w:rPr>
              <w:t>酌情</w:t>
            </w:r>
            <w:r w:rsidR="0011675D" w:rsidRPr="00620E8B">
              <w:rPr>
                <w:lang w:eastAsia="zh-CN"/>
              </w:rPr>
              <w:t>审查国际电联提出的新指数，直至</w:t>
            </w:r>
            <w:r w:rsidR="00C4007B" w:rsidRPr="00620E8B">
              <w:rPr>
                <w:rFonts w:hint="eastAsia"/>
                <w:lang w:eastAsia="zh-CN"/>
              </w:rPr>
              <w:t>最终</w:t>
            </w:r>
            <w:r w:rsidR="0011675D" w:rsidRPr="00620E8B">
              <w:rPr>
                <w:lang w:eastAsia="zh-CN"/>
              </w:rPr>
              <w:t>确定</w:t>
            </w:r>
            <w:r w:rsidR="00C4007B" w:rsidRPr="00620E8B">
              <w:rPr>
                <w:rFonts w:hint="eastAsia"/>
                <w:lang w:eastAsia="zh-CN"/>
              </w:rPr>
              <w:t>该指数；随后</w:t>
            </w:r>
            <w:r w:rsidR="0011675D" w:rsidRPr="00620E8B">
              <w:rPr>
                <w:lang w:eastAsia="zh-CN"/>
              </w:rPr>
              <w:t>，如果国际电联成员国同意，该指数</w:t>
            </w:r>
            <w:r w:rsidR="003B07AB" w:rsidRPr="00620E8B">
              <w:rPr>
                <w:rFonts w:hint="eastAsia"/>
                <w:lang w:eastAsia="zh-CN"/>
              </w:rPr>
              <w:t>可在</w:t>
            </w:r>
            <w:r w:rsidR="00305EE6" w:rsidRPr="00620E8B">
              <w:rPr>
                <w:rFonts w:hint="eastAsia"/>
                <w:lang w:eastAsia="zh-CN"/>
              </w:rPr>
              <w:t>未来</w:t>
            </w:r>
            <w:r w:rsidR="0011675D" w:rsidRPr="00620E8B">
              <w:rPr>
                <w:lang w:eastAsia="zh-CN"/>
              </w:rPr>
              <w:t>取代</w:t>
            </w:r>
            <w:r w:rsidR="0011675D" w:rsidRPr="00620E8B">
              <w:rPr>
                <w:lang w:eastAsia="zh-CN"/>
              </w:rPr>
              <w:t>IDI</w:t>
            </w:r>
            <w:r w:rsidR="0011675D" w:rsidRPr="00620E8B">
              <w:rPr>
                <w:lang w:eastAsia="zh-CN"/>
              </w:rPr>
              <w:t>。</w:t>
            </w:r>
            <w:bookmarkEnd w:id="18"/>
          </w:p>
        </w:tc>
      </w:tr>
      <w:bookmarkEnd w:id="2"/>
    </w:tbl>
    <w:p w14:paraId="1C0AF10D" w14:textId="77777777" w:rsidR="002B4C0F" w:rsidRDefault="002B4C0F" w:rsidP="00411C49">
      <w:pPr>
        <w:pStyle w:val="Reasons"/>
        <w:rPr>
          <w:lang w:eastAsia="zh-CN"/>
        </w:rPr>
      </w:pPr>
    </w:p>
    <w:p w14:paraId="6ACE4ACC" w14:textId="77777777" w:rsidR="002B4C0F" w:rsidRDefault="002B4C0F">
      <w:pPr>
        <w:jc w:val="center"/>
      </w:pPr>
      <w:r>
        <w:t>______________</w:t>
      </w:r>
    </w:p>
    <w:p w14:paraId="1E671B8F" w14:textId="77777777" w:rsidR="0093362E" w:rsidRDefault="0093362E" w:rsidP="00001B77">
      <w:pPr>
        <w:rPr>
          <w:lang w:eastAsia="zh-CN"/>
        </w:rPr>
      </w:pPr>
    </w:p>
    <w:sectPr w:rsidR="0093362E" w:rsidSect="006C36CD">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05774" w14:textId="77777777" w:rsidR="00554570" w:rsidRDefault="00554570">
      <w:r>
        <w:separator/>
      </w:r>
    </w:p>
  </w:endnote>
  <w:endnote w:type="continuationSeparator" w:id="0">
    <w:p w14:paraId="58577572" w14:textId="77777777" w:rsidR="00554570" w:rsidRDefault="0055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5D2B7" w14:textId="30B2FBE7" w:rsidR="00B40A53" w:rsidRPr="00712B9F" w:rsidRDefault="00434FD0" w:rsidP="002B4C0F">
    <w:pPr>
      <w:pStyle w:val="Footer"/>
      <w:rPr>
        <w:color w:val="D9D9D9" w:themeColor="background1" w:themeShade="D9"/>
      </w:rPr>
    </w:pPr>
    <w:r w:rsidRPr="00712B9F">
      <w:rPr>
        <w:color w:val="D9D9D9" w:themeColor="background1" w:themeShade="D9"/>
      </w:rPr>
      <w:fldChar w:fldCharType="begin"/>
    </w:r>
    <w:r w:rsidRPr="00712B9F">
      <w:rPr>
        <w:color w:val="D9D9D9" w:themeColor="background1" w:themeShade="D9"/>
      </w:rPr>
      <w:instrText xml:space="preserve"> FILENAME \p  \* MERGEFORMAT </w:instrText>
    </w:r>
    <w:r w:rsidRPr="00712B9F">
      <w:rPr>
        <w:color w:val="D9D9D9" w:themeColor="background1" w:themeShade="D9"/>
      </w:rPr>
      <w:fldChar w:fldCharType="separate"/>
    </w:r>
    <w:r w:rsidR="00C65078" w:rsidRPr="00712B9F">
      <w:rPr>
        <w:color w:val="D9D9D9" w:themeColor="background1" w:themeShade="D9"/>
      </w:rPr>
      <w:t>P:\CHI\SG\CONSEIL\VC\000\003C.docx</w:t>
    </w:r>
    <w:r w:rsidRPr="00712B9F">
      <w:rPr>
        <w:color w:val="D9D9D9" w:themeColor="background1" w:themeShade="D9"/>
      </w:rPr>
      <w:fldChar w:fldCharType="end"/>
    </w:r>
    <w:r w:rsidR="002B4C0F" w:rsidRPr="00712B9F">
      <w:rPr>
        <w:color w:val="D9D9D9" w:themeColor="background1" w:themeShade="D9"/>
      </w:rPr>
      <w:t xml:space="preserve"> (471693)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39B0"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FC19" w14:textId="77777777" w:rsidR="00554570" w:rsidRDefault="00554570">
      <w:r>
        <w:t>____________________</w:t>
      </w:r>
    </w:p>
  </w:footnote>
  <w:footnote w:type="continuationSeparator" w:id="0">
    <w:p w14:paraId="70DAEA34" w14:textId="77777777" w:rsidR="00554570" w:rsidRDefault="0055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E3B35" w14:textId="1CEDB0BB" w:rsidR="00AC516F" w:rsidRDefault="00AC516F" w:rsidP="00CE6F22">
    <w:pPr>
      <w:pStyle w:val="Header"/>
    </w:pPr>
    <w:r>
      <w:fldChar w:fldCharType="begin"/>
    </w:r>
    <w:r>
      <w:instrText>PAGE</w:instrText>
    </w:r>
    <w:r>
      <w:fldChar w:fldCharType="separate"/>
    </w:r>
    <w:r w:rsidR="00434FD0">
      <w:rPr>
        <w:noProof/>
      </w:rPr>
      <w:t>3</w:t>
    </w:r>
    <w:r>
      <w:rPr>
        <w:noProof/>
      </w:rPr>
      <w:fldChar w:fldCharType="end"/>
    </w:r>
  </w:p>
  <w:p w14:paraId="2B521468" w14:textId="7754D11B" w:rsidR="00AC516F" w:rsidRDefault="00554570" w:rsidP="00D453EE">
    <w:pPr>
      <w:pStyle w:val="Header"/>
      <w:rPr>
        <w:lang w:eastAsia="zh-CN"/>
      </w:rPr>
    </w:pPr>
    <w:r>
      <w:t>VC</w:t>
    </w:r>
    <w:r w:rsidR="004672E6">
      <w:t>/</w:t>
    </w:r>
    <w:r w:rsidR="002B4C0F">
      <w:rPr>
        <w:rFonts w:hint="eastAsia"/>
        <w:lang w:eastAsia="zh-CN"/>
      </w:rPr>
      <w:t>3</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B94476"/>
    <w:multiLevelType w:val="hybridMultilevel"/>
    <w:tmpl w:val="026C3150"/>
    <w:lvl w:ilvl="0" w:tplc="63809388">
      <w:numFmt w:val="bullet"/>
      <w:lvlText w:val="-"/>
      <w:lvlJc w:val="left"/>
      <w:pPr>
        <w:ind w:left="360" w:hanging="360"/>
      </w:pPr>
      <w:rPr>
        <w:rFonts w:ascii="Calibri" w:eastAsia="Times New Roman" w:hAnsi="Calibri" w:cs="Calibri" w:hint="default"/>
      </w:rPr>
    </w:lvl>
    <w:lvl w:ilvl="1" w:tplc="4F0254A0">
      <w:start w:val="1"/>
      <w:numFmt w:val="bullet"/>
      <w:lvlText w:val="o"/>
      <w:lvlJc w:val="left"/>
      <w:pPr>
        <w:ind w:left="1080" w:hanging="360"/>
      </w:pPr>
      <w:rPr>
        <w:rFonts w:ascii="Courier New" w:hAnsi="Courier New" w:cs="Courier New" w:hint="default"/>
      </w:rPr>
    </w:lvl>
    <w:lvl w:ilvl="2" w:tplc="F870ACC0" w:tentative="1">
      <w:start w:val="1"/>
      <w:numFmt w:val="bullet"/>
      <w:lvlText w:val=""/>
      <w:lvlJc w:val="left"/>
      <w:pPr>
        <w:ind w:left="1800" w:hanging="360"/>
      </w:pPr>
      <w:rPr>
        <w:rFonts w:ascii="Wingdings" w:hAnsi="Wingdings" w:hint="default"/>
      </w:rPr>
    </w:lvl>
    <w:lvl w:ilvl="3" w:tplc="C0AC08E8" w:tentative="1">
      <w:start w:val="1"/>
      <w:numFmt w:val="bullet"/>
      <w:lvlText w:val=""/>
      <w:lvlJc w:val="left"/>
      <w:pPr>
        <w:ind w:left="2520" w:hanging="360"/>
      </w:pPr>
      <w:rPr>
        <w:rFonts w:ascii="Symbol" w:hAnsi="Symbol" w:hint="default"/>
      </w:rPr>
    </w:lvl>
    <w:lvl w:ilvl="4" w:tplc="26F01D9C" w:tentative="1">
      <w:start w:val="1"/>
      <w:numFmt w:val="bullet"/>
      <w:lvlText w:val="o"/>
      <w:lvlJc w:val="left"/>
      <w:pPr>
        <w:ind w:left="3240" w:hanging="360"/>
      </w:pPr>
      <w:rPr>
        <w:rFonts w:ascii="Courier New" w:hAnsi="Courier New" w:cs="Courier New" w:hint="default"/>
      </w:rPr>
    </w:lvl>
    <w:lvl w:ilvl="5" w:tplc="6B18FA3A" w:tentative="1">
      <w:start w:val="1"/>
      <w:numFmt w:val="bullet"/>
      <w:lvlText w:val=""/>
      <w:lvlJc w:val="left"/>
      <w:pPr>
        <w:ind w:left="3960" w:hanging="360"/>
      </w:pPr>
      <w:rPr>
        <w:rFonts w:ascii="Wingdings" w:hAnsi="Wingdings" w:hint="default"/>
      </w:rPr>
    </w:lvl>
    <w:lvl w:ilvl="6" w:tplc="0B809596" w:tentative="1">
      <w:start w:val="1"/>
      <w:numFmt w:val="bullet"/>
      <w:lvlText w:val=""/>
      <w:lvlJc w:val="left"/>
      <w:pPr>
        <w:ind w:left="4680" w:hanging="360"/>
      </w:pPr>
      <w:rPr>
        <w:rFonts w:ascii="Symbol" w:hAnsi="Symbol" w:hint="default"/>
      </w:rPr>
    </w:lvl>
    <w:lvl w:ilvl="7" w:tplc="2DA8D8CE" w:tentative="1">
      <w:start w:val="1"/>
      <w:numFmt w:val="bullet"/>
      <w:lvlText w:val="o"/>
      <w:lvlJc w:val="left"/>
      <w:pPr>
        <w:ind w:left="5400" w:hanging="360"/>
      </w:pPr>
      <w:rPr>
        <w:rFonts w:ascii="Courier New" w:hAnsi="Courier New" w:cs="Courier New" w:hint="default"/>
      </w:rPr>
    </w:lvl>
    <w:lvl w:ilvl="8" w:tplc="EA1019D0" w:tentative="1">
      <w:start w:val="1"/>
      <w:numFmt w:val="bullet"/>
      <w:lvlText w:val=""/>
      <w:lvlJc w:val="left"/>
      <w:pPr>
        <w:ind w:left="6120" w:hanging="360"/>
      </w:pPr>
      <w:rPr>
        <w:rFonts w:ascii="Wingdings" w:hAnsi="Wingdings" w:hint="default"/>
      </w:rPr>
    </w:lvl>
  </w:abstractNum>
  <w:abstractNum w:abstractNumId="5"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70"/>
    <w:rsid w:val="00001B77"/>
    <w:rsid w:val="0000517A"/>
    <w:rsid w:val="000115D3"/>
    <w:rsid w:val="00031E72"/>
    <w:rsid w:val="000404D2"/>
    <w:rsid w:val="000853C0"/>
    <w:rsid w:val="0009409E"/>
    <w:rsid w:val="000A1C21"/>
    <w:rsid w:val="000D15EA"/>
    <w:rsid w:val="000D3495"/>
    <w:rsid w:val="00100D84"/>
    <w:rsid w:val="0011675D"/>
    <w:rsid w:val="00124C9D"/>
    <w:rsid w:val="00142445"/>
    <w:rsid w:val="00157773"/>
    <w:rsid w:val="0018251A"/>
    <w:rsid w:val="00190272"/>
    <w:rsid w:val="00193244"/>
    <w:rsid w:val="00195C6C"/>
    <w:rsid w:val="00195FED"/>
    <w:rsid w:val="001A4BD6"/>
    <w:rsid w:val="001D5A18"/>
    <w:rsid w:val="001F2607"/>
    <w:rsid w:val="00280EB8"/>
    <w:rsid w:val="002948B2"/>
    <w:rsid w:val="002A6670"/>
    <w:rsid w:val="002B4C0F"/>
    <w:rsid w:val="00303502"/>
    <w:rsid w:val="00305EE6"/>
    <w:rsid w:val="00325C25"/>
    <w:rsid w:val="00372C8F"/>
    <w:rsid w:val="00380ECE"/>
    <w:rsid w:val="00393DDF"/>
    <w:rsid w:val="00397F55"/>
    <w:rsid w:val="003B07AB"/>
    <w:rsid w:val="003B4454"/>
    <w:rsid w:val="003C2E37"/>
    <w:rsid w:val="003F1415"/>
    <w:rsid w:val="0040144C"/>
    <w:rsid w:val="00403EB7"/>
    <w:rsid w:val="00430BF0"/>
    <w:rsid w:val="00434FD0"/>
    <w:rsid w:val="004672E6"/>
    <w:rsid w:val="00474ED1"/>
    <w:rsid w:val="00475DAD"/>
    <w:rsid w:val="00493085"/>
    <w:rsid w:val="00495D3B"/>
    <w:rsid w:val="004A36EC"/>
    <w:rsid w:val="004D163F"/>
    <w:rsid w:val="004D4E8D"/>
    <w:rsid w:val="004E4BFF"/>
    <w:rsid w:val="004F2598"/>
    <w:rsid w:val="005403F7"/>
    <w:rsid w:val="00540632"/>
    <w:rsid w:val="00541CF4"/>
    <w:rsid w:val="005451E8"/>
    <w:rsid w:val="005507F2"/>
    <w:rsid w:val="00554570"/>
    <w:rsid w:val="005759CC"/>
    <w:rsid w:val="005A72E1"/>
    <w:rsid w:val="005C6632"/>
    <w:rsid w:val="005D1C9E"/>
    <w:rsid w:val="005E18CE"/>
    <w:rsid w:val="00620E8B"/>
    <w:rsid w:val="00654257"/>
    <w:rsid w:val="0065435A"/>
    <w:rsid w:val="006A2DD3"/>
    <w:rsid w:val="006A5AF8"/>
    <w:rsid w:val="006C36CD"/>
    <w:rsid w:val="00700D1F"/>
    <w:rsid w:val="00712B9F"/>
    <w:rsid w:val="007205CB"/>
    <w:rsid w:val="00725CCB"/>
    <w:rsid w:val="00726073"/>
    <w:rsid w:val="00734FE8"/>
    <w:rsid w:val="007360CE"/>
    <w:rsid w:val="00772315"/>
    <w:rsid w:val="00775157"/>
    <w:rsid w:val="007813AE"/>
    <w:rsid w:val="007A37DB"/>
    <w:rsid w:val="007E189D"/>
    <w:rsid w:val="00811259"/>
    <w:rsid w:val="00813AA2"/>
    <w:rsid w:val="008173A3"/>
    <w:rsid w:val="008418F5"/>
    <w:rsid w:val="0086059C"/>
    <w:rsid w:val="00864589"/>
    <w:rsid w:val="00890AFB"/>
    <w:rsid w:val="00890FC4"/>
    <w:rsid w:val="00895905"/>
    <w:rsid w:val="008F29CA"/>
    <w:rsid w:val="009164A9"/>
    <w:rsid w:val="009258CB"/>
    <w:rsid w:val="0093362E"/>
    <w:rsid w:val="00944563"/>
    <w:rsid w:val="00953160"/>
    <w:rsid w:val="009625D8"/>
    <w:rsid w:val="009809CF"/>
    <w:rsid w:val="0098459B"/>
    <w:rsid w:val="00997185"/>
    <w:rsid w:val="009C2458"/>
    <w:rsid w:val="009C4A7B"/>
    <w:rsid w:val="009C6123"/>
    <w:rsid w:val="009F1E3E"/>
    <w:rsid w:val="00A1213C"/>
    <w:rsid w:val="00A272FF"/>
    <w:rsid w:val="00A5354B"/>
    <w:rsid w:val="00A71B57"/>
    <w:rsid w:val="00AB42C1"/>
    <w:rsid w:val="00AC516F"/>
    <w:rsid w:val="00AE2926"/>
    <w:rsid w:val="00B0184B"/>
    <w:rsid w:val="00B035CD"/>
    <w:rsid w:val="00B0769D"/>
    <w:rsid w:val="00B217F8"/>
    <w:rsid w:val="00B332EA"/>
    <w:rsid w:val="00B40A53"/>
    <w:rsid w:val="00B45365"/>
    <w:rsid w:val="00B46A65"/>
    <w:rsid w:val="00B60184"/>
    <w:rsid w:val="00B62D20"/>
    <w:rsid w:val="00B81E75"/>
    <w:rsid w:val="00BD1A5A"/>
    <w:rsid w:val="00BD7A9B"/>
    <w:rsid w:val="00BD7BE1"/>
    <w:rsid w:val="00BF416B"/>
    <w:rsid w:val="00C05152"/>
    <w:rsid w:val="00C4007B"/>
    <w:rsid w:val="00C64E4E"/>
    <w:rsid w:val="00C65078"/>
    <w:rsid w:val="00C66E64"/>
    <w:rsid w:val="00C761A0"/>
    <w:rsid w:val="00C85F7E"/>
    <w:rsid w:val="00C90D53"/>
    <w:rsid w:val="00CD47F0"/>
    <w:rsid w:val="00CD5566"/>
    <w:rsid w:val="00CD64D7"/>
    <w:rsid w:val="00CE6F22"/>
    <w:rsid w:val="00CF41F6"/>
    <w:rsid w:val="00CF7D3E"/>
    <w:rsid w:val="00D02B4E"/>
    <w:rsid w:val="00D21F11"/>
    <w:rsid w:val="00D36817"/>
    <w:rsid w:val="00D453EE"/>
    <w:rsid w:val="00D5666C"/>
    <w:rsid w:val="00D666BC"/>
    <w:rsid w:val="00D83542"/>
    <w:rsid w:val="00D92F45"/>
    <w:rsid w:val="00D94637"/>
    <w:rsid w:val="00D9725C"/>
    <w:rsid w:val="00DA7006"/>
    <w:rsid w:val="00DC6427"/>
    <w:rsid w:val="00DD66A1"/>
    <w:rsid w:val="00DE196D"/>
    <w:rsid w:val="00DF6B49"/>
    <w:rsid w:val="00E067C5"/>
    <w:rsid w:val="00E265BF"/>
    <w:rsid w:val="00E378D8"/>
    <w:rsid w:val="00E43A12"/>
    <w:rsid w:val="00E67C67"/>
    <w:rsid w:val="00E77476"/>
    <w:rsid w:val="00E8228B"/>
    <w:rsid w:val="00EE5706"/>
    <w:rsid w:val="00EF373D"/>
    <w:rsid w:val="00F11595"/>
    <w:rsid w:val="00F13BC9"/>
    <w:rsid w:val="00F357B2"/>
    <w:rsid w:val="00F36556"/>
    <w:rsid w:val="00F705DF"/>
    <w:rsid w:val="00F70622"/>
    <w:rsid w:val="00F76A9A"/>
    <w:rsid w:val="00F85624"/>
    <w:rsid w:val="00F87C05"/>
    <w:rsid w:val="00F93191"/>
    <w:rsid w:val="00F93A17"/>
    <w:rsid w:val="00FA2AF6"/>
    <w:rsid w:val="00FB073D"/>
    <w:rsid w:val="00FB771F"/>
    <w:rsid w:val="00FC5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EC2F44"/>
  <w15:docId w15:val="{48BDC1C7-E67E-4DFD-B240-65A0F6F6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E8B"/>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2948B2"/>
    <w:pPr>
      <w:tabs>
        <w:tab w:val="clear" w:pos="794"/>
        <w:tab w:val="clear" w:pos="1191"/>
        <w:tab w:val="clear" w:pos="1588"/>
        <w:tab w:val="clear" w:pos="1985"/>
        <w:tab w:val="left" w:pos="567"/>
        <w:tab w:val="left" w:pos="1134"/>
        <w:tab w:val="left" w:pos="1701"/>
        <w:tab w:val="left" w:pos="2268"/>
        <w:tab w:val="left" w:pos="2835"/>
      </w:tabs>
      <w:ind w:left="720"/>
      <w:contextualSpacing/>
    </w:p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phy\AppData\Roaming\Microsoft\Templates\POOL%20C%20-%20ITU\PC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8F4433E584047A097BE66491F0F20" ma:contentTypeVersion="10" ma:contentTypeDescription="Create a new document." ma:contentTypeScope="" ma:versionID="fa8afc5d86603c1925ed271018c9909a">
  <xsd:schema xmlns:xsd="http://www.w3.org/2001/XMLSchema" xmlns:xs="http://www.w3.org/2001/XMLSchema" xmlns:p="http://schemas.microsoft.com/office/2006/metadata/properties" xmlns:ns3="8480b3bf-ff93-433f-9495-f8457f78f22f" targetNamespace="http://schemas.microsoft.com/office/2006/metadata/properties" ma:root="true" ma:fieldsID="945714bf9aca0f2ad10803486a386f4a" ns3:_="">
    <xsd:import namespace="8480b3bf-ff93-433f-9495-f8457f78f2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0b3bf-ff93-433f-9495-f8457f78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48D5-1E4C-4659-817B-2A529650D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0b3bf-ff93-433f-9495-f8457f78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6A0E0-611B-41E5-A379-9CAC866E9911}">
  <ds:schemaRefs>
    <ds:schemaRef ds:uri="http://schemas.microsoft.com/sharepoint/v3/contenttype/forms"/>
  </ds:schemaRefs>
</ds:datastoreItem>
</file>

<file path=customXml/itemProps3.xml><?xml version="1.0" encoding="utf-8"?>
<ds:datastoreItem xmlns:ds="http://schemas.openxmlformats.org/officeDocument/2006/customXml" ds:itemID="{CAFE53EC-1B0D-4AD0-8A09-A0D49C8909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6105F4-A730-4FF4-BB81-F1E9EB426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PC_C20.dotx</Template>
  <TotalTime>1</TotalTime>
  <Pages>3</Pages>
  <Words>1373</Words>
  <Characters>321</Characters>
  <Application>Microsoft Office Word</Application>
  <DocSecurity>4</DocSecurity>
  <Lines>2</Lines>
  <Paragraphs>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1691</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the United Arab Emirates - IDI Contribution to ITU Council 2020</dc:title>
  <dc:subject>Virtual consultation of councillors</dc:subject>
  <dc:creator>English</dc:creator>
  <cp:keywords>CVV, CV</cp:keywords>
  <dc:description/>
  <cp:lastModifiedBy>Brouard, Ricarda</cp:lastModifiedBy>
  <cp:revision>2</cp:revision>
  <cp:lastPrinted>2015-02-24T13:23:00Z</cp:lastPrinted>
  <dcterms:created xsi:type="dcterms:W3CDTF">2020-06-02T09:40:00Z</dcterms:created>
  <dcterms:modified xsi:type="dcterms:W3CDTF">2020-06-02T09:40:00Z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y fmtid="{D5CDD505-2E9C-101B-9397-08002B2CF9AE}" pid="8" name="ContentTypeId">
    <vt:lpwstr>0x010100B638F4433E584047A097BE66491F0F20</vt:lpwstr>
  </property>
</Properties>
</file>