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bidiVisual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4B1F2F" w:rsidRPr="00F82904" w14:paraId="75761BF5" w14:textId="77777777" w:rsidTr="00FA7FCF">
        <w:trPr>
          <w:cantSplit/>
          <w:trHeight w:val="1276"/>
        </w:trPr>
        <w:tc>
          <w:tcPr>
            <w:tcW w:w="6911" w:type="dxa"/>
          </w:tcPr>
          <w:p w14:paraId="129D02FA" w14:textId="77777777" w:rsidR="004B1F2F" w:rsidRPr="00F82904" w:rsidRDefault="004B1F2F" w:rsidP="00EF2865">
            <w:pPr>
              <w:spacing w:before="300" w:after="48" w:line="240" w:lineRule="atLeast"/>
              <w:jc w:val="left"/>
              <w:rPr>
                <w:b/>
                <w:bCs/>
                <w:position w:val="6"/>
                <w:sz w:val="26"/>
                <w:szCs w:val="26"/>
                <w:lang w:val="en-GB"/>
              </w:rPr>
            </w:pPr>
            <w:r>
              <w:rPr>
                <w:rFonts w:hint="cs"/>
                <w:b/>
                <w:bCs/>
                <w:position w:val="6"/>
                <w:sz w:val="26"/>
                <w:szCs w:val="26"/>
                <w:rtl/>
                <w:lang w:val="en-GB"/>
              </w:rPr>
              <w:t>المشاورة الافتراضية لأعضاء المجلس</w:t>
            </w:r>
            <w:r w:rsidRPr="00F82904">
              <w:rPr>
                <w:b/>
                <w:bCs/>
                <w:position w:val="6"/>
                <w:sz w:val="26"/>
                <w:szCs w:val="26"/>
                <w:lang w:val="en-GB"/>
              </w:rPr>
              <w:br/>
            </w:r>
            <w:bookmarkStart w:id="0" w:name="lt_pId447"/>
            <w:r>
              <w:rPr>
                <w:rFonts w:hint="cs"/>
                <w:b/>
                <w:bCs/>
                <w:position w:val="6"/>
                <w:sz w:val="26"/>
                <w:szCs w:val="26"/>
                <w:rtl/>
                <w:lang w:val="en-GB"/>
              </w:rPr>
              <w:t xml:space="preserve">التي تبدأ في </w:t>
            </w:r>
            <w:r w:rsidRPr="00F82904">
              <w:rPr>
                <w:b/>
                <w:bCs/>
                <w:position w:val="6"/>
                <w:sz w:val="26"/>
                <w:szCs w:val="26"/>
                <w:lang w:val="en-GB"/>
              </w:rPr>
              <w:t>9</w:t>
            </w:r>
            <w:r>
              <w:rPr>
                <w:rFonts w:hint="cs"/>
                <w:b/>
                <w:bCs/>
                <w:position w:val="6"/>
                <w:sz w:val="26"/>
                <w:szCs w:val="26"/>
                <w:rtl/>
                <w:lang w:val="en-GB"/>
              </w:rPr>
              <w:t xml:space="preserve"> يونيو </w:t>
            </w:r>
            <w:r w:rsidRPr="00F82904">
              <w:rPr>
                <w:b/>
                <w:bCs/>
                <w:position w:val="6"/>
                <w:sz w:val="26"/>
                <w:szCs w:val="26"/>
                <w:lang w:val="en-GB"/>
              </w:rPr>
              <w:t>2020</w:t>
            </w:r>
            <w:bookmarkEnd w:id="0"/>
          </w:p>
        </w:tc>
        <w:tc>
          <w:tcPr>
            <w:tcW w:w="3120" w:type="dxa"/>
            <w:vAlign w:val="center"/>
          </w:tcPr>
          <w:p w14:paraId="2C87EC04" w14:textId="77777777" w:rsidR="004B1F2F" w:rsidRPr="00F82904" w:rsidRDefault="004B1F2F" w:rsidP="00FA7FCF">
            <w:pPr>
              <w:spacing w:before="0" w:line="240" w:lineRule="atLeast"/>
            </w:pPr>
            <w:r w:rsidRPr="00F82904">
              <w:rPr>
                <w:noProof/>
                <w:lang w:eastAsia="en-US"/>
              </w:rPr>
              <w:drawing>
                <wp:inline distT="0" distB="0" distL="0" distR="0" wp14:anchorId="1DD81DE1" wp14:editId="06FEFB1C">
                  <wp:extent cx="682402" cy="720000"/>
                  <wp:effectExtent l="0" t="0" r="3810" b="4445"/>
                  <wp:docPr id="103590995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2896642" name="logo-ITU-RGB-size templa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1F2F" w:rsidRPr="00F82904" w14:paraId="2256EBC1" w14:textId="77777777" w:rsidTr="00FA7FCF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4F1B8349" w14:textId="77777777" w:rsidR="004B1F2F" w:rsidRPr="00F82904" w:rsidRDefault="004B1F2F" w:rsidP="00FA7FCF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6D8855F8" w14:textId="77777777" w:rsidR="004B1F2F" w:rsidRPr="00F82904" w:rsidRDefault="004B1F2F" w:rsidP="00FA7FCF">
            <w:pPr>
              <w:spacing w:before="0" w:line="240" w:lineRule="atLeast"/>
              <w:rPr>
                <w:szCs w:val="24"/>
              </w:rPr>
            </w:pPr>
          </w:p>
        </w:tc>
      </w:tr>
      <w:tr w:rsidR="004B1F2F" w:rsidRPr="00F82904" w14:paraId="6787B545" w14:textId="77777777" w:rsidTr="00FA7FCF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7B9F0AE0" w14:textId="77777777" w:rsidR="004B1F2F" w:rsidRPr="00F82904" w:rsidRDefault="004B1F2F" w:rsidP="002E1973">
            <w:pPr>
              <w:spacing w:before="60" w:after="60" w:line="300" w:lineRule="exac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1F712352" w14:textId="6B60C053" w:rsidR="004B1F2F" w:rsidRDefault="004B1F2F" w:rsidP="00A9076B">
            <w:pPr>
              <w:spacing w:line="300" w:lineRule="exact"/>
              <w:rPr>
                <w:b/>
                <w:bCs/>
                <w:lang w:bidi="ar-SY"/>
              </w:rPr>
            </w:pPr>
            <w:r w:rsidRPr="002F71D8">
              <w:rPr>
                <w:rFonts w:hint="cs"/>
                <w:b/>
                <w:bCs/>
                <w:rtl/>
                <w:lang w:bidi="ar-EG"/>
              </w:rPr>
              <w:t xml:space="preserve">الوثيقة </w:t>
            </w:r>
            <w:r>
              <w:rPr>
                <w:b/>
                <w:bCs/>
                <w:lang w:bidi="ar-SY"/>
              </w:rPr>
              <w:t>VC</w:t>
            </w:r>
            <w:r w:rsidRPr="002F71D8">
              <w:rPr>
                <w:b/>
                <w:bCs/>
                <w:lang w:bidi="ar-SY"/>
              </w:rPr>
              <w:t>/</w:t>
            </w:r>
            <w:r w:rsidR="00385F42">
              <w:rPr>
                <w:b/>
                <w:bCs/>
                <w:lang w:bidi="ar-SY"/>
              </w:rPr>
              <w:t>3</w:t>
            </w:r>
            <w:r w:rsidRPr="002F71D8">
              <w:rPr>
                <w:b/>
                <w:bCs/>
                <w:lang w:bidi="ar-SY"/>
              </w:rPr>
              <w:t>-A</w:t>
            </w:r>
          </w:p>
          <w:p w14:paraId="5264C2A6" w14:textId="32F1AFF2" w:rsidR="004B1F2F" w:rsidRDefault="007D2C16" w:rsidP="00A9076B">
            <w:pPr>
              <w:spacing w:before="0" w:line="300" w:lineRule="exact"/>
              <w:rPr>
                <w:b/>
                <w:bCs/>
                <w:lang w:bidi="ar-SY"/>
              </w:rPr>
            </w:pPr>
            <w:r>
              <w:rPr>
                <w:b/>
                <w:bCs/>
                <w:lang w:bidi="ar-SY"/>
              </w:rPr>
              <w:t>2</w:t>
            </w:r>
            <w:r w:rsidR="00385F42">
              <w:rPr>
                <w:b/>
                <w:bCs/>
                <w:lang w:bidi="ar-SY"/>
              </w:rPr>
              <w:t>8</w:t>
            </w:r>
            <w:r w:rsidR="004B1F2F" w:rsidRPr="002F71D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مايو </w:t>
            </w:r>
            <w:r w:rsidR="004B1F2F" w:rsidRPr="002F71D8">
              <w:rPr>
                <w:b/>
                <w:bCs/>
                <w:lang w:bidi="ar-SY"/>
              </w:rPr>
              <w:t>2020</w:t>
            </w:r>
          </w:p>
          <w:p w14:paraId="7E8C4D8A" w14:textId="41A78F94" w:rsidR="004B1F2F" w:rsidRPr="00F82904" w:rsidRDefault="004B1F2F" w:rsidP="00A9076B">
            <w:pPr>
              <w:spacing w:before="0" w:after="120" w:line="300" w:lineRule="exact"/>
              <w:rPr>
                <w:szCs w:val="24"/>
              </w:rPr>
            </w:pPr>
            <w:r w:rsidRPr="002F71D8">
              <w:rPr>
                <w:b/>
                <w:bCs/>
                <w:rtl/>
                <w:lang w:bidi="ar-EG"/>
              </w:rPr>
              <w:t xml:space="preserve">الأصل: </w:t>
            </w:r>
            <w:r w:rsidR="00385F42">
              <w:rPr>
                <w:rFonts w:hint="cs"/>
                <w:b/>
                <w:bCs/>
                <w:rtl/>
                <w:lang w:bidi="ar-EG"/>
              </w:rPr>
              <w:t>بالإنكليزية</w:t>
            </w:r>
          </w:p>
        </w:tc>
      </w:tr>
    </w:tbl>
    <w:p w14:paraId="5C4207EF" w14:textId="77777777" w:rsidR="004B1F2F" w:rsidRPr="00F82904" w:rsidRDefault="004B1F2F" w:rsidP="004B1F2F">
      <w:pPr>
        <w:spacing w:before="0"/>
        <w:rPr>
          <w:b/>
          <w:bCs/>
          <w:sz w:val="28"/>
        </w:rPr>
      </w:pPr>
      <w:bookmarkStart w:id="1" w:name="dorlang" w:colFirst="1" w:colLast="1"/>
    </w:p>
    <w:tbl>
      <w:tblPr>
        <w:bidiVisual/>
        <w:tblW w:w="10093" w:type="dxa"/>
        <w:tblLayout w:type="fixed"/>
        <w:tblLook w:val="0000" w:firstRow="0" w:lastRow="0" w:firstColumn="0" w:lastColumn="0" w:noHBand="0" w:noVBand="0"/>
      </w:tblPr>
      <w:tblGrid>
        <w:gridCol w:w="2835"/>
        <w:gridCol w:w="7258"/>
      </w:tblGrid>
      <w:tr w:rsidR="004B1F2F" w:rsidRPr="00CB7DE5" w14:paraId="345050D2" w14:textId="77777777" w:rsidTr="00FA7FCF">
        <w:trPr>
          <w:cantSplit/>
        </w:trPr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6C373CEE" w14:textId="77777777" w:rsidR="004B1F2F" w:rsidRPr="00CB7DE5" w:rsidRDefault="004B1F2F" w:rsidP="00CB7DE5">
            <w:pPr>
              <w:spacing w:before="60" w:after="60" w:line="340" w:lineRule="exact"/>
              <w:jc w:val="left"/>
              <w:rPr>
                <w:b/>
                <w:bCs/>
                <w:position w:val="2"/>
              </w:rPr>
            </w:pPr>
            <w:bookmarkStart w:id="2" w:name="dsource" w:colFirst="0" w:colLast="0"/>
            <w:bookmarkEnd w:id="1"/>
            <w:r w:rsidRPr="00CB7DE5">
              <w:rPr>
                <w:rFonts w:hint="cs"/>
                <w:b/>
                <w:bCs/>
                <w:spacing w:val="-8"/>
                <w:position w:val="2"/>
                <w:rtl/>
              </w:rPr>
              <w:t>اسم الدولة العضو (الدول الأعضاء)</w:t>
            </w:r>
            <w:r w:rsidRPr="00CB7DE5">
              <w:rPr>
                <w:rFonts w:hint="cs"/>
                <w:b/>
                <w:bCs/>
                <w:position w:val="2"/>
                <w:rtl/>
              </w:rPr>
              <w:t xml:space="preserve"> مقدمة المساهمة:</w:t>
            </w:r>
          </w:p>
        </w:tc>
        <w:tc>
          <w:tcPr>
            <w:tcW w:w="7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295FE3" w14:textId="5489087A" w:rsidR="004B1F2F" w:rsidRPr="00CB7DE5" w:rsidRDefault="00385F42" w:rsidP="00CB7DE5">
            <w:pPr>
              <w:spacing w:before="60" w:after="60" w:line="340" w:lineRule="exact"/>
              <w:rPr>
                <w:position w:val="2"/>
              </w:rPr>
            </w:pPr>
            <w:r w:rsidRPr="0055596E">
              <w:rPr>
                <w:rFonts w:hint="cs"/>
                <w:b/>
                <w:bCs/>
                <w:rtl/>
              </w:rPr>
              <w:t>الإمارات العربية المتحدة</w:t>
            </w:r>
          </w:p>
        </w:tc>
      </w:tr>
      <w:tr w:rsidR="004B1F2F" w:rsidRPr="00CB7DE5" w14:paraId="2D792584" w14:textId="77777777" w:rsidTr="00FA7FCF">
        <w:trPr>
          <w:cantSplit/>
        </w:trPr>
        <w:tc>
          <w:tcPr>
            <w:tcW w:w="2835" w:type="dxa"/>
          </w:tcPr>
          <w:p w14:paraId="08395B77" w14:textId="77777777" w:rsidR="004B1F2F" w:rsidRPr="00CB7DE5" w:rsidRDefault="004B1F2F" w:rsidP="00CB7DE5">
            <w:pPr>
              <w:spacing w:before="60" w:after="60" w:line="200" w:lineRule="exact"/>
              <w:rPr>
                <w:position w:val="2"/>
                <w:sz w:val="16"/>
                <w:szCs w:val="16"/>
              </w:rPr>
            </w:pPr>
          </w:p>
        </w:tc>
        <w:tc>
          <w:tcPr>
            <w:tcW w:w="7258" w:type="dxa"/>
            <w:tcBorders>
              <w:top w:val="single" w:sz="12" w:space="0" w:color="auto"/>
              <w:bottom w:val="single" w:sz="12" w:space="0" w:color="auto"/>
            </w:tcBorders>
          </w:tcPr>
          <w:p w14:paraId="1B76892C" w14:textId="77777777" w:rsidR="004B1F2F" w:rsidRPr="00CB7DE5" w:rsidRDefault="004B1F2F" w:rsidP="00CB7DE5">
            <w:pPr>
              <w:spacing w:before="60" w:after="60" w:line="200" w:lineRule="exact"/>
              <w:rPr>
                <w:position w:val="2"/>
                <w:sz w:val="16"/>
                <w:szCs w:val="16"/>
              </w:rPr>
            </w:pPr>
          </w:p>
        </w:tc>
      </w:tr>
      <w:tr w:rsidR="004B1F2F" w:rsidRPr="00CB7DE5" w14:paraId="066CC6E3" w14:textId="77777777" w:rsidTr="00FA7FCF">
        <w:trPr>
          <w:cantSplit/>
        </w:trPr>
        <w:tc>
          <w:tcPr>
            <w:tcW w:w="2835" w:type="dxa"/>
            <w:tcBorders>
              <w:right w:val="single" w:sz="12" w:space="0" w:color="auto"/>
            </w:tcBorders>
          </w:tcPr>
          <w:p w14:paraId="1BA10C33" w14:textId="77777777" w:rsidR="004B1F2F" w:rsidRPr="00CB7DE5" w:rsidRDefault="004B1F2F" w:rsidP="00CB7DE5">
            <w:pPr>
              <w:spacing w:before="60" w:after="60" w:line="340" w:lineRule="exact"/>
              <w:rPr>
                <w:b/>
                <w:bCs/>
                <w:position w:val="2"/>
              </w:rPr>
            </w:pPr>
            <w:r w:rsidRPr="00CB7DE5">
              <w:rPr>
                <w:rFonts w:hint="cs"/>
                <w:b/>
                <w:bCs/>
                <w:position w:val="2"/>
                <w:rtl/>
              </w:rPr>
              <w:t>عنوان الوثيقة:</w:t>
            </w:r>
          </w:p>
        </w:tc>
        <w:tc>
          <w:tcPr>
            <w:tcW w:w="7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5DD2CD" w14:textId="08A31069" w:rsidR="004B1F2F" w:rsidRPr="00385F42" w:rsidRDefault="00385F42" w:rsidP="00CB7DE5">
            <w:pPr>
              <w:spacing w:before="60" w:after="60" w:line="340" w:lineRule="exact"/>
              <w:rPr>
                <w:b/>
                <w:bCs/>
                <w:position w:val="2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مساهمة بشأن الرقم القياسي</w:t>
            </w:r>
            <w:r w:rsidRPr="00E4553D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ل</w:t>
            </w:r>
            <w:r w:rsidRPr="00E4553D">
              <w:rPr>
                <w:b/>
                <w:bCs/>
                <w:rtl/>
              </w:rPr>
              <w:t>تنمية تكنولوجيا المعلومات والاتصالات</w:t>
            </w:r>
            <w:r>
              <w:rPr>
                <w:rFonts w:hint="cs"/>
                <w:b/>
                <w:bCs/>
                <w:rtl/>
              </w:rPr>
              <w:t xml:space="preserve"> مُقدمة إلى دورة المجلس لعام </w:t>
            </w:r>
            <w:r>
              <w:rPr>
                <w:b/>
                <w:bCs/>
                <w:lang w:val="fr-FR"/>
              </w:rPr>
              <w:t>2020</w:t>
            </w:r>
          </w:p>
        </w:tc>
      </w:tr>
      <w:tr w:rsidR="004B1F2F" w:rsidRPr="00CB7DE5" w14:paraId="291A6F2C" w14:textId="77777777" w:rsidTr="00FA7FCF">
        <w:trPr>
          <w:cantSplit/>
          <w:trHeight w:val="269"/>
        </w:trPr>
        <w:tc>
          <w:tcPr>
            <w:tcW w:w="2835" w:type="dxa"/>
          </w:tcPr>
          <w:p w14:paraId="16169FB9" w14:textId="77777777" w:rsidR="004B1F2F" w:rsidRPr="00CB7DE5" w:rsidRDefault="004B1F2F" w:rsidP="00CB7DE5">
            <w:pPr>
              <w:spacing w:before="60" w:after="60" w:line="200" w:lineRule="exact"/>
              <w:rPr>
                <w:position w:val="2"/>
                <w:sz w:val="16"/>
                <w:szCs w:val="16"/>
              </w:rPr>
            </w:pPr>
          </w:p>
        </w:tc>
        <w:tc>
          <w:tcPr>
            <w:tcW w:w="7258" w:type="dxa"/>
            <w:tcBorders>
              <w:top w:val="single" w:sz="12" w:space="0" w:color="auto"/>
              <w:bottom w:val="single" w:sz="2" w:space="0" w:color="auto"/>
            </w:tcBorders>
          </w:tcPr>
          <w:p w14:paraId="7CFA4AF4" w14:textId="77777777" w:rsidR="004B1F2F" w:rsidRPr="00CB7DE5" w:rsidRDefault="004B1F2F" w:rsidP="00CB7DE5">
            <w:pPr>
              <w:spacing w:before="60" w:after="60" w:line="200" w:lineRule="exact"/>
              <w:rPr>
                <w:position w:val="2"/>
                <w:sz w:val="16"/>
                <w:szCs w:val="16"/>
              </w:rPr>
            </w:pPr>
          </w:p>
        </w:tc>
      </w:tr>
      <w:tr w:rsidR="004B1F2F" w:rsidRPr="00CB7DE5" w14:paraId="5063B3D0" w14:textId="77777777" w:rsidTr="00FA7FCF">
        <w:trPr>
          <w:cantSplit/>
          <w:trHeight w:val="668"/>
        </w:trPr>
        <w:tc>
          <w:tcPr>
            <w:tcW w:w="2835" w:type="dxa"/>
            <w:tcBorders>
              <w:right w:val="single" w:sz="2" w:space="0" w:color="auto"/>
            </w:tcBorders>
            <w:vAlign w:val="center"/>
          </w:tcPr>
          <w:p w14:paraId="7627C0A0" w14:textId="77777777" w:rsidR="004B1F2F" w:rsidRPr="00CB7DE5" w:rsidRDefault="004B1F2F" w:rsidP="00CB7DE5">
            <w:pPr>
              <w:spacing w:before="60" w:after="60" w:line="340" w:lineRule="exact"/>
              <w:jc w:val="left"/>
              <w:rPr>
                <w:b/>
                <w:bCs/>
                <w:position w:val="2"/>
              </w:rPr>
            </w:pPr>
            <w:r w:rsidRPr="00CB7DE5">
              <w:rPr>
                <w:rFonts w:hint="cs"/>
                <w:b/>
                <w:bCs/>
                <w:position w:val="2"/>
                <w:rtl/>
              </w:rPr>
              <w:t>الإحالة إلى مشروع جدول أعمال المشاورة الافتراضية:</w:t>
            </w:r>
          </w:p>
        </w:tc>
        <w:tc>
          <w:tcPr>
            <w:tcW w:w="7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15AB90" w14:textId="2C1AE479" w:rsidR="004B1F2F" w:rsidRPr="00CB7DE5" w:rsidRDefault="00385F42" w:rsidP="00CB7DE5">
            <w:pPr>
              <w:spacing w:before="60" w:after="60" w:line="340" w:lineRule="exact"/>
              <w:rPr>
                <w:b/>
                <w:bCs/>
                <w:position w:val="2"/>
                <w:rtl/>
              </w:rPr>
            </w:pPr>
            <w:r>
              <w:rPr>
                <w:rFonts w:hint="cs"/>
                <w:b/>
                <w:bCs/>
                <w:rtl/>
              </w:rPr>
              <w:t>الوثيقة</w:t>
            </w:r>
            <w:r w:rsidR="003271AD">
              <w:rPr>
                <w:rFonts w:hint="cs"/>
                <w:b/>
                <w:bCs/>
                <w:rtl/>
              </w:rPr>
              <w:t xml:space="preserve"> </w:t>
            </w:r>
            <w:hyperlink r:id="rId9" w:history="1">
              <w:bookmarkStart w:id="3" w:name="lt_pId012"/>
              <w:r w:rsidRPr="0055596E">
                <w:rPr>
                  <w:rStyle w:val="Hyperlink"/>
                  <w:b/>
                  <w:bCs/>
                </w:rPr>
                <w:t>C20/62</w:t>
              </w:r>
              <w:bookmarkEnd w:id="3"/>
            </w:hyperlink>
          </w:p>
        </w:tc>
      </w:tr>
      <w:tr w:rsidR="004B1F2F" w:rsidRPr="00CB7DE5" w14:paraId="6DA287E1" w14:textId="77777777" w:rsidTr="00FA7FCF">
        <w:trPr>
          <w:cantSplit/>
          <w:trHeight w:val="156"/>
        </w:trPr>
        <w:tc>
          <w:tcPr>
            <w:tcW w:w="2835" w:type="dxa"/>
          </w:tcPr>
          <w:p w14:paraId="1BF6202F" w14:textId="77777777" w:rsidR="004B1F2F" w:rsidRPr="00CB7DE5" w:rsidRDefault="004B1F2F" w:rsidP="00CB7DE5">
            <w:pPr>
              <w:spacing w:before="60" w:after="60" w:line="200" w:lineRule="exact"/>
              <w:rPr>
                <w:position w:val="2"/>
                <w:sz w:val="16"/>
                <w:szCs w:val="16"/>
              </w:rPr>
            </w:pPr>
          </w:p>
        </w:tc>
        <w:tc>
          <w:tcPr>
            <w:tcW w:w="7258" w:type="dxa"/>
            <w:tcBorders>
              <w:top w:val="single" w:sz="12" w:space="0" w:color="auto"/>
              <w:bottom w:val="single" w:sz="2" w:space="0" w:color="auto"/>
            </w:tcBorders>
          </w:tcPr>
          <w:p w14:paraId="4C3D7AF3" w14:textId="77777777" w:rsidR="004B1F2F" w:rsidRPr="00CB7DE5" w:rsidRDefault="004B1F2F" w:rsidP="00CB7DE5">
            <w:pPr>
              <w:spacing w:before="60" w:after="60" w:line="200" w:lineRule="exact"/>
              <w:rPr>
                <w:position w:val="2"/>
                <w:sz w:val="16"/>
                <w:szCs w:val="16"/>
              </w:rPr>
            </w:pPr>
          </w:p>
        </w:tc>
      </w:tr>
    </w:tbl>
    <w:p w14:paraId="0F43A725" w14:textId="77777777" w:rsidR="004B1F2F" w:rsidRPr="00F82904" w:rsidRDefault="004B1F2F" w:rsidP="004B1F2F">
      <w:pPr>
        <w:rPr>
          <w:sz w:val="4"/>
          <w:szCs w:val="4"/>
        </w:rPr>
      </w:pPr>
    </w:p>
    <w:tbl>
      <w:tblPr>
        <w:tblpPr w:leftFromText="180" w:rightFromText="180" w:vertAnchor="text" w:tblpXSpec="right" w:tblpY="1"/>
        <w:tblOverlap w:val="never"/>
        <w:bidiVisual/>
        <w:tblW w:w="10093" w:type="dxa"/>
        <w:tblLayout w:type="fixed"/>
        <w:tblLook w:val="0000" w:firstRow="0" w:lastRow="0" w:firstColumn="0" w:lastColumn="0" w:noHBand="0" w:noVBand="0"/>
      </w:tblPr>
      <w:tblGrid>
        <w:gridCol w:w="10093"/>
      </w:tblGrid>
      <w:tr w:rsidR="004B1F2F" w:rsidRPr="00CB7DE5" w14:paraId="3C5B300A" w14:textId="77777777" w:rsidTr="008C02D8">
        <w:trPr>
          <w:cantSplit/>
          <w:trHeight w:val="3514"/>
        </w:trPr>
        <w:tc>
          <w:tcPr>
            <w:tcW w:w="10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098C0D" w14:textId="77777777" w:rsidR="00385F42" w:rsidRPr="00064DC2" w:rsidRDefault="00385F42" w:rsidP="003271AD">
            <w:pPr>
              <w:pStyle w:val="Headingb"/>
              <w:spacing w:line="187" w:lineRule="auto"/>
            </w:pPr>
            <w:r w:rsidRPr="0055596E">
              <w:rPr>
                <w:rFonts w:hint="cs"/>
                <w:rtl/>
              </w:rPr>
              <w:t xml:space="preserve">تعليقات تتعلق بالوثيقة </w:t>
            </w:r>
            <w:r w:rsidRPr="0055596E">
              <w:t>C20/62</w:t>
            </w:r>
          </w:p>
          <w:p w14:paraId="1A4EA33F" w14:textId="77777777" w:rsidR="00385F42" w:rsidRPr="00064DC2" w:rsidRDefault="00385F42" w:rsidP="003271AD">
            <w:pPr>
              <w:pStyle w:val="Headingb"/>
              <w:spacing w:before="120" w:line="187" w:lineRule="auto"/>
              <w:rPr>
                <w:b w:val="0"/>
                <w:bCs w:val="0"/>
                <w:lang w:bidi="ar-EG"/>
              </w:rPr>
            </w:pPr>
            <w:r>
              <w:rPr>
                <w:rFonts w:hint="cs"/>
                <w:rtl/>
              </w:rPr>
              <w:t>خلفية</w:t>
            </w:r>
          </w:p>
          <w:p w14:paraId="55D9572A" w14:textId="71E58658" w:rsidR="00385F42" w:rsidRPr="00E4553D" w:rsidRDefault="00385F42" w:rsidP="003271AD">
            <w:pPr>
              <w:pStyle w:val="enumlev1"/>
              <w:spacing w:line="187" w:lineRule="auto"/>
              <w:rPr>
                <w:lang w:val="fr-FR"/>
              </w:rPr>
            </w:pPr>
            <w:r>
              <w:rPr>
                <w:rFonts w:hint="eastAsia"/>
                <w:rtl/>
              </w:rPr>
              <w:t>–</w:t>
            </w:r>
            <w:r>
              <w:rPr>
                <w:rtl/>
              </w:rPr>
              <w:tab/>
            </w:r>
            <w:r w:rsidRPr="00AC1388">
              <w:rPr>
                <w:rFonts w:hint="cs"/>
                <w:rtl/>
                <w:lang w:bidi="ar-SA"/>
              </w:rPr>
              <w:t xml:space="preserve">يصنف </w:t>
            </w:r>
            <w:r w:rsidRPr="00AC1388">
              <w:rPr>
                <w:rFonts w:hint="cs"/>
                <w:rtl/>
                <w:lang w:bidi="ar-EG"/>
              </w:rPr>
              <w:t>الرقم القياسي</w:t>
            </w:r>
            <w:r w:rsidRPr="00AC1388">
              <w:rPr>
                <w:rtl/>
                <w:lang w:bidi="ar-SA"/>
              </w:rPr>
              <w:t xml:space="preserve"> </w:t>
            </w:r>
            <w:r>
              <w:rPr>
                <w:rFonts w:hint="cs"/>
                <w:rtl/>
                <w:lang w:bidi="ar-SA"/>
              </w:rPr>
              <w:t>ل</w:t>
            </w:r>
            <w:r w:rsidRPr="00AC1388">
              <w:rPr>
                <w:rFonts w:hint="cs"/>
                <w:rtl/>
                <w:lang w:bidi="ar-SA"/>
              </w:rPr>
              <w:t>تنمية</w:t>
            </w:r>
            <w:r w:rsidRPr="00E4553D">
              <w:rPr>
                <w:rFonts w:hint="cs"/>
                <w:rtl/>
                <w:lang w:bidi="ar-SA"/>
              </w:rPr>
              <w:t xml:space="preserve"> تكنولوجيا المعلومات والاتصالات </w:t>
            </w:r>
            <w:r w:rsidRPr="00385F42">
              <w:rPr>
                <w:lang w:bidi="ar"/>
              </w:rPr>
              <w:t>(IDI)</w:t>
            </w:r>
            <w:r w:rsidRPr="00E4553D">
              <w:rPr>
                <w:rFonts w:hint="cs"/>
                <w:rtl/>
                <w:lang w:bidi="ar-SA"/>
              </w:rPr>
              <w:t xml:space="preserve"> أداء البلدان فيما يتعلق بالبنية التحتية لتكنولوجيا المعلومات والاتصالات والنفاذ إليها واستخدامها منذ عام </w:t>
            </w:r>
            <w:r w:rsidRPr="00E4553D">
              <w:rPr>
                <w:rFonts w:hint="cs"/>
                <w:rtl/>
                <w:lang w:bidi="ar"/>
              </w:rPr>
              <w:t>2009.</w:t>
            </w:r>
          </w:p>
          <w:p w14:paraId="0DF1D7B4" w14:textId="2DCA7E8C" w:rsidR="00385F42" w:rsidRPr="00E4553D" w:rsidRDefault="00385F42" w:rsidP="003271AD">
            <w:pPr>
              <w:pStyle w:val="enumlev1"/>
              <w:spacing w:line="187" w:lineRule="auto"/>
              <w:rPr>
                <w:lang w:val="fr-FR"/>
              </w:rPr>
            </w:pPr>
            <w:r>
              <w:rPr>
                <w:rFonts w:hint="eastAsia"/>
                <w:rtl/>
              </w:rPr>
              <w:t>–</w:t>
            </w:r>
            <w:r>
              <w:rPr>
                <w:rtl/>
              </w:rPr>
              <w:tab/>
            </w:r>
            <w:r w:rsidRPr="00E4553D">
              <w:rPr>
                <w:rFonts w:hint="cs"/>
                <w:rtl/>
                <w:lang w:bidi="ar-SA"/>
              </w:rPr>
              <w:t xml:space="preserve">في مارس </w:t>
            </w:r>
            <w:r w:rsidRPr="00E4553D">
              <w:rPr>
                <w:rFonts w:hint="cs"/>
                <w:rtl/>
                <w:lang w:bidi="ar"/>
              </w:rPr>
              <w:t>2017</w:t>
            </w:r>
            <w:r w:rsidRPr="00E4553D">
              <w:rPr>
                <w:rFonts w:hint="cs"/>
                <w:rtl/>
                <w:lang w:bidi="ar-SA"/>
              </w:rPr>
              <w:t>، دعا الاتحاد جميع أعضا</w:t>
            </w:r>
            <w:r>
              <w:rPr>
                <w:rFonts w:hint="cs"/>
                <w:rtl/>
                <w:lang w:bidi="ar-SA"/>
              </w:rPr>
              <w:t xml:space="preserve">ئه </w:t>
            </w:r>
            <w:r w:rsidRPr="00E4553D">
              <w:rPr>
                <w:rFonts w:hint="cs"/>
                <w:rtl/>
                <w:lang w:bidi="ar-SA"/>
              </w:rPr>
              <w:t xml:space="preserve">وخبرائه في مجال إحصاءات تكنولوجيا المعلومات والاتصالات إلى اجتماع استثنائي لتحديث هيكل </w:t>
            </w:r>
            <w:r w:rsidRPr="00AC1388">
              <w:rPr>
                <w:rFonts w:hint="cs"/>
                <w:rtl/>
                <w:lang w:bidi="ar-EG"/>
              </w:rPr>
              <w:t>الرقم القياسي</w:t>
            </w:r>
            <w:r w:rsidRPr="00AC1388">
              <w:rPr>
                <w:rtl/>
                <w:lang w:bidi="ar-SA"/>
              </w:rPr>
              <w:t xml:space="preserve"> </w:t>
            </w:r>
            <w:r>
              <w:rPr>
                <w:rFonts w:hint="cs"/>
                <w:rtl/>
                <w:lang w:bidi="ar-SA"/>
              </w:rPr>
              <w:t>ل</w:t>
            </w:r>
            <w:r w:rsidRPr="00AC1388">
              <w:rPr>
                <w:rFonts w:hint="cs"/>
                <w:rtl/>
                <w:lang w:bidi="ar-SA"/>
              </w:rPr>
              <w:t>تنمية</w:t>
            </w:r>
            <w:r w:rsidRPr="00E4553D">
              <w:rPr>
                <w:rFonts w:hint="cs"/>
                <w:rtl/>
                <w:lang w:bidi="ar-SA"/>
              </w:rPr>
              <w:t xml:space="preserve"> تكنولوجيا المعلومات والاتصالات</w:t>
            </w:r>
            <w:r w:rsidRPr="00E4553D">
              <w:rPr>
                <w:rFonts w:hint="cs"/>
                <w:rtl/>
                <w:lang w:bidi="ar"/>
              </w:rPr>
              <w:t>.</w:t>
            </w:r>
          </w:p>
          <w:p w14:paraId="11ECC805" w14:textId="713FF2F2" w:rsidR="00385F42" w:rsidRPr="004669EC" w:rsidRDefault="00385F42" w:rsidP="003271AD">
            <w:pPr>
              <w:pStyle w:val="enumlev1"/>
              <w:spacing w:line="187" w:lineRule="auto"/>
              <w:rPr>
                <w:lang w:val="fr-FR"/>
              </w:rPr>
            </w:pPr>
            <w:r>
              <w:rPr>
                <w:rFonts w:hint="eastAsia"/>
                <w:rtl/>
              </w:rPr>
              <w:t>–</w:t>
            </w:r>
            <w:r>
              <w:rPr>
                <w:rtl/>
              </w:rPr>
              <w:tab/>
            </w:r>
            <w:r w:rsidRPr="004669EC">
              <w:rPr>
                <w:rFonts w:hint="cs"/>
                <w:rtl/>
                <w:lang w:bidi="ar-SA"/>
              </w:rPr>
              <w:t xml:space="preserve">كان الهدف الرئيسي </w:t>
            </w:r>
            <w:r>
              <w:rPr>
                <w:rFonts w:hint="cs"/>
                <w:rtl/>
                <w:lang w:bidi="ar-SA"/>
              </w:rPr>
              <w:t>من ال</w:t>
            </w:r>
            <w:r w:rsidRPr="004669EC">
              <w:rPr>
                <w:rFonts w:hint="cs"/>
                <w:rtl/>
                <w:lang w:bidi="ar-SA"/>
              </w:rPr>
              <w:t xml:space="preserve">اجتماع الاستثنائي مناقشة مجموعة </w:t>
            </w:r>
            <w:r>
              <w:rPr>
                <w:rFonts w:hint="cs"/>
                <w:rtl/>
                <w:lang w:bidi="ar-SA"/>
              </w:rPr>
              <w:t>مراجَعة</w:t>
            </w:r>
            <w:r w:rsidRPr="004669EC">
              <w:rPr>
                <w:rFonts w:hint="cs"/>
                <w:rtl/>
                <w:lang w:bidi="ar-SA"/>
              </w:rPr>
              <w:t xml:space="preserve"> من المؤشرات </w:t>
            </w:r>
            <w:r>
              <w:rPr>
                <w:rFonts w:hint="cs"/>
                <w:rtl/>
                <w:lang w:bidi="ar-SA"/>
              </w:rPr>
              <w:t>التي يتضمنها</w:t>
            </w:r>
            <w:r w:rsidRPr="004669EC">
              <w:rPr>
                <w:rFonts w:hint="cs"/>
                <w:rtl/>
                <w:lang w:bidi="ar"/>
              </w:rPr>
              <w:t xml:space="preserve"> </w:t>
            </w:r>
            <w:r w:rsidRPr="00AC1388">
              <w:rPr>
                <w:rFonts w:hint="cs"/>
                <w:rtl/>
                <w:lang w:bidi="ar-EG"/>
              </w:rPr>
              <w:t>الرقم القياسي</w:t>
            </w:r>
            <w:r w:rsidRPr="00AC1388">
              <w:rPr>
                <w:rtl/>
                <w:lang w:bidi="ar-SA"/>
              </w:rPr>
              <w:t xml:space="preserve"> </w:t>
            </w:r>
            <w:r>
              <w:rPr>
                <w:rFonts w:hint="cs"/>
                <w:rtl/>
                <w:lang w:bidi="ar-SA"/>
              </w:rPr>
              <w:t>ل</w:t>
            </w:r>
            <w:r w:rsidRPr="00AC1388">
              <w:rPr>
                <w:rFonts w:hint="cs"/>
                <w:rtl/>
                <w:lang w:bidi="ar-SA"/>
              </w:rPr>
              <w:t>تنمية</w:t>
            </w:r>
            <w:r w:rsidRPr="00E4553D">
              <w:rPr>
                <w:rFonts w:hint="cs"/>
                <w:rtl/>
                <w:lang w:bidi="ar-SA"/>
              </w:rPr>
              <w:t xml:space="preserve"> تكنولوجيا المعلومات والاتصالات </w:t>
            </w:r>
            <w:r w:rsidRPr="004669EC">
              <w:rPr>
                <w:rFonts w:hint="cs"/>
                <w:rtl/>
                <w:lang w:bidi="ar-SA"/>
              </w:rPr>
              <w:t>والاتفاق عل</w:t>
            </w:r>
            <w:r>
              <w:rPr>
                <w:rFonts w:hint="cs"/>
                <w:rtl/>
                <w:lang w:bidi="ar-SA"/>
              </w:rPr>
              <w:t>يها</w:t>
            </w:r>
            <w:r w:rsidRPr="004669EC">
              <w:rPr>
                <w:rFonts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  <w:lang w:bidi="ar-SA"/>
              </w:rPr>
              <w:t xml:space="preserve">استناداً إلى </w:t>
            </w:r>
            <w:r w:rsidRPr="004669EC">
              <w:rPr>
                <w:rFonts w:hint="cs"/>
                <w:rtl/>
                <w:lang w:bidi="ar-SA"/>
              </w:rPr>
              <w:t>وثيقتي مدخلات أعده</w:t>
            </w:r>
            <w:r>
              <w:rPr>
                <w:rFonts w:hint="cs"/>
                <w:rtl/>
                <w:lang w:bidi="ar-SA"/>
              </w:rPr>
              <w:t>م</w:t>
            </w:r>
            <w:r w:rsidRPr="004669EC">
              <w:rPr>
                <w:rFonts w:hint="cs"/>
                <w:rtl/>
                <w:lang w:bidi="ar-SA"/>
              </w:rPr>
              <w:t>ا</w:t>
            </w:r>
            <w:r w:rsidRPr="004669EC">
              <w:rPr>
                <w:lang w:bidi="ar"/>
              </w:rPr>
              <w:t> </w:t>
            </w:r>
            <w:r w:rsidRPr="004669EC">
              <w:rPr>
                <w:rtl/>
                <w:lang w:bidi="ar-SA"/>
              </w:rPr>
              <w:t>الفريق الفرعي</w:t>
            </w:r>
            <w:r w:rsidRPr="004669EC">
              <w:rPr>
                <w:rFonts w:hint="cs"/>
                <w:rtl/>
                <w:lang w:bidi="ar-SA"/>
              </w:rPr>
              <w:t xml:space="preserve"> و</w:t>
            </w:r>
            <w:r>
              <w:rPr>
                <w:rFonts w:hint="cs"/>
                <w:rtl/>
                <w:lang w:bidi="ar-SA"/>
              </w:rPr>
              <w:t>فريق ال</w:t>
            </w:r>
            <w:r w:rsidRPr="004669EC">
              <w:rPr>
                <w:rFonts w:hint="cs"/>
                <w:rtl/>
                <w:lang w:bidi="ar-SA"/>
              </w:rPr>
              <w:t xml:space="preserve">خبراء </w:t>
            </w:r>
            <w:r>
              <w:rPr>
                <w:rFonts w:hint="cs"/>
                <w:rtl/>
                <w:lang w:bidi="ar-SA"/>
              </w:rPr>
              <w:t>ال</w:t>
            </w:r>
            <w:r w:rsidRPr="004669EC">
              <w:rPr>
                <w:rFonts w:hint="cs"/>
                <w:rtl/>
                <w:lang w:bidi="ar-SA"/>
              </w:rPr>
              <w:t>مستقل</w:t>
            </w:r>
            <w:r w:rsidRPr="004669EC">
              <w:rPr>
                <w:rFonts w:hint="cs"/>
                <w:rtl/>
                <w:lang w:bidi="ar"/>
              </w:rPr>
              <w:t>.</w:t>
            </w:r>
          </w:p>
          <w:p w14:paraId="43C22110" w14:textId="5DD408F0" w:rsidR="00385F42" w:rsidRPr="004669EC" w:rsidRDefault="00385F42" w:rsidP="003271AD">
            <w:pPr>
              <w:pStyle w:val="enumlev1"/>
              <w:spacing w:line="187" w:lineRule="auto"/>
              <w:rPr>
                <w:lang w:val="fr-FR"/>
              </w:rPr>
            </w:pPr>
            <w:r>
              <w:rPr>
                <w:rFonts w:hint="eastAsia"/>
                <w:rtl/>
              </w:rPr>
              <w:t>–</w:t>
            </w:r>
            <w:r>
              <w:rPr>
                <w:rtl/>
              </w:rPr>
              <w:tab/>
            </w:r>
            <w:r>
              <w:rPr>
                <w:rFonts w:hint="cs"/>
                <w:rtl/>
                <w:lang w:bidi="ar-SA"/>
              </w:rPr>
              <w:t>اعتمد</w:t>
            </w:r>
            <w:r w:rsidRPr="004669EC">
              <w:rPr>
                <w:rFonts w:hint="cs"/>
                <w:rtl/>
                <w:lang w:bidi="ar-SA"/>
              </w:rPr>
              <w:t xml:space="preserve"> الاجتماع الاستثنائي ما مجموعه </w:t>
            </w:r>
            <w:r w:rsidRPr="004669EC">
              <w:rPr>
                <w:rFonts w:hint="cs"/>
                <w:rtl/>
                <w:lang w:bidi="ar"/>
              </w:rPr>
              <w:t xml:space="preserve">14 </w:t>
            </w:r>
            <w:r w:rsidRPr="004669EC">
              <w:rPr>
                <w:rFonts w:hint="cs"/>
                <w:rtl/>
                <w:lang w:bidi="ar-SA"/>
              </w:rPr>
              <w:t>مؤشرا</w:t>
            </w:r>
            <w:r>
              <w:rPr>
                <w:rFonts w:hint="cs"/>
                <w:rtl/>
                <w:lang w:bidi="ar-SA"/>
              </w:rPr>
              <w:t>ً</w:t>
            </w:r>
            <w:r w:rsidRPr="004669EC">
              <w:rPr>
                <w:rFonts w:hint="cs"/>
                <w:rtl/>
                <w:lang w:bidi="ar-SA"/>
              </w:rPr>
              <w:t xml:space="preserve"> لإدراجها في </w:t>
            </w:r>
            <w:r w:rsidRPr="00AC1388">
              <w:rPr>
                <w:rFonts w:hint="cs"/>
                <w:rtl/>
                <w:lang w:bidi="ar-EG"/>
              </w:rPr>
              <w:t>الرقم القياسي</w:t>
            </w:r>
            <w:r w:rsidRPr="00AC1388">
              <w:rPr>
                <w:rtl/>
                <w:lang w:bidi="ar-SA"/>
              </w:rPr>
              <w:t xml:space="preserve"> </w:t>
            </w:r>
            <w:r>
              <w:rPr>
                <w:rFonts w:hint="cs"/>
                <w:rtl/>
                <w:lang w:bidi="ar-SA"/>
              </w:rPr>
              <w:t>ل</w:t>
            </w:r>
            <w:r w:rsidRPr="00AC1388">
              <w:rPr>
                <w:rFonts w:hint="cs"/>
                <w:rtl/>
                <w:lang w:bidi="ar-SA"/>
              </w:rPr>
              <w:t>تنمية</w:t>
            </w:r>
            <w:r w:rsidRPr="00E4553D">
              <w:rPr>
                <w:rFonts w:hint="cs"/>
                <w:rtl/>
                <w:lang w:bidi="ar-SA"/>
              </w:rPr>
              <w:t xml:space="preserve"> تكنولوجيا المعلومات والاتصالات </w:t>
            </w:r>
            <w:r w:rsidRPr="004669EC">
              <w:rPr>
                <w:rFonts w:hint="cs"/>
                <w:rtl/>
                <w:lang w:bidi="ar-SA"/>
              </w:rPr>
              <w:t xml:space="preserve">مقارنةً بالقائمة الحالية </w:t>
            </w:r>
            <w:r>
              <w:rPr>
                <w:rFonts w:hint="cs"/>
                <w:rtl/>
                <w:lang w:bidi="ar-SA"/>
              </w:rPr>
              <w:t xml:space="preserve">المكونة </w:t>
            </w:r>
            <w:r w:rsidRPr="004669EC">
              <w:rPr>
                <w:rFonts w:hint="cs"/>
                <w:rtl/>
                <w:lang w:bidi="ar-SA"/>
              </w:rPr>
              <w:t xml:space="preserve">من </w:t>
            </w:r>
            <w:r w:rsidRPr="004669EC">
              <w:rPr>
                <w:rFonts w:hint="cs"/>
                <w:rtl/>
                <w:lang w:bidi="ar"/>
              </w:rPr>
              <w:t xml:space="preserve">11 </w:t>
            </w:r>
            <w:r w:rsidRPr="004669EC">
              <w:rPr>
                <w:rFonts w:hint="cs"/>
                <w:rtl/>
                <w:lang w:bidi="ar-SA"/>
              </w:rPr>
              <w:t>مؤشرا</w:t>
            </w:r>
            <w:r>
              <w:rPr>
                <w:rFonts w:hint="cs"/>
                <w:rtl/>
                <w:lang w:bidi="ar-SA"/>
              </w:rPr>
              <w:t>ً</w:t>
            </w:r>
            <w:r w:rsidRPr="004669EC">
              <w:rPr>
                <w:rFonts w:hint="cs"/>
                <w:rtl/>
                <w:lang w:bidi="ar"/>
              </w:rPr>
              <w:t xml:space="preserve"> </w:t>
            </w:r>
            <w:r>
              <w:rPr>
                <w:rFonts w:hint="cs"/>
                <w:rtl/>
                <w:lang w:bidi="ar-SA"/>
              </w:rPr>
              <w:t>وراجع الرقم القياسي ل</w:t>
            </w:r>
            <w:r w:rsidRPr="00E4553D">
              <w:rPr>
                <w:rFonts w:hint="cs"/>
                <w:rtl/>
                <w:lang w:bidi="ar-SA"/>
              </w:rPr>
              <w:t>تنمية تكنولوجيا المعلومات والاتصالات</w:t>
            </w:r>
            <w:r w:rsidRPr="004669EC">
              <w:rPr>
                <w:rFonts w:hint="cs"/>
                <w:rtl/>
                <w:lang w:bidi="ar"/>
              </w:rPr>
              <w:t>.</w:t>
            </w:r>
          </w:p>
          <w:p w14:paraId="097B33F7" w14:textId="543D0E8D" w:rsidR="00385F42" w:rsidRPr="004669EC" w:rsidRDefault="00385F42" w:rsidP="003271AD">
            <w:pPr>
              <w:pStyle w:val="enumlev1"/>
              <w:spacing w:line="187" w:lineRule="auto"/>
              <w:rPr>
                <w:lang w:val="fr-FR"/>
              </w:rPr>
            </w:pPr>
            <w:r>
              <w:rPr>
                <w:rFonts w:hint="eastAsia"/>
                <w:rtl/>
              </w:rPr>
              <w:t>–</w:t>
            </w:r>
            <w:r>
              <w:rPr>
                <w:rtl/>
              </w:rPr>
              <w:tab/>
            </w:r>
            <w:r w:rsidRPr="00385F42">
              <w:rPr>
                <w:rFonts w:hint="cs"/>
                <w:spacing w:val="-2"/>
                <w:rtl/>
                <w:lang w:bidi="ar-SA"/>
              </w:rPr>
              <w:t xml:space="preserve">اتُفق على إدراج مجموعة المؤشرات المراجَعة في </w:t>
            </w:r>
            <w:r w:rsidRPr="00385F42">
              <w:rPr>
                <w:rFonts w:hint="cs"/>
                <w:spacing w:val="-2"/>
                <w:rtl/>
                <w:lang w:bidi="ar-EG"/>
              </w:rPr>
              <w:t>الرقم القياسي</w:t>
            </w:r>
            <w:r w:rsidRPr="00385F42">
              <w:rPr>
                <w:spacing w:val="-2"/>
                <w:rtl/>
                <w:lang w:bidi="ar-SA"/>
              </w:rPr>
              <w:t xml:space="preserve"> </w:t>
            </w:r>
            <w:r w:rsidRPr="00385F42">
              <w:rPr>
                <w:rFonts w:hint="cs"/>
                <w:spacing w:val="-2"/>
                <w:rtl/>
                <w:lang w:bidi="ar-SA"/>
              </w:rPr>
              <w:t>لتنمية تكنولوجيا المعلومات والاتصالات في ا</w:t>
            </w:r>
            <w:r w:rsidRPr="00385F42">
              <w:rPr>
                <w:spacing w:val="-2"/>
                <w:rtl/>
                <w:lang w:val="fr-FR" w:bidi="ar-SA"/>
              </w:rPr>
              <w:t>لندوة العالمية لمؤشرات الاتصالات/تكنولوجيا المعلومات والاتصالات</w:t>
            </w:r>
            <w:r w:rsidRPr="00385F42">
              <w:rPr>
                <w:spacing w:val="-2"/>
              </w:rPr>
              <w:t xml:space="preserve"> (WTIS) </w:t>
            </w:r>
            <w:r w:rsidRPr="00385F42">
              <w:rPr>
                <w:spacing w:val="-2"/>
                <w:rtl/>
                <w:lang w:val="fr-FR" w:bidi="ar-SA"/>
              </w:rPr>
              <w:t>لعام 2017</w:t>
            </w:r>
            <w:r w:rsidRPr="00385F42">
              <w:rPr>
                <w:rFonts w:hint="cs"/>
                <w:spacing w:val="-2"/>
                <w:rtl/>
                <w:lang w:val="fr-FR" w:bidi="ar-SA"/>
              </w:rPr>
              <w:t xml:space="preserve">، </w:t>
            </w:r>
            <w:r w:rsidRPr="00385F42">
              <w:rPr>
                <w:rFonts w:hint="cs"/>
                <w:spacing w:val="-2"/>
                <w:rtl/>
                <w:lang w:bidi="ar-SA"/>
              </w:rPr>
              <w:t xml:space="preserve">ونشر الرقم القياسي في عام </w:t>
            </w:r>
            <w:r w:rsidRPr="00385F42">
              <w:rPr>
                <w:rFonts w:hint="cs"/>
                <w:spacing w:val="-2"/>
                <w:rtl/>
                <w:lang w:bidi="ar"/>
              </w:rPr>
              <w:t>2018.</w:t>
            </w:r>
          </w:p>
          <w:p w14:paraId="56853357" w14:textId="06C109B7" w:rsidR="00385F42" w:rsidRPr="004669EC" w:rsidRDefault="00385F42" w:rsidP="003271AD">
            <w:pPr>
              <w:pStyle w:val="enumlev1"/>
              <w:spacing w:line="187" w:lineRule="auto"/>
              <w:rPr>
                <w:lang w:val="fr-FR"/>
              </w:rPr>
            </w:pPr>
            <w:r>
              <w:rPr>
                <w:rFonts w:hint="eastAsia"/>
                <w:rtl/>
              </w:rPr>
              <w:t>–</w:t>
            </w:r>
            <w:r>
              <w:rPr>
                <w:rtl/>
              </w:rPr>
              <w:tab/>
            </w:r>
            <w:r w:rsidRPr="004669EC">
              <w:rPr>
                <w:rFonts w:hint="cs"/>
                <w:rtl/>
                <w:lang w:bidi="ar-SA"/>
              </w:rPr>
              <w:t xml:space="preserve">في عام </w:t>
            </w:r>
            <w:r w:rsidRPr="004669EC">
              <w:rPr>
                <w:rFonts w:hint="cs"/>
                <w:rtl/>
                <w:lang w:bidi="ar"/>
              </w:rPr>
              <w:t>2018</w:t>
            </w:r>
            <w:r w:rsidRPr="004669EC">
              <w:rPr>
                <w:rFonts w:hint="cs"/>
                <w:rtl/>
                <w:lang w:bidi="ar-SA"/>
              </w:rPr>
              <w:t xml:space="preserve">، لم </w:t>
            </w:r>
            <w:r>
              <w:rPr>
                <w:rFonts w:hint="cs"/>
                <w:rtl/>
                <w:lang w:bidi="ar-SA"/>
              </w:rPr>
              <w:t xml:space="preserve">يُنشر </w:t>
            </w:r>
            <w:r w:rsidRPr="00AC1388">
              <w:rPr>
                <w:rFonts w:hint="cs"/>
                <w:rtl/>
                <w:lang w:bidi="ar-EG"/>
              </w:rPr>
              <w:t>الرقم القياسي</w:t>
            </w:r>
            <w:r w:rsidRPr="00AC1388">
              <w:rPr>
                <w:rtl/>
                <w:lang w:bidi="ar-SA"/>
              </w:rPr>
              <w:t xml:space="preserve"> </w:t>
            </w:r>
            <w:r>
              <w:rPr>
                <w:rFonts w:hint="cs"/>
                <w:rtl/>
                <w:lang w:bidi="ar-SA"/>
              </w:rPr>
              <w:t>ل</w:t>
            </w:r>
            <w:r w:rsidRPr="00AC1388">
              <w:rPr>
                <w:rFonts w:hint="cs"/>
                <w:rtl/>
                <w:lang w:bidi="ar-SA"/>
              </w:rPr>
              <w:t>تنمية</w:t>
            </w:r>
            <w:r w:rsidRPr="00E4553D">
              <w:rPr>
                <w:rFonts w:hint="cs"/>
                <w:rtl/>
                <w:lang w:bidi="ar-SA"/>
              </w:rPr>
              <w:t xml:space="preserve"> تكنولوجيا المعلومات والاتصالات</w:t>
            </w:r>
            <w:r w:rsidRPr="004669EC">
              <w:rPr>
                <w:rFonts w:hint="cs"/>
                <w:rtl/>
                <w:lang w:bidi="ar-SA"/>
              </w:rPr>
              <w:t xml:space="preserve"> من أجل تسهيل </w:t>
            </w:r>
            <w:r>
              <w:rPr>
                <w:rFonts w:hint="cs"/>
                <w:rtl/>
                <w:lang w:bidi="ar-SA"/>
              </w:rPr>
              <w:t>عملية الانتقال لل</w:t>
            </w:r>
            <w:r w:rsidRPr="004669EC">
              <w:rPr>
                <w:rFonts w:hint="cs"/>
                <w:rtl/>
                <w:lang w:bidi="ar-SA"/>
              </w:rPr>
              <w:t xml:space="preserve">دول الأعضاء </w:t>
            </w:r>
            <w:r>
              <w:rPr>
                <w:rFonts w:hint="cs"/>
                <w:rtl/>
                <w:lang w:bidi="ar-SA"/>
              </w:rPr>
              <w:t xml:space="preserve">في مجال </w:t>
            </w:r>
            <w:r w:rsidRPr="004669EC">
              <w:rPr>
                <w:rFonts w:hint="cs"/>
                <w:rtl/>
                <w:lang w:bidi="ar-SA"/>
              </w:rPr>
              <w:t>جمع البيانات، و</w:t>
            </w:r>
            <w:r>
              <w:rPr>
                <w:rFonts w:hint="cs"/>
                <w:rtl/>
                <w:lang w:bidi="ar-SA"/>
              </w:rPr>
              <w:t>أجّل</w:t>
            </w:r>
            <w:r w:rsidRPr="004669EC">
              <w:rPr>
                <w:rFonts w:hint="cs"/>
                <w:rtl/>
                <w:lang w:bidi="ar-SA"/>
              </w:rPr>
              <w:t xml:space="preserve"> الاتحاد </w:t>
            </w:r>
            <w:r>
              <w:rPr>
                <w:rFonts w:hint="cs"/>
                <w:rtl/>
                <w:lang w:val="fr-FR"/>
              </w:rPr>
              <w:t xml:space="preserve">إصدار </w:t>
            </w:r>
            <w:r w:rsidRPr="00AC1388">
              <w:rPr>
                <w:rFonts w:hint="cs"/>
                <w:rtl/>
                <w:lang w:bidi="ar-EG"/>
              </w:rPr>
              <w:t>الرقم القياسي</w:t>
            </w:r>
            <w:r w:rsidRPr="00AC1388">
              <w:rPr>
                <w:rtl/>
                <w:lang w:bidi="ar-SA"/>
              </w:rPr>
              <w:t xml:space="preserve"> </w:t>
            </w:r>
            <w:r>
              <w:rPr>
                <w:rFonts w:hint="cs"/>
                <w:rtl/>
                <w:lang w:bidi="ar-SA"/>
              </w:rPr>
              <w:t>الجديد ل</w:t>
            </w:r>
            <w:r w:rsidRPr="00AC1388">
              <w:rPr>
                <w:rFonts w:hint="cs"/>
                <w:rtl/>
                <w:lang w:bidi="ar-SA"/>
              </w:rPr>
              <w:t>تنمية</w:t>
            </w:r>
            <w:r w:rsidRPr="00E4553D">
              <w:rPr>
                <w:rFonts w:hint="cs"/>
                <w:rtl/>
                <w:lang w:bidi="ar-SA"/>
              </w:rPr>
              <w:t xml:space="preserve"> تكنولوجيا المعلومات والاتصالات</w:t>
            </w:r>
            <w:r w:rsidRPr="004669EC">
              <w:rPr>
                <w:rFonts w:hint="cs"/>
                <w:rtl/>
                <w:lang w:bidi="ar-SA"/>
              </w:rPr>
              <w:t xml:space="preserve"> حتى عام </w:t>
            </w:r>
            <w:r w:rsidRPr="004669EC">
              <w:rPr>
                <w:rFonts w:hint="cs"/>
                <w:rtl/>
                <w:lang w:bidi="ar"/>
              </w:rPr>
              <w:t>2019.</w:t>
            </w:r>
          </w:p>
          <w:p w14:paraId="4F0F7BAD" w14:textId="2534F1CC" w:rsidR="00385F42" w:rsidRPr="004669EC" w:rsidRDefault="00385F42" w:rsidP="003271AD">
            <w:pPr>
              <w:pStyle w:val="enumlev1"/>
              <w:spacing w:line="187" w:lineRule="auto"/>
              <w:rPr>
                <w:lang w:val="fr-FR"/>
              </w:rPr>
            </w:pPr>
            <w:r>
              <w:rPr>
                <w:rFonts w:hint="eastAsia"/>
                <w:rtl/>
              </w:rPr>
              <w:t>–</w:t>
            </w:r>
            <w:r>
              <w:rPr>
                <w:rtl/>
              </w:rPr>
              <w:tab/>
            </w:r>
            <w:r w:rsidRPr="004669EC">
              <w:rPr>
                <w:rFonts w:hint="cs"/>
                <w:rtl/>
                <w:lang w:bidi="ar-SA"/>
              </w:rPr>
              <w:t xml:space="preserve">في عام </w:t>
            </w:r>
            <w:r w:rsidRPr="004669EC">
              <w:rPr>
                <w:rFonts w:hint="cs"/>
                <w:rtl/>
                <w:lang w:bidi="ar"/>
              </w:rPr>
              <w:t>2019</w:t>
            </w:r>
            <w:r w:rsidRPr="004669EC">
              <w:rPr>
                <w:rFonts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  <w:lang w:bidi="ar-SA"/>
              </w:rPr>
              <w:t>أعلن</w:t>
            </w:r>
            <w:r w:rsidRPr="004669EC">
              <w:rPr>
                <w:rFonts w:hint="cs"/>
                <w:rtl/>
                <w:lang w:bidi="ar-SA"/>
              </w:rPr>
              <w:t xml:space="preserve"> الاتحاد </w:t>
            </w:r>
            <w:r>
              <w:rPr>
                <w:rFonts w:hint="cs"/>
                <w:rtl/>
                <w:lang w:bidi="ar-SA"/>
              </w:rPr>
              <w:t>أنه</w:t>
            </w:r>
            <w:r w:rsidRPr="004669EC">
              <w:rPr>
                <w:rFonts w:hint="cs"/>
                <w:rtl/>
                <w:lang w:bidi="ar-SA"/>
              </w:rPr>
              <w:t xml:space="preserve"> قرر</w:t>
            </w:r>
            <w:r>
              <w:rPr>
                <w:rFonts w:hint="cs"/>
                <w:rtl/>
                <w:lang w:bidi="ar-SA"/>
              </w:rPr>
              <w:t xml:space="preserve"> إصدار</w:t>
            </w:r>
            <w:r w:rsidRPr="004669EC">
              <w:rPr>
                <w:rFonts w:hint="cs"/>
                <w:rtl/>
                <w:lang w:bidi="ar"/>
              </w:rPr>
              <w:t xml:space="preserve"> </w:t>
            </w:r>
            <w:r w:rsidRPr="00AC1388">
              <w:rPr>
                <w:rFonts w:hint="cs"/>
                <w:rtl/>
                <w:lang w:bidi="ar-EG"/>
              </w:rPr>
              <w:t>الرقم القياسي</w:t>
            </w:r>
            <w:r w:rsidRPr="00AC1388">
              <w:rPr>
                <w:rtl/>
                <w:lang w:bidi="ar-SA"/>
              </w:rPr>
              <w:t xml:space="preserve"> </w:t>
            </w:r>
            <w:r>
              <w:rPr>
                <w:rFonts w:hint="cs"/>
                <w:rtl/>
                <w:lang w:bidi="ar-SA"/>
              </w:rPr>
              <w:t>ل</w:t>
            </w:r>
            <w:r w:rsidRPr="00AC1388">
              <w:rPr>
                <w:rFonts w:hint="cs"/>
                <w:rtl/>
                <w:lang w:bidi="ar-SA"/>
              </w:rPr>
              <w:t>تنمية</w:t>
            </w:r>
            <w:r w:rsidRPr="00E4553D">
              <w:rPr>
                <w:rFonts w:hint="cs"/>
                <w:rtl/>
                <w:lang w:bidi="ar"/>
              </w:rPr>
              <w:t xml:space="preserve"> </w:t>
            </w:r>
            <w:r w:rsidRPr="004669EC">
              <w:rPr>
                <w:rFonts w:hint="cs"/>
                <w:rtl/>
                <w:lang w:bidi="ar-SA"/>
              </w:rPr>
              <w:t>تكنولوجيا المعلومات والاتصالات بهيكله القديم</w:t>
            </w:r>
            <w:r w:rsidRPr="004669EC">
              <w:rPr>
                <w:rFonts w:hint="cs"/>
                <w:rtl/>
                <w:lang w:bidi="ar"/>
              </w:rPr>
              <w:t xml:space="preserve">. </w:t>
            </w:r>
            <w:r>
              <w:rPr>
                <w:rFonts w:hint="cs"/>
                <w:rtl/>
                <w:lang w:bidi="ar-SA"/>
              </w:rPr>
              <w:t>و</w:t>
            </w:r>
            <w:r w:rsidRPr="004669EC">
              <w:rPr>
                <w:rFonts w:hint="cs"/>
                <w:rtl/>
                <w:lang w:bidi="ar-SA"/>
              </w:rPr>
              <w:t xml:space="preserve">جاء هذا الإعلان خلال الاجتماع العاشر </w:t>
            </w:r>
            <w:r>
              <w:rPr>
                <w:rFonts w:hint="cs"/>
                <w:rtl/>
                <w:lang w:bidi="ar-SA"/>
              </w:rPr>
              <w:t>ل</w:t>
            </w:r>
            <w:r w:rsidRPr="00B94C7F">
              <w:rPr>
                <w:rtl/>
                <w:lang w:bidi="ar-SA"/>
              </w:rPr>
              <w:t>فريق الخبراء المعني بمؤشرات الاتصالات/تكنولوجيا المعلومات والاتصالات</w:t>
            </w:r>
            <w:r w:rsidRPr="00B94C7F">
              <w:rPr>
                <w:rFonts w:hint="cs"/>
                <w:rtl/>
                <w:lang w:bidi="ar"/>
              </w:rPr>
              <w:t xml:space="preserve"> </w:t>
            </w:r>
            <w:r>
              <w:rPr>
                <w:rFonts w:hint="cs"/>
                <w:rtl/>
                <w:lang w:bidi="ar"/>
              </w:rPr>
              <w:t>(</w:t>
            </w:r>
            <w:r>
              <w:rPr>
                <w:rFonts w:hint="cs"/>
                <w:lang w:bidi="ar"/>
              </w:rPr>
              <w:t>EGTI</w:t>
            </w:r>
            <w:r>
              <w:rPr>
                <w:rFonts w:hint="cs"/>
                <w:rtl/>
                <w:lang w:bidi="ar"/>
              </w:rPr>
              <w:t>)</w:t>
            </w:r>
            <w:r w:rsidRPr="004669EC">
              <w:rPr>
                <w:rFonts w:hint="cs"/>
                <w:rtl/>
                <w:lang w:bidi="ar-SA"/>
              </w:rPr>
              <w:t xml:space="preserve"> الذي </w:t>
            </w:r>
            <w:r>
              <w:rPr>
                <w:rFonts w:hint="cs"/>
                <w:rtl/>
                <w:lang w:bidi="ar-SA"/>
              </w:rPr>
              <w:t>عُقد</w:t>
            </w:r>
            <w:r w:rsidRPr="004669EC">
              <w:rPr>
                <w:rFonts w:hint="cs"/>
                <w:rtl/>
                <w:lang w:bidi="ar-SA"/>
              </w:rPr>
              <w:t xml:space="preserve"> في </w:t>
            </w:r>
            <w:r>
              <w:rPr>
                <w:rFonts w:hint="cs"/>
                <w:rtl/>
                <w:lang w:bidi="ar-SA"/>
              </w:rPr>
              <w:t xml:space="preserve">مقر </w:t>
            </w:r>
            <w:r w:rsidRPr="004669EC">
              <w:rPr>
                <w:rFonts w:hint="cs"/>
                <w:rtl/>
                <w:lang w:bidi="ar-SA"/>
              </w:rPr>
              <w:t xml:space="preserve">الاتحاد في الفترة من </w:t>
            </w:r>
            <w:r w:rsidRPr="004669EC">
              <w:rPr>
                <w:rFonts w:hint="cs"/>
                <w:rtl/>
                <w:lang w:bidi="ar"/>
              </w:rPr>
              <w:t xml:space="preserve">17 </w:t>
            </w:r>
            <w:r w:rsidRPr="004669EC">
              <w:rPr>
                <w:rFonts w:hint="cs"/>
                <w:rtl/>
                <w:lang w:bidi="ar-SA"/>
              </w:rPr>
              <w:t xml:space="preserve">إلى </w:t>
            </w:r>
            <w:r w:rsidRPr="004669EC">
              <w:rPr>
                <w:rFonts w:hint="cs"/>
                <w:rtl/>
                <w:lang w:bidi="ar"/>
              </w:rPr>
              <w:t xml:space="preserve">20 </w:t>
            </w:r>
            <w:r w:rsidRPr="004669EC">
              <w:rPr>
                <w:rFonts w:hint="cs"/>
                <w:rtl/>
                <w:lang w:bidi="ar-SA"/>
              </w:rPr>
              <w:t xml:space="preserve">سبتمبر </w:t>
            </w:r>
            <w:r w:rsidRPr="004669EC">
              <w:rPr>
                <w:rFonts w:hint="cs"/>
                <w:rtl/>
                <w:lang w:bidi="ar"/>
              </w:rPr>
              <w:t xml:space="preserve">2019. </w:t>
            </w:r>
            <w:r w:rsidRPr="004669EC">
              <w:rPr>
                <w:rFonts w:hint="cs"/>
                <w:rtl/>
                <w:lang w:bidi="ar-SA"/>
              </w:rPr>
              <w:t xml:space="preserve">وأشار الاتحاد إلى </w:t>
            </w:r>
            <w:r>
              <w:rPr>
                <w:rFonts w:hint="cs"/>
                <w:rtl/>
                <w:lang w:bidi="ar-SA"/>
              </w:rPr>
              <w:t>المسائل</w:t>
            </w:r>
            <w:r w:rsidRPr="004669EC">
              <w:rPr>
                <w:rFonts w:hint="cs"/>
                <w:rtl/>
                <w:lang w:bidi="ar-SA"/>
              </w:rPr>
              <w:t xml:space="preserve"> والتحديات المتعلقة بجمع البيانات</w:t>
            </w:r>
            <w:r>
              <w:rPr>
                <w:rFonts w:hint="cs"/>
                <w:rtl/>
                <w:lang w:bidi="ar-SA"/>
              </w:rPr>
              <w:t>،</w:t>
            </w:r>
            <w:r w:rsidRPr="004669EC">
              <w:rPr>
                <w:rFonts w:hint="cs"/>
                <w:rtl/>
                <w:lang w:bidi="ar-SA"/>
              </w:rPr>
              <w:t xml:space="preserve"> وجود</w:t>
            </w:r>
            <w:r>
              <w:rPr>
                <w:rFonts w:hint="cs"/>
                <w:rtl/>
                <w:lang w:bidi="ar-SA"/>
              </w:rPr>
              <w:t>تها،</w:t>
            </w:r>
            <w:r w:rsidRPr="004669EC">
              <w:rPr>
                <w:rFonts w:hint="cs"/>
                <w:rtl/>
                <w:lang w:bidi="ar-SA"/>
              </w:rPr>
              <w:t xml:space="preserve"> واختيار </w:t>
            </w:r>
            <w:r>
              <w:rPr>
                <w:rFonts w:hint="cs"/>
                <w:rtl/>
                <w:lang w:bidi="ar-SA"/>
              </w:rPr>
              <w:t>المؤشرات ال</w:t>
            </w:r>
            <w:r w:rsidRPr="004669EC">
              <w:rPr>
                <w:rFonts w:hint="cs"/>
                <w:rtl/>
                <w:lang w:bidi="ar-SA"/>
              </w:rPr>
              <w:t>جديد</w:t>
            </w:r>
            <w:r>
              <w:rPr>
                <w:rFonts w:hint="cs"/>
                <w:rtl/>
                <w:lang w:bidi="ar-SA"/>
              </w:rPr>
              <w:t>ة</w:t>
            </w:r>
            <w:r>
              <w:rPr>
                <w:rFonts w:hint="cs"/>
                <w:rtl/>
                <w:lang w:bidi="ar"/>
              </w:rPr>
              <w:t>.</w:t>
            </w:r>
          </w:p>
          <w:p w14:paraId="20088B58" w14:textId="620A9B84" w:rsidR="00385F42" w:rsidRPr="00B85A15" w:rsidRDefault="00385F42" w:rsidP="003271AD">
            <w:pPr>
              <w:pStyle w:val="enumlev1"/>
              <w:spacing w:line="187" w:lineRule="auto"/>
              <w:rPr>
                <w:lang w:val="fr-FR"/>
              </w:rPr>
            </w:pPr>
            <w:r>
              <w:rPr>
                <w:rFonts w:hint="eastAsia"/>
                <w:rtl/>
              </w:rPr>
              <w:lastRenderedPageBreak/>
              <w:t>–</w:t>
            </w:r>
            <w:r>
              <w:rPr>
                <w:rtl/>
              </w:rPr>
              <w:tab/>
            </w:r>
            <w:r>
              <w:rPr>
                <w:rFonts w:hint="cs"/>
                <w:rtl/>
                <w:lang w:bidi="ar-SA"/>
              </w:rPr>
              <w:t>ذكرت</w:t>
            </w:r>
            <w:r w:rsidRPr="00B85A15">
              <w:rPr>
                <w:rFonts w:hint="cs"/>
                <w:rtl/>
                <w:lang w:bidi="ar-SA"/>
              </w:rPr>
              <w:t xml:space="preserve"> الإمارات العربية المتحدة، </w:t>
            </w:r>
            <w:r>
              <w:rPr>
                <w:rFonts w:hint="cs"/>
                <w:rtl/>
                <w:lang w:bidi="ar-SA"/>
              </w:rPr>
              <w:t>إلى جانب بلدان</w:t>
            </w:r>
            <w:r w:rsidRPr="00B85A15">
              <w:rPr>
                <w:rFonts w:hint="cs"/>
                <w:rtl/>
                <w:lang w:bidi="ar-SA"/>
              </w:rPr>
              <w:t xml:space="preserve"> أخرى،</w:t>
            </w:r>
            <w:r>
              <w:rPr>
                <w:rFonts w:hint="cs"/>
                <w:rtl/>
                <w:lang w:bidi="ar-EG"/>
              </w:rPr>
              <w:t xml:space="preserve"> أنها تجد صعوبة</w:t>
            </w:r>
            <w:r w:rsidRPr="00B85A15">
              <w:rPr>
                <w:rFonts w:hint="cs"/>
                <w:rtl/>
                <w:lang w:bidi="ar"/>
              </w:rPr>
              <w:t xml:space="preserve"> </w:t>
            </w:r>
            <w:r>
              <w:rPr>
                <w:rFonts w:hint="cs"/>
                <w:rtl/>
                <w:lang w:bidi="ar-SA"/>
              </w:rPr>
              <w:t xml:space="preserve">في </w:t>
            </w:r>
            <w:r w:rsidRPr="00B85A15">
              <w:rPr>
                <w:rFonts w:hint="cs"/>
                <w:rtl/>
                <w:lang w:bidi="ar-SA"/>
              </w:rPr>
              <w:t xml:space="preserve">قبول هذا النهج </w:t>
            </w:r>
            <w:r>
              <w:rPr>
                <w:rFonts w:hint="cs"/>
                <w:rtl/>
                <w:lang w:bidi="ar-SA"/>
              </w:rPr>
              <w:t>إذ استُثمرت</w:t>
            </w:r>
            <w:r w:rsidRPr="00B85A15">
              <w:rPr>
                <w:rFonts w:hint="cs"/>
                <w:rtl/>
                <w:lang w:bidi="ar-SA"/>
              </w:rPr>
              <w:t xml:space="preserve"> موارد</w:t>
            </w:r>
            <w:r>
              <w:rPr>
                <w:rFonts w:hint="cs"/>
                <w:rtl/>
                <w:lang w:bidi="ar-SA"/>
              </w:rPr>
              <w:t xml:space="preserve"> كثيرة</w:t>
            </w:r>
            <w:r w:rsidRPr="00B85A15">
              <w:rPr>
                <w:rFonts w:hint="cs"/>
                <w:rtl/>
                <w:lang w:bidi="ar-SA"/>
              </w:rPr>
              <w:t xml:space="preserve"> في السنوات الماضية للوصول إلى منهجية وهيكل </w:t>
            </w:r>
            <w:r>
              <w:rPr>
                <w:rFonts w:hint="cs"/>
                <w:rtl/>
                <w:lang w:val="fr-FR"/>
              </w:rPr>
              <w:t xml:space="preserve">للرقم القياسي الجديد </w:t>
            </w:r>
            <w:r>
              <w:rPr>
                <w:rFonts w:hint="cs"/>
                <w:rtl/>
                <w:lang w:bidi="ar-SA"/>
              </w:rPr>
              <w:t>ل</w:t>
            </w:r>
            <w:r w:rsidRPr="004669EC">
              <w:rPr>
                <w:rFonts w:hint="cs"/>
                <w:rtl/>
                <w:lang w:bidi="ar-SA"/>
              </w:rPr>
              <w:t>تنمية تكنولوجيا المعلومات والاتصالات</w:t>
            </w:r>
            <w:r w:rsidRPr="00B85A15">
              <w:rPr>
                <w:rFonts w:hint="cs"/>
                <w:rtl/>
                <w:lang w:bidi="ar"/>
              </w:rPr>
              <w:t xml:space="preserve">. </w:t>
            </w:r>
            <w:r>
              <w:rPr>
                <w:rFonts w:hint="cs"/>
                <w:rtl/>
                <w:lang w:bidi="ar-SA"/>
              </w:rPr>
              <w:t>و</w:t>
            </w:r>
            <w:r w:rsidRPr="00B85A15">
              <w:rPr>
                <w:rFonts w:hint="cs"/>
                <w:rtl/>
                <w:lang w:bidi="ar-SA"/>
              </w:rPr>
              <w:t>أشارت الإمارات العربية المتحدة أيضا</w:t>
            </w:r>
            <w:r>
              <w:rPr>
                <w:rFonts w:hint="cs"/>
                <w:rtl/>
                <w:lang w:bidi="ar-SA"/>
              </w:rPr>
              <w:t>ً</w:t>
            </w:r>
            <w:r w:rsidRPr="00B85A15">
              <w:rPr>
                <w:rFonts w:hint="cs"/>
                <w:rtl/>
                <w:lang w:bidi="ar-SA"/>
              </w:rPr>
              <w:t xml:space="preserve"> إلى قرار الاتحاد</w:t>
            </w:r>
            <w:r>
              <w:rPr>
                <w:rFonts w:hint="cs"/>
                <w:rtl/>
                <w:lang w:bidi="ar"/>
              </w:rPr>
              <w:t xml:space="preserve"> </w:t>
            </w:r>
            <w:r w:rsidRPr="00B85A15">
              <w:rPr>
                <w:rFonts w:hint="cs"/>
                <w:rtl/>
                <w:lang w:bidi="ar"/>
              </w:rPr>
              <w:t>131 (</w:t>
            </w:r>
            <w:r w:rsidRPr="00B85A15">
              <w:rPr>
                <w:rFonts w:hint="cs"/>
                <w:rtl/>
                <w:lang w:bidi="ar-SA"/>
              </w:rPr>
              <w:t>المراج</w:t>
            </w:r>
            <w:r>
              <w:rPr>
                <w:rFonts w:hint="cs"/>
                <w:rtl/>
                <w:lang w:bidi="ar-SA"/>
              </w:rPr>
              <w:t>َ</w:t>
            </w:r>
            <w:r w:rsidRPr="00B85A15">
              <w:rPr>
                <w:rFonts w:hint="cs"/>
                <w:rtl/>
                <w:lang w:bidi="ar-SA"/>
              </w:rPr>
              <w:t>ع في دبي</w:t>
            </w:r>
            <w:r>
              <w:rPr>
                <w:rFonts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  <w:lang w:bidi="ar"/>
              </w:rPr>
              <w:t>2018)</w:t>
            </w:r>
            <w:r w:rsidRPr="00B85A15">
              <w:rPr>
                <w:rFonts w:hint="cs"/>
                <w:rtl/>
                <w:lang w:bidi="ar"/>
              </w:rPr>
              <w:t xml:space="preserve"> </w:t>
            </w:r>
            <w:r>
              <w:rPr>
                <w:rFonts w:hint="cs"/>
                <w:rtl/>
                <w:lang w:bidi="ar-SA"/>
              </w:rPr>
              <w:t>ل</w:t>
            </w:r>
            <w:r w:rsidRPr="00E41A97">
              <w:rPr>
                <w:rtl/>
                <w:lang w:val="fr-FR" w:bidi="ar-SA"/>
              </w:rPr>
              <w:t>مؤتمر المندوبين المفوضين</w:t>
            </w:r>
            <w:r w:rsidRPr="00B85A15">
              <w:rPr>
                <w:rFonts w:hint="cs"/>
                <w:rtl/>
                <w:lang w:bidi="ar"/>
              </w:rPr>
              <w:t xml:space="preserve"> </w:t>
            </w:r>
            <w:r>
              <w:rPr>
                <w:rFonts w:hint="cs"/>
                <w:rtl/>
                <w:lang w:bidi="ar-SA"/>
              </w:rPr>
              <w:t xml:space="preserve">من أجل إحالة المسألة </w:t>
            </w:r>
            <w:r w:rsidRPr="00B85A15">
              <w:rPr>
                <w:rFonts w:hint="cs"/>
                <w:rtl/>
                <w:lang w:bidi="ar-SA"/>
              </w:rPr>
              <w:t>إلى فريق الخبراء</w:t>
            </w:r>
            <w:r>
              <w:rPr>
                <w:rFonts w:hint="cs"/>
                <w:rtl/>
                <w:lang w:bidi="ar-SA"/>
              </w:rPr>
              <w:t xml:space="preserve"> لينظر فيها،</w:t>
            </w:r>
            <w:r w:rsidRPr="00B85A15">
              <w:rPr>
                <w:rFonts w:hint="cs"/>
                <w:rtl/>
                <w:lang w:bidi="ar-SA"/>
              </w:rPr>
              <w:t xml:space="preserve"> و</w:t>
            </w:r>
            <w:r>
              <w:rPr>
                <w:rFonts w:hint="cs"/>
                <w:rtl/>
                <w:lang w:bidi="ar-SA"/>
              </w:rPr>
              <w:t>بعثت</w:t>
            </w:r>
            <w:r w:rsidRPr="00B85A15">
              <w:rPr>
                <w:rFonts w:hint="cs"/>
                <w:rtl/>
                <w:lang w:bidi="ar"/>
              </w:rPr>
              <w:t xml:space="preserve"> </w:t>
            </w:r>
            <w:r>
              <w:rPr>
                <w:rFonts w:hint="cs"/>
                <w:rtl/>
                <w:lang w:bidi="ar-SA"/>
              </w:rPr>
              <w:t>ب</w:t>
            </w:r>
            <w:r w:rsidRPr="00B85A15">
              <w:rPr>
                <w:rFonts w:hint="cs"/>
                <w:rtl/>
                <w:lang w:bidi="ar-SA"/>
              </w:rPr>
              <w:t>رسالة إلى الاتحاد</w:t>
            </w:r>
            <w:r>
              <w:rPr>
                <w:rFonts w:hint="cs"/>
                <w:rtl/>
                <w:lang w:bidi="ar-SA"/>
              </w:rPr>
              <w:t xml:space="preserve"> تفيد</w:t>
            </w:r>
            <w:r w:rsidRPr="00B85A15">
              <w:rPr>
                <w:rFonts w:hint="cs"/>
                <w:rtl/>
                <w:lang w:bidi="ar"/>
              </w:rPr>
              <w:t xml:space="preserve"> </w:t>
            </w:r>
            <w:r>
              <w:rPr>
                <w:rFonts w:hint="cs"/>
                <w:rtl/>
                <w:lang w:bidi="ar-SA"/>
              </w:rPr>
              <w:t>ب</w:t>
            </w:r>
            <w:r w:rsidRPr="00B85A15">
              <w:rPr>
                <w:rFonts w:hint="cs"/>
                <w:rtl/>
                <w:lang w:bidi="ar-SA"/>
              </w:rPr>
              <w:t>ذلك</w:t>
            </w:r>
            <w:r w:rsidRPr="00B85A15">
              <w:rPr>
                <w:rFonts w:hint="cs"/>
                <w:rtl/>
                <w:lang w:bidi="ar"/>
              </w:rPr>
              <w:t>.</w:t>
            </w:r>
          </w:p>
          <w:p w14:paraId="02D66D3D" w14:textId="5C87A74E" w:rsidR="00385F42" w:rsidRPr="00B5715E" w:rsidRDefault="00385F42" w:rsidP="003271AD">
            <w:pPr>
              <w:pStyle w:val="enumlev1"/>
              <w:spacing w:line="187" w:lineRule="auto"/>
              <w:rPr>
                <w:lang w:val="fr-FR"/>
              </w:rPr>
            </w:pPr>
            <w:r>
              <w:rPr>
                <w:rFonts w:hint="eastAsia"/>
                <w:rtl/>
              </w:rPr>
              <w:t>–</w:t>
            </w:r>
            <w:r>
              <w:rPr>
                <w:rtl/>
              </w:rPr>
              <w:tab/>
            </w:r>
            <w:r w:rsidRPr="00B5715E">
              <w:rPr>
                <w:rFonts w:hint="cs"/>
                <w:rtl/>
                <w:lang w:bidi="ar-SA"/>
              </w:rPr>
              <w:t>استجاب الاتحاد وقرر إجراء مشاور</w:t>
            </w:r>
            <w:r>
              <w:rPr>
                <w:rFonts w:hint="cs"/>
                <w:rtl/>
                <w:lang w:bidi="ar-SA"/>
              </w:rPr>
              <w:t>ة</w:t>
            </w:r>
            <w:r w:rsidRPr="00B5715E">
              <w:rPr>
                <w:rFonts w:hint="cs"/>
                <w:rtl/>
                <w:lang w:bidi="ar-SA"/>
              </w:rPr>
              <w:t xml:space="preserve"> عن طريق التصويت </w:t>
            </w:r>
            <w:r>
              <w:rPr>
                <w:rFonts w:hint="cs"/>
                <w:rtl/>
                <w:lang w:bidi="ar-SA"/>
              </w:rPr>
              <w:t>الإلكتروني</w:t>
            </w:r>
            <w:r w:rsidRPr="00B5715E">
              <w:rPr>
                <w:rFonts w:hint="cs"/>
                <w:rtl/>
                <w:lang w:bidi="ar"/>
              </w:rPr>
              <w:t>.</w:t>
            </w:r>
          </w:p>
          <w:p w14:paraId="77296E76" w14:textId="79DAF0FB" w:rsidR="00385F42" w:rsidRPr="00970806" w:rsidRDefault="00385F42" w:rsidP="003271AD">
            <w:pPr>
              <w:pStyle w:val="enumlev1"/>
              <w:spacing w:line="187" w:lineRule="auto"/>
              <w:rPr>
                <w:lang w:val="fr-FR"/>
              </w:rPr>
            </w:pPr>
            <w:r>
              <w:rPr>
                <w:rFonts w:hint="eastAsia"/>
                <w:rtl/>
              </w:rPr>
              <w:t>–</w:t>
            </w:r>
            <w:r>
              <w:rPr>
                <w:rtl/>
              </w:rPr>
              <w:tab/>
            </w:r>
            <w:r w:rsidRPr="00970806">
              <w:rPr>
                <w:rFonts w:hint="cs"/>
                <w:rtl/>
                <w:lang w:bidi="ar-SA"/>
              </w:rPr>
              <w:t>لم تقبل الإمارات</w:t>
            </w:r>
            <w:r>
              <w:rPr>
                <w:rFonts w:hint="cs"/>
                <w:rtl/>
                <w:lang w:bidi="ar-SA"/>
              </w:rPr>
              <w:t xml:space="preserve"> العربية المتحدة</w:t>
            </w:r>
            <w:r w:rsidRPr="00970806">
              <w:rPr>
                <w:rFonts w:hint="cs"/>
                <w:rtl/>
                <w:lang w:bidi="ar-SA"/>
              </w:rPr>
              <w:t xml:space="preserve"> التصويت </w:t>
            </w:r>
            <w:r>
              <w:rPr>
                <w:rFonts w:hint="cs"/>
                <w:rtl/>
                <w:lang w:bidi="ar-SA"/>
              </w:rPr>
              <w:t>الإلكتروني</w:t>
            </w:r>
            <w:r w:rsidRPr="00970806">
              <w:rPr>
                <w:rFonts w:hint="cs"/>
                <w:rtl/>
                <w:lang w:bidi="ar-SA"/>
              </w:rPr>
              <w:t xml:space="preserve"> وطلبت من الاتحاد إعادة هذه المسألة إلى فريق الخبراء لمناقشتها والموافقة عليها في سياق رسمي </w:t>
            </w:r>
            <w:r>
              <w:rPr>
                <w:rFonts w:hint="cs"/>
                <w:rtl/>
                <w:lang w:bidi="ar-SA"/>
              </w:rPr>
              <w:t>وفقاً</w:t>
            </w:r>
            <w:r w:rsidRPr="00970806">
              <w:rPr>
                <w:rFonts w:hint="cs"/>
                <w:rtl/>
                <w:lang w:bidi="ar"/>
              </w:rPr>
              <w:t xml:space="preserve"> </w:t>
            </w:r>
            <w:r>
              <w:rPr>
                <w:rFonts w:hint="cs"/>
                <w:rtl/>
                <w:lang w:bidi="ar-SA"/>
              </w:rPr>
              <w:t>لل</w:t>
            </w:r>
            <w:r w:rsidRPr="00970806">
              <w:rPr>
                <w:rFonts w:hint="cs"/>
                <w:rtl/>
                <w:lang w:bidi="ar-SA"/>
              </w:rPr>
              <w:t xml:space="preserve">قرار </w:t>
            </w:r>
            <w:r w:rsidRPr="00970806">
              <w:rPr>
                <w:rFonts w:hint="cs"/>
                <w:rtl/>
                <w:lang w:bidi="ar"/>
              </w:rPr>
              <w:t>131.</w:t>
            </w:r>
          </w:p>
          <w:p w14:paraId="0B7F92A5" w14:textId="77957AF5" w:rsidR="00385F42" w:rsidRDefault="00385F42" w:rsidP="003271AD">
            <w:pPr>
              <w:pStyle w:val="enumlev1"/>
              <w:spacing w:line="187" w:lineRule="auto"/>
            </w:pPr>
            <w:r>
              <w:rPr>
                <w:rFonts w:hint="eastAsia"/>
                <w:rtl/>
              </w:rPr>
              <w:t>–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وبناءً على ذلك، دعا الاتحاد إلى اجتماع لفريق الخبراء </w:t>
            </w:r>
            <w:r w:rsidRPr="00AC1388">
              <w:rPr>
                <w:rtl/>
                <w:lang w:bidi="ar-SA"/>
              </w:rPr>
              <w:t>في 10 فبراير 2020</w:t>
            </w:r>
            <w:r>
              <w:rPr>
                <w:rFonts w:hint="cs"/>
                <w:rtl/>
                <w:lang w:bidi="ar-SA"/>
              </w:rPr>
              <w:t xml:space="preserve"> قدّم خلاله </w:t>
            </w:r>
            <w:r w:rsidRPr="0055596E">
              <w:rPr>
                <w:rFonts w:hint="cs"/>
                <w:rtl/>
                <w:lang w:bidi="ar-SA"/>
              </w:rPr>
              <w:t>مقترح</w:t>
            </w:r>
            <w:r>
              <w:rPr>
                <w:rFonts w:hint="cs"/>
                <w:rtl/>
                <w:lang w:bidi="ar-SA"/>
              </w:rPr>
              <w:t>اً</w:t>
            </w:r>
            <w:r w:rsidRPr="0055596E">
              <w:rPr>
                <w:rFonts w:hint="cs"/>
                <w:rtl/>
                <w:lang w:bidi="ar-SA"/>
              </w:rPr>
              <w:t xml:space="preserve"> إلى الدول الأعضاء </w:t>
            </w:r>
            <w:r>
              <w:rPr>
                <w:rFonts w:hint="cs"/>
                <w:rtl/>
                <w:lang w:bidi="ar-SA"/>
              </w:rPr>
              <w:t>في الاتحاد</w:t>
            </w:r>
            <w:r w:rsidRPr="0055596E">
              <w:rPr>
                <w:rFonts w:hint="cs"/>
                <w:rtl/>
                <w:lang w:bidi="ar-SA"/>
              </w:rPr>
              <w:t xml:space="preserve"> لإعداد رقم قياسي مركب جديد يربط التكنولوجيات الرقمية بأهداف التنمية المستدامة </w:t>
            </w:r>
            <w:r w:rsidRPr="0055596E">
              <w:t>(</w:t>
            </w:r>
            <w:r w:rsidRPr="0055596E">
              <w:rPr>
                <w:lang w:val="en-GB"/>
              </w:rPr>
              <w:t>SDG</w:t>
            </w:r>
            <w:r w:rsidRPr="0055596E">
              <w:t>)</w:t>
            </w:r>
            <w:r w:rsidRPr="0055596E">
              <w:rPr>
                <w:rFonts w:hint="cs"/>
                <w:rtl/>
                <w:lang w:bidi="ar-SA"/>
              </w:rPr>
              <w:t>.</w:t>
            </w:r>
          </w:p>
          <w:p w14:paraId="38296C07" w14:textId="60A37AF3" w:rsidR="00385F42" w:rsidRPr="0090007F" w:rsidRDefault="00385F42" w:rsidP="003271AD">
            <w:pPr>
              <w:pStyle w:val="enumlev1"/>
              <w:spacing w:line="187" w:lineRule="auto"/>
              <w:rPr>
                <w:lang w:val="fr-FR"/>
              </w:rPr>
            </w:pPr>
            <w:r>
              <w:rPr>
                <w:rFonts w:hint="eastAsia"/>
                <w:rtl/>
              </w:rPr>
              <w:t>–</w:t>
            </w:r>
            <w:r>
              <w:rPr>
                <w:rtl/>
              </w:rPr>
              <w:tab/>
            </w:r>
            <w:r w:rsidRPr="0090007F">
              <w:rPr>
                <w:rFonts w:hint="cs"/>
                <w:rtl/>
                <w:lang w:bidi="ar-SA"/>
              </w:rPr>
              <w:t xml:space="preserve">خلال اجتماع فريق الخبراء في </w:t>
            </w:r>
            <w:r w:rsidRPr="0090007F">
              <w:rPr>
                <w:rFonts w:hint="cs"/>
                <w:rtl/>
                <w:lang w:bidi="ar"/>
              </w:rPr>
              <w:t xml:space="preserve">10 </w:t>
            </w:r>
            <w:r w:rsidRPr="0090007F">
              <w:rPr>
                <w:rFonts w:hint="cs"/>
                <w:rtl/>
                <w:lang w:bidi="ar-SA"/>
              </w:rPr>
              <w:t xml:space="preserve">فبراير </w:t>
            </w:r>
            <w:r w:rsidRPr="0090007F">
              <w:rPr>
                <w:rFonts w:hint="cs"/>
                <w:rtl/>
                <w:lang w:bidi="ar"/>
              </w:rPr>
              <w:t>2020</w:t>
            </w:r>
            <w:r w:rsidRPr="0090007F">
              <w:rPr>
                <w:rFonts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  <w:lang w:bidi="ar-SA"/>
              </w:rPr>
              <w:t>تساءلت</w:t>
            </w:r>
            <w:r w:rsidRPr="0090007F">
              <w:rPr>
                <w:rFonts w:hint="cs"/>
                <w:rtl/>
                <w:lang w:bidi="ar-SA"/>
              </w:rPr>
              <w:t xml:space="preserve"> بعض البلدان </w:t>
            </w:r>
            <w:r>
              <w:rPr>
                <w:rFonts w:hint="cs"/>
                <w:rtl/>
                <w:lang w:bidi="ar-SA"/>
              </w:rPr>
              <w:t>ومن بينها</w:t>
            </w:r>
            <w:r w:rsidRPr="0090007F">
              <w:rPr>
                <w:rFonts w:hint="cs"/>
                <w:rtl/>
                <w:lang w:bidi="ar-SA"/>
              </w:rPr>
              <w:t xml:space="preserve"> الإمارات العربية المتحدة</w:t>
            </w:r>
            <w:r>
              <w:rPr>
                <w:rFonts w:hint="cs"/>
                <w:rtl/>
                <w:lang w:bidi="ar"/>
              </w:rPr>
              <w:t xml:space="preserve"> </w:t>
            </w:r>
            <w:r w:rsidRPr="0090007F">
              <w:rPr>
                <w:rFonts w:hint="cs"/>
                <w:rtl/>
                <w:lang w:bidi="ar-SA"/>
              </w:rPr>
              <w:t xml:space="preserve">عن كيفية اتخاذ قرار بشأن </w:t>
            </w:r>
            <w:r>
              <w:rPr>
                <w:rFonts w:hint="cs"/>
                <w:rtl/>
                <w:lang w:bidi="ar-SA"/>
              </w:rPr>
              <w:t>مواصلة</w:t>
            </w:r>
            <w:r w:rsidRPr="0090007F">
              <w:rPr>
                <w:rFonts w:hint="cs"/>
                <w:rtl/>
                <w:lang w:bidi="ar"/>
              </w:rPr>
              <w:t xml:space="preserve"> (</w:t>
            </w:r>
            <w:r>
              <w:rPr>
                <w:rFonts w:hint="cs"/>
                <w:rtl/>
                <w:lang w:bidi="ar-SA"/>
              </w:rPr>
              <w:t xml:space="preserve">أو </w:t>
            </w:r>
            <w:r w:rsidRPr="0090007F">
              <w:rPr>
                <w:rFonts w:hint="cs"/>
                <w:rtl/>
                <w:lang w:bidi="ar-SA"/>
              </w:rPr>
              <w:t>عدم</w:t>
            </w:r>
            <w:r>
              <w:rPr>
                <w:rFonts w:hint="cs"/>
                <w:rtl/>
                <w:lang w:bidi="ar-SA"/>
              </w:rPr>
              <w:t xml:space="preserve"> مواصلة</w:t>
            </w:r>
            <w:r w:rsidRPr="0090007F">
              <w:rPr>
                <w:rFonts w:hint="cs"/>
                <w:rtl/>
                <w:lang w:bidi="ar"/>
              </w:rPr>
              <w:t xml:space="preserve">) </w:t>
            </w:r>
            <w:r w:rsidRPr="0090007F">
              <w:rPr>
                <w:rFonts w:hint="cs"/>
                <w:rtl/>
                <w:lang w:bidi="ar-SA"/>
              </w:rPr>
              <w:t xml:space="preserve">نشر </w:t>
            </w:r>
            <w:r w:rsidRPr="00AC1388">
              <w:rPr>
                <w:rFonts w:hint="cs"/>
                <w:rtl/>
                <w:lang w:bidi="ar-EG"/>
              </w:rPr>
              <w:t>الرقم القياسي</w:t>
            </w:r>
            <w:r w:rsidRPr="00AC1388">
              <w:rPr>
                <w:rtl/>
                <w:lang w:bidi="ar-SA"/>
              </w:rPr>
              <w:t xml:space="preserve"> </w:t>
            </w:r>
            <w:r>
              <w:rPr>
                <w:rFonts w:hint="cs"/>
                <w:rtl/>
                <w:lang w:bidi="ar-SA"/>
              </w:rPr>
              <w:t>ل</w:t>
            </w:r>
            <w:r w:rsidRPr="00AC1388">
              <w:rPr>
                <w:rFonts w:hint="cs"/>
                <w:rtl/>
                <w:lang w:bidi="ar-SA"/>
              </w:rPr>
              <w:t>تنمية</w:t>
            </w:r>
            <w:r w:rsidRPr="00E4553D">
              <w:rPr>
                <w:rFonts w:hint="cs"/>
                <w:rtl/>
                <w:lang w:bidi="ar"/>
              </w:rPr>
              <w:t xml:space="preserve"> </w:t>
            </w:r>
            <w:r w:rsidRPr="004669EC">
              <w:rPr>
                <w:rFonts w:hint="cs"/>
                <w:rtl/>
                <w:lang w:bidi="ar-SA"/>
              </w:rPr>
              <w:t xml:space="preserve">تكنولوجيا المعلومات والاتصالات </w:t>
            </w:r>
            <w:r w:rsidRPr="0090007F">
              <w:rPr>
                <w:rFonts w:hint="cs"/>
                <w:rtl/>
                <w:lang w:bidi="ar-SA"/>
              </w:rPr>
              <w:t xml:space="preserve">أو استخدام </w:t>
            </w:r>
            <w:r w:rsidRPr="00AC1388">
              <w:rPr>
                <w:rFonts w:hint="cs"/>
                <w:rtl/>
                <w:lang w:bidi="ar-EG"/>
              </w:rPr>
              <w:t>الرقم القياسي</w:t>
            </w:r>
            <w:r w:rsidRPr="00AC1388">
              <w:rPr>
                <w:rtl/>
                <w:lang w:bidi="ar-SA"/>
              </w:rPr>
              <w:t xml:space="preserve"> </w:t>
            </w:r>
            <w:r>
              <w:rPr>
                <w:rFonts w:hint="cs"/>
                <w:rtl/>
                <w:lang w:bidi="ar-SA"/>
              </w:rPr>
              <w:t>القديم</w:t>
            </w:r>
            <w:r w:rsidRPr="0090007F">
              <w:rPr>
                <w:rFonts w:hint="cs"/>
                <w:rtl/>
                <w:lang w:bidi="ar-SA"/>
              </w:rPr>
              <w:t xml:space="preserve">، ولم </w:t>
            </w:r>
            <w:r>
              <w:rPr>
                <w:rFonts w:hint="cs"/>
                <w:rtl/>
                <w:lang w:bidi="ar-SA"/>
              </w:rPr>
              <w:t>تقدَّم</w:t>
            </w:r>
            <w:r w:rsidRPr="0090007F">
              <w:rPr>
                <w:rFonts w:hint="cs"/>
                <w:rtl/>
                <w:lang w:bidi="ar"/>
              </w:rPr>
              <w:t xml:space="preserve"> </w:t>
            </w:r>
            <w:r>
              <w:rPr>
                <w:rFonts w:hint="cs"/>
                <w:rtl/>
                <w:lang w:bidi="ar-SA"/>
              </w:rPr>
              <w:t>إجابة</w:t>
            </w:r>
            <w:r w:rsidRPr="0090007F">
              <w:rPr>
                <w:rFonts w:hint="cs"/>
                <w:rtl/>
                <w:lang w:bidi="ar"/>
              </w:rPr>
              <w:t xml:space="preserve"> </w:t>
            </w:r>
            <w:r>
              <w:rPr>
                <w:rFonts w:hint="cs"/>
                <w:rtl/>
                <w:lang w:bidi="ar-SA"/>
              </w:rPr>
              <w:t>واضحة</w:t>
            </w:r>
            <w:r w:rsidRPr="0090007F">
              <w:rPr>
                <w:rFonts w:hint="cs"/>
                <w:rtl/>
                <w:lang w:bidi="ar"/>
              </w:rPr>
              <w:t xml:space="preserve">. </w:t>
            </w:r>
            <w:r>
              <w:rPr>
                <w:rFonts w:hint="cs"/>
                <w:rtl/>
                <w:lang w:bidi="ar-SA"/>
              </w:rPr>
              <w:t>ثم</w:t>
            </w:r>
            <w:r w:rsidRPr="0090007F">
              <w:rPr>
                <w:rFonts w:hint="cs"/>
                <w:rtl/>
                <w:lang w:bidi="ar-SA"/>
              </w:rPr>
              <w:t xml:space="preserve"> اقت</w:t>
            </w:r>
            <w:r>
              <w:rPr>
                <w:rFonts w:hint="cs"/>
                <w:rtl/>
                <w:lang w:bidi="ar-SA"/>
              </w:rPr>
              <w:t>ُ</w:t>
            </w:r>
            <w:r w:rsidRPr="0090007F">
              <w:rPr>
                <w:rFonts w:hint="cs"/>
                <w:rtl/>
                <w:lang w:bidi="ar-SA"/>
              </w:rPr>
              <w:t xml:space="preserve">رح </w:t>
            </w:r>
            <w:r>
              <w:rPr>
                <w:rFonts w:hint="cs"/>
                <w:rtl/>
                <w:lang w:bidi="ar-SA"/>
              </w:rPr>
              <w:t>رقم قياسي</w:t>
            </w:r>
            <w:r w:rsidRPr="0090007F">
              <w:rPr>
                <w:rFonts w:hint="cs"/>
                <w:rtl/>
                <w:lang w:bidi="ar-SA"/>
              </w:rPr>
              <w:t xml:space="preserve"> جديد </w:t>
            </w:r>
            <w:r>
              <w:rPr>
                <w:rFonts w:hint="cs"/>
                <w:rtl/>
                <w:lang w:bidi="ar-SA"/>
              </w:rPr>
              <w:t>يتصل بأهداف</w:t>
            </w:r>
            <w:r w:rsidRPr="0090007F">
              <w:rPr>
                <w:rFonts w:hint="cs"/>
                <w:rtl/>
                <w:lang w:bidi="ar-SA"/>
              </w:rPr>
              <w:t xml:space="preserve"> التنمية المستدامة</w:t>
            </w:r>
            <w:r w:rsidRPr="0090007F">
              <w:rPr>
                <w:rFonts w:hint="cs"/>
                <w:rtl/>
                <w:lang w:bidi="ar"/>
              </w:rPr>
              <w:t>.</w:t>
            </w:r>
          </w:p>
          <w:p w14:paraId="28222934" w14:textId="28215FFA" w:rsidR="00385F42" w:rsidRPr="0090007F" w:rsidRDefault="00385F42" w:rsidP="003271AD">
            <w:pPr>
              <w:pStyle w:val="enumlev1"/>
              <w:spacing w:line="187" w:lineRule="auto"/>
              <w:rPr>
                <w:lang w:val="fr-FR"/>
              </w:rPr>
            </w:pPr>
            <w:r>
              <w:rPr>
                <w:rFonts w:hint="eastAsia"/>
                <w:rtl/>
              </w:rPr>
              <w:t>–</w:t>
            </w:r>
            <w:r>
              <w:rPr>
                <w:rtl/>
              </w:rPr>
              <w:tab/>
            </w:r>
            <w:r>
              <w:rPr>
                <w:rFonts w:hint="cs"/>
                <w:rtl/>
                <w:lang w:bidi="ar-SA"/>
              </w:rPr>
              <w:t>قُدّم</w:t>
            </w:r>
            <w:r w:rsidRPr="0090007F">
              <w:rPr>
                <w:rFonts w:hint="cs"/>
                <w:rtl/>
                <w:lang w:bidi="ar-SA"/>
              </w:rPr>
              <w:t xml:space="preserve"> إطار </w:t>
            </w:r>
            <w:r>
              <w:rPr>
                <w:rFonts w:hint="cs"/>
                <w:rtl/>
                <w:lang w:bidi="ar-SA"/>
              </w:rPr>
              <w:t>الرقم القياسي الجديد لل</w:t>
            </w:r>
            <w:r w:rsidRPr="0090007F">
              <w:rPr>
                <w:rFonts w:hint="cs"/>
                <w:rtl/>
                <w:lang w:bidi="ar-SA"/>
              </w:rPr>
              <w:t xml:space="preserve">اتحاد في </w:t>
            </w:r>
            <w:r>
              <w:rPr>
                <w:rFonts w:hint="cs"/>
                <w:rtl/>
                <w:lang w:bidi="ar-SA"/>
              </w:rPr>
              <w:t>ال</w:t>
            </w:r>
            <w:r w:rsidRPr="0090007F">
              <w:rPr>
                <w:rFonts w:hint="cs"/>
                <w:rtl/>
                <w:lang w:bidi="ar-SA"/>
              </w:rPr>
              <w:t xml:space="preserve">حوار </w:t>
            </w:r>
            <w:r>
              <w:rPr>
                <w:rFonts w:hint="cs"/>
                <w:rtl/>
                <w:lang w:bidi="ar-SA"/>
              </w:rPr>
              <w:t>الإلكتروني</w:t>
            </w:r>
            <w:r w:rsidRPr="0090007F">
              <w:rPr>
                <w:rFonts w:hint="cs"/>
                <w:rtl/>
                <w:lang w:bidi="ar"/>
              </w:rPr>
              <w:t xml:space="preserve"> </w:t>
            </w:r>
            <w:r>
              <w:rPr>
                <w:rFonts w:hint="cs"/>
                <w:rtl/>
                <w:lang w:bidi="ar-SA"/>
              </w:rPr>
              <w:t>للفريق الاستشاري لتنمية الاتصالات في</w:t>
            </w:r>
            <w:r w:rsidRPr="0090007F">
              <w:rPr>
                <w:rFonts w:hint="cs"/>
                <w:rtl/>
                <w:lang w:bidi="ar"/>
              </w:rPr>
              <w:t xml:space="preserve"> 25 </w:t>
            </w:r>
            <w:r w:rsidRPr="0090007F">
              <w:rPr>
                <w:rFonts w:hint="cs"/>
                <w:rtl/>
                <w:lang w:bidi="ar-SA"/>
              </w:rPr>
              <w:t xml:space="preserve">مارس </w:t>
            </w:r>
            <w:r w:rsidRPr="0090007F">
              <w:rPr>
                <w:rFonts w:hint="cs"/>
                <w:rtl/>
                <w:lang w:bidi="ar"/>
              </w:rPr>
              <w:t xml:space="preserve">2020. </w:t>
            </w:r>
            <w:r>
              <w:rPr>
                <w:rFonts w:hint="cs"/>
                <w:rtl/>
                <w:lang w:bidi="ar-SA"/>
              </w:rPr>
              <w:t>بيد أنه</w:t>
            </w:r>
            <w:r w:rsidRPr="0090007F">
              <w:rPr>
                <w:rFonts w:hint="cs"/>
                <w:rtl/>
                <w:lang w:bidi="ar-SA"/>
              </w:rPr>
              <w:t xml:space="preserve">، لا يمكن </w:t>
            </w:r>
            <w:r>
              <w:rPr>
                <w:rFonts w:hint="cs"/>
                <w:rtl/>
                <w:lang w:bidi="ar-SA"/>
              </w:rPr>
              <w:t>مراعاة</w:t>
            </w:r>
            <w:r w:rsidRPr="0090007F">
              <w:rPr>
                <w:rFonts w:hint="cs"/>
                <w:rtl/>
                <w:lang w:bidi="ar"/>
              </w:rPr>
              <w:t xml:space="preserve"> </w:t>
            </w:r>
            <w:r>
              <w:rPr>
                <w:rFonts w:hint="cs"/>
                <w:rtl/>
                <w:lang w:bidi="ar-SA"/>
              </w:rPr>
              <w:t xml:space="preserve">ذلك </w:t>
            </w:r>
            <w:r w:rsidRPr="0090007F">
              <w:rPr>
                <w:rFonts w:hint="cs"/>
                <w:rtl/>
                <w:lang w:bidi="ar-SA"/>
              </w:rPr>
              <w:t xml:space="preserve">في عملية </w:t>
            </w:r>
            <w:r>
              <w:rPr>
                <w:rFonts w:hint="cs"/>
                <w:rtl/>
                <w:lang w:bidi="ar-SA"/>
              </w:rPr>
              <w:t>وضع رقم قياسي ما</w:t>
            </w:r>
            <w:r w:rsidRPr="0090007F">
              <w:rPr>
                <w:rFonts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  <w:lang w:bidi="ar-SA"/>
              </w:rPr>
              <w:t>إذ</w:t>
            </w:r>
            <w:r w:rsidRPr="0090007F">
              <w:rPr>
                <w:rFonts w:hint="cs"/>
                <w:rtl/>
                <w:lang w:bidi="ar"/>
              </w:rPr>
              <w:t xml:space="preserve"> </w:t>
            </w:r>
            <w:r>
              <w:rPr>
                <w:rFonts w:hint="cs"/>
                <w:rtl/>
                <w:lang w:bidi="ar-SA"/>
              </w:rPr>
              <w:t>إن</w:t>
            </w:r>
            <w:r w:rsidRPr="0090007F">
              <w:rPr>
                <w:rFonts w:hint="cs"/>
                <w:rtl/>
                <w:lang w:bidi="ar"/>
              </w:rPr>
              <w:t xml:space="preserve"> </w:t>
            </w:r>
            <w:r>
              <w:rPr>
                <w:rFonts w:hint="cs"/>
                <w:rtl/>
                <w:lang w:val="fr-FR"/>
              </w:rPr>
              <w:t xml:space="preserve">الفريق </w:t>
            </w:r>
            <w:r>
              <w:rPr>
                <w:rFonts w:hint="cs"/>
                <w:rtl/>
                <w:lang w:bidi="ar-SA"/>
              </w:rPr>
              <w:t>الاستشاري لتنمية الاتصالات</w:t>
            </w:r>
            <w:r w:rsidRPr="0090007F">
              <w:rPr>
                <w:rFonts w:hint="cs"/>
                <w:rtl/>
                <w:lang w:bidi="ar-SA"/>
              </w:rPr>
              <w:t xml:space="preserve">، مع كل الاحترام الواجب، </w:t>
            </w:r>
            <w:r>
              <w:rPr>
                <w:rFonts w:hint="cs"/>
                <w:rtl/>
                <w:lang w:bidi="ar-SA"/>
              </w:rPr>
              <w:t>ليس مؤلفاً</w:t>
            </w:r>
            <w:r w:rsidRPr="0090007F">
              <w:rPr>
                <w:rFonts w:hint="cs"/>
                <w:rtl/>
                <w:lang w:bidi="ar-SA"/>
              </w:rPr>
              <w:t xml:space="preserve"> من خبراء</w:t>
            </w:r>
            <w:r w:rsidRPr="0090007F">
              <w:rPr>
                <w:rFonts w:hint="cs"/>
                <w:rtl/>
                <w:lang w:bidi="ar"/>
              </w:rPr>
              <w:t>.</w:t>
            </w:r>
          </w:p>
          <w:p w14:paraId="41936F81" w14:textId="41E7F7D4" w:rsidR="00385F42" w:rsidRPr="00E0234E" w:rsidRDefault="00385F42" w:rsidP="003271AD">
            <w:pPr>
              <w:pStyle w:val="enumlev1"/>
              <w:spacing w:line="187" w:lineRule="auto"/>
              <w:rPr>
                <w:lang w:val="fr-FR"/>
              </w:rPr>
            </w:pPr>
            <w:r>
              <w:rPr>
                <w:rFonts w:hint="eastAsia"/>
                <w:rtl/>
              </w:rPr>
              <w:t>–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و</w:t>
            </w:r>
            <w:r w:rsidRPr="00E0234E">
              <w:rPr>
                <w:rFonts w:hint="cs"/>
                <w:rtl/>
                <w:lang w:bidi="ar-SA"/>
              </w:rPr>
              <w:t>في اجتماع فريق الخبراء</w:t>
            </w:r>
            <w:r>
              <w:rPr>
                <w:rFonts w:hint="cs"/>
                <w:rtl/>
                <w:lang w:bidi="ar-SA"/>
              </w:rPr>
              <w:t xml:space="preserve"> في </w:t>
            </w:r>
            <w:r w:rsidRPr="00E0234E">
              <w:rPr>
                <w:rFonts w:hint="cs"/>
                <w:rtl/>
                <w:lang w:bidi="ar"/>
              </w:rPr>
              <w:t xml:space="preserve">17 </w:t>
            </w:r>
            <w:r w:rsidRPr="00E0234E">
              <w:rPr>
                <w:rFonts w:hint="cs"/>
                <w:rtl/>
                <w:lang w:bidi="ar-SA"/>
              </w:rPr>
              <w:t xml:space="preserve">أبريل، قدم الاتحاد مشروع إطار </w:t>
            </w:r>
            <w:r>
              <w:rPr>
                <w:rFonts w:hint="cs"/>
                <w:rtl/>
                <w:lang w:bidi="ar-SA"/>
              </w:rPr>
              <w:t>الرقم القياسي</w:t>
            </w:r>
            <w:r w:rsidRPr="0090007F">
              <w:rPr>
                <w:rFonts w:hint="cs"/>
                <w:rtl/>
                <w:lang w:bidi="ar"/>
              </w:rPr>
              <w:t xml:space="preserve"> </w:t>
            </w:r>
            <w:r>
              <w:rPr>
                <w:rFonts w:hint="cs"/>
                <w:rtl/>
                <w:lang w:bidi="ar-SA"/>
              </w:rPr>
              <w:t>ال</w:t>
            </w:r>
            <w:r w:rsidRPr="0090007F">
              <w:rPr>
                <w:rFonts w:hint="cs"/>
                <w:rtl/>
                <w:lang w:bidi="ar-SA"/>
              </w:rPr>
              <w:t xml:space="preserve">جديد </w:t>
            </w:r>
            <w:r>
              <w:rPr>
                <w:rFonts w:hint="cs"/>
                <w:rtl/>
                <w:lang w:bidi="ar-SA"/>
              </w:rPr>
              <w:t xml:space="preserve">للاتحاد </w:t>
            </w:r>
            <w:r>
              <w:rPr>
                <w:rFonts w:hint="cs"/>
                <w:rtl/>
                <w:lang w:bidi="ar"/>
              </w:rPr>
              <w:t>(</w:t>
            </w:r>
            <w:r>
              <w:rPr>
                <w:rFonts w:hint="cs"/>
                <w:rtl/>
                <w:lang w:bidi="ar-SA"/>
              </w:rPr>
              <w:t>ذي الصلة ب</w:t>
            </w:r>
            <w:r w:rsidRPr="0090007F">
              <w:rPr>
                <w:rFonts w:hint="cs"/>
                <w:rtl/>
                <w:lang w:bidi="ar-SA"/>
              </w:rPr>
              <w:t>أهداف التنمية المستدامة</w:t>
            </w:r>
            <w:r w:rsidRPr="00E0234E">
              <w:rPr>
                <w:rFonts w:hint="cs"/>
                <w:rtl/>
                <w:lang w:bidi="ar"/>
              </w:rPr>
              <w:t xml:space="preserve"> (</w:t>
            </w:r>
            <w:r w:rsidRPr="00E0234E">
              <w:rPr>
                <w:rFonts w:hint="cs"/>
                <w:lang w:val="fr-FR"/>
              </w:rPr>
              <w:t>SDG</w:t>
            </w:r>
            <w:r w:rsidRPr="00E0234E">
              <w:rPr>
                <w:rFonts w:hint="cs"/>
                <w:rtl/>
                <w:lang w:bidi="ar"/>
              </w:rPr>
              <w:t>)</w:t>
            </w:r>
            <w:r>
              <w:rPr>
                <w:rFonts w:hint="cs"/>
                <w:rtl/>
                <w:lang w:bidi="ar"/>
              </w:rPr>
              <w:t>)</w:t>
            </w:r>
            <w:r w:rsidRPr="00E0234E">
              <w:rPr>
                <w:rFonts w:hint="cs"/>
                <w:rtl/>
                <w:lang w:bidi="ar-SA"/>
              </w:rPr>
              <w:t xml:space="preserve"> ل</w:t>
            </w:r>
            <w:r>
              <w:rPr>
                <w:rFonts w:hint="cs"/>
                <w:rtl/>
                <w:lang w:bidi="ar-SA"/>
              </w:rPr>
              <w:t xml:space="preserve">يناقشه </w:t>
            </w:r>
            <w:r w:rsidRPr="00E0234E">
              <w:rPr>
                <w:rFonts w:hint="cs"/>
                <w:rtl/>
                <w:lang w:bidi="ar-SA"/>
              </w:rPr>
              <w:t>فريق الخبراء</w:t>
            </w:r>
            <w:r w:rsidRPr="00E0234E">
              <w:rPr>
                <w:rFonts w:hint="cs"/>
                <w:rtl/>
                <w:lang w:bidi="ar"/>
              </w:rPr>
              <w:t>.</w:t>
            </w:r>
          </w:p>
          <w:p w14:paraId="502989DE" w14:textId="12B630B5" w:rsidR="00385F42" w:rsidRPr="001D0147" w:rsidRDefault="00385F42" w:rsidP="003271AD">
            <w:pPr>
              <w:pStyle w:val="enumlev1"/>
              <w:spacing w:line="187" w:lineRule="auto"/>
              <w:rPr>
                <w:lang w:val="fr-FR"/>
              </w:rPr>
            </w:pPr>
            <w:r>
              <w:rPr>
                <w:rFonts w:hint="eastAsia"/>
                <w:rtl/>
              </w:rPr>
              <w:t>–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إن </w:t>
            </w:r>
            <w:r w:rsidRPr="00385F42">
              <w:rPr>
                <w:rFonts w:hint="cs"/>
                <w:rtl/>
              </w:rPr>
              <w:t>القرار</w:t>
            </w:r>
            <w:r w:rsidRPr="001D0147">
              <w:rPr>
                <w:rFonts w:hint="cs"/>
                <w:rtl/>
                <w:lang w:bidi="ar"/>
              </w:rPr>
              <w:t xml:space="preserve"> 131 </w:t>
            </w:r>
            <w:r>
              <w:rPr>
                <w:rFonts w:hint="cs"/>
                <w:rtl/>
                <w:lang w:bidi="ar-SA"/>
              </w:rPr>
              <w:t xml:space="preserve">للاتحاد يتعلق </w:t>
            </w:r>
            <w:r w:rsidRPr="001D0147">
              <w:rPr>
                <w:rFonts w:hint="cs"/>
                <w:rtl/>
                <w:lang w:bidi="ar-SA"/>
              </w:rPr>
              <w:t xml:space="preserve">بشكل رئيسي </w:t>
            </w:r>
            <w:r>
              <w:rPr>
                <w:rFonts w:hint="cs"/>
                <w:rtl/>
                <w:lang w:bidi="ar-SA"/>
              </w:rPr>
              <w:t>ب</w:t>
            </w:r>
            <w:r w:rsidRPr="00AC1388">
              <w:rPr>
                <w:rFonts w:hint="cs"/>
                <w:rtl/>
                <w:lang w:bidi="ar-EG"/>
              </w:rPr>
              <w:t>الرقم القياسي</w:t>
            </w:r>
            <w:r w:rsidRPr="00AC1388">
              <w:rPr>
                <w:rtl/>
                <w:lang w:bidi="ar-SA"/>
              </w:rPr>
              <w:t xml:space="preserve"> </w:t>
            </w:r>
            <w:r>
              <w:rPr>
                <w:rFonts w:hint="cs"/>
                <w:rtl/>
                <w:lang w:bidi="ar-SA"/>
              </w:rPr>
              <w:t>ل</w:t>
            </w:r>
            <w:r w:rsidRPr="00AC1388">
              <w:rPr>
                <w:rFonts w:hint="cs"/>
                <w:rtl/>
                <w:lang w:bidi="ar-SA"/>
              </w:rPr>
              <w:t>تنمية</w:t>
            </w:r>
            <w:r w:rsidRPr="00E4553D">
              <w:rPr>
                <w:rFonts w:hint="cs"/>
                <w:rtl/>
                <w:lang w:bidi="ar"/>
              </w:rPr>
              <w:t xml:space="preserve"> </w:t>
            </w:r>
            <w:r w:rsidRPr="004669EC">
              <w:rPr>
                <w:rFonts w:hint="cs"/>
                <w:rtl/>
                <w:lang w:bidi="ar-SA"/>
              </w:rPr>
              <w:t xml:space="preserve">تكنولوجيا المعلومات والاتصالات </w:t>
            </w:r>
            <w:r w:rsidRPr="001D0147">
              <w:rPr>
                <w:rFonts w:hint="cs"/>
                <w:rtl/>
                <w:lang w:bidi="ar-SA"/>
              </w:rPr>
              <w:t xml:space="preserve">ولا يوجد قرار يحكم </w:t>
            </w:r>
            <w:r>
              <w:rPr>
                <w:rFonts w:hint="cs"/>
                <w:rtl/>
                <w:lang w:bidi="ar-SA"/>
              </w:rPr>
              <w:t>الرقم القياسي</w:t>
            </w:r>
            <w:r w:rsidRPr="0090007F">
              <w:rPr>
                <w:rFonts w:hint="cs"/>
                <w:rtl/>
                <w:lang w:bidi="ar"/>
              </w:rPr>
              <w:t xml:space="preserve"> </w:t>
            </w:r>
            <w:r>
              <w:rPr>
                <w:rFonts w:hint="cs"/>
                <w:rtl/>
                <w:lang w:bidi="ar-SA"/>
              </w:rPr>
              <w:t>ال</w:t>
            </w:r>
            <w:r w:rsidRPr="0090007F">
              <w:rPr>
                <w:rFonts w:hint="cs"/>
                <w:rtl/>
                <w:lang w:bidi="ar-SA"/>
              </w:rPr>
              <w:t xml:space="preserve">جديد </w:t>
            </w:r>
            <w:r>
              <w:rPr>
                <w:rFonts w:hint="cs"/>
                <w:rtl/>
                <w:lang w:bidi="ar-SA"/>
              </w:rPr>
              <w:t>للاتحاد</w:t>
            </w:r>
            <w:r w:rsidRPr="001D0147">
              <w:rPr>
                <w:rFonts w:hint="cs"/>
                <w:rtl/>
                <w:lang w:bidi="ar"/>
              </w:rPr>
              <w:t>.</w:t>
            </w:r>
          </w:p>
          <w:p w14:paraId="649AF9F7" w14:textId="77777777" w:rsidR="00385F42" w:rsidRPr="003271AD" w:rsidRDefault="00385F42" w:rsidP="003271AD">
            <w:pPr>
              <w:spacing w:before="80" w:after="80" w:line="187" w:lineRule="auto"/>
            </w:pPr>
            <w:r w:rsidRPr="003271AD">
              <w:rPr>
                <w:rFonts w:hint="cs"/>
                <w:rtl/>
              </w:rPr>
              <w:t>التحديات المتعلقة بالمؤشرات الجديدة:</w:t>
            </w:r>
          </w:p>
          <w:p w14:paraId="28745D49" w14:textId="22BEE99E" w:rsidR="00385F42" w:rsidRPr="003271AD" w:rsidRDefault="003271AD" w:rsidP="003271AD">
            <w:pPr>
              <w:pStyle w:val="enumlev1"/>
              <w:spacing w:line="187" w:lineRule="auto"/>
            </w:pPr>
            <w:r>
              <w:rPr>
                <w:rFonts w:hint="cs"/>
                <w:lang w:bidi="ar-SA"/>
              </w:rPr>
              <w:sym w:font="Symbol" w:char="F0B7"/>
            </w:r>
            <w:r w:rsidR="00385F42">
              <w:rPr>
                <w:rFonts w:ascii="Arial" w:eastAsia="NSimSun" w:hAnsi="Arial" w:cs="Arial"/>
                <w:b/>
                <w:bCs/>
              </w:rPr>
              <w:tab/>
            </w:r>
            <w:r w:rsidR="00385F42" w:rsidRPr="00901EBE">
              <w:rPr>
                <w:rFonts w:hint="cs"/>
                <w:rtl/>
                <w:lang w:bidi="ar-SA"/>
              </w:rPr>
              <w:t>يشمل</w:t>
            </w:r>
            <w:r w:rsidR="00385F42" w:rsidRPr="00901EBE">
              <w:rPr>
                <w:rFonts w:hint="cs"/>
                <w:rtl/>
              </w:rPr>
              <w:t xml:space="preserve"> </w:t>
            </w:r>
            <w:r w:rsidR="00385F42">
              <w:rPr>
                <w:rFonts w:hint="cs"/>
                <w:rtl/>
              </w:rPr>
              <w:t>الرقم القياسي</w:t>
            </w:r>
            <w:r w:rsidR="00385F42" w:rsidRPr="0090007F">
              <w:rPr>
                <w:rFonts w:hint="cs"/>
                <w:rtl/>
              </w:rPr>
              <w:t xml:space="preserve"> </w:t>
            </w:r>
            <w:r w:rsidR="00385F42">
              <w:rPr>
                <w:rFonts w:hint="cs"/>
                <w:rtl/>
              </w:rPr>
              <w:t>ال</w:t>
            </w:r>
            <w:r w:rsidR="00385F42" w:rsidRPr="0090007F">
              <w:rPr>
                <w:rFonts w:hint="cs"/>
                <w:rtl/>
              </w:rPr>
              <w:t xml:space="preserve">جديد </w:t>
            </w:r>
            <w:r w:rsidR="00385F42">
              <w:rPr>
                <w:rFonts w:hint="cs"/>
                <w:rtl/>
              </w:rPr>
              <w:t xml:space="preserve">للاتحاد </w:t>
            </w:r>
            <w:r w:rsidR="00385F42" w:rsidRPr="00901EBE">
              <w:rPr>
                <w:rFonts w:hint="cs"/>
                <w:rtl/>
              </w:rPr>
              <w:t>مؤشرات</w:t>
            </w:r>
            <w:r w:rsidR="00385F42">
              <w:rPr>
                <w:rFonts w:hint="cs"/>
                <w:rtl/>
              </w:rPr>
              <w:t xml:space="preserve"> كثيرة</w:t>
            </w:r>
            <w:r w:rsidR="00385F42" w:rsidRPr="00901EBE">
              <w:rPr>
                <w:rFonts w:hint="cs"/>
                <w:rtl/>
              </w:rPr>
              <w:t xml:space="preserve"> </w:t>
            </w:r>
            <w:r w:rsidR="00385F42">
              <w:rPr>
                <w:rFonts w:hint="cs"/>
                <w:rtl/>
              </w:rPr>
              <w:t>ليست لها علاقة ب</w:t>
            </w:r>
            <w:r w:rsidR="00385F42" w:rsidRPr="00901EBE">
              <w:rPr>
                <w:rFonts w:hint="cs"/>
                <w:rtl/>
              </w:rPr>
              <w:t xml:space="preserve">تكنولوجيا المعلومات والاتصالات </w:t>
            </w:r>
            <w:r w:rsidR="00385F42">
              <w:rPr>
                <w:rFonts w:hint="cs"/>
                <w:rtl/>
              </w:rPr>
              <w:t xml:space="preserve">ومستمدة </w:t>
            </w:r>
            <w:r w:rsidR="00385F42" w:rsidRPr="00901EBE">
              <w:rPr>
                <w:rFonts w:hint="cs"/>
                <w:rtl/>
              </w:rPr>
              <w:t xml:space="preserve">من قطاعات أخرى كثيرة </w:t>
            </w:r>
            <w:r w:rsidR="00385F42">
              <w:rPr>
                <w:rFonts w:hint="cs"/>
                <w:rtl/>
              </w:rPr>
              <w:t>ما من شأنه أن يؤدي إلى</w:t>
            </w:r>
            <w:r w:rsidR="00385F42" w:rsidRPr="00901EBE">
              <w:rPr>
                <w:rFonts w:hint="cs"/>
                <w:rtl/>
              </w:rPr>
              <w:t xml:space="preserve"> </w:t>
            </w:r>
            <w:proofErr w:type="gramStart"/>
            <w:r w:rsidR="00385F42" w:rsidRPr="00901EBE">
              <w:rPr>
                <w:rFonts w:hint="cs"/>
                <w:rtl/>
              </w:rPr>
              <w:t>مخاطر</w:t>
            </w:r>
            <w:proofErr w:type="gramEnd"/>
            <w:r w:rsidR="00385F42" w:rsidRPr="00901EBE">
              <w:rPr>
                <w:rFonts w:hint="cs"/>
                <w:rtl/>
              </w:rPr>
              <w:t xml:space="preserve"> عالية </w:t>
            </w:r>
            <w:r w:rsidR="00385F42">
              <w:rPr>
                <w:rFonts w:hint="cs"/>
                <w:rtl/>
              </w:rPr>
              <w:t>متعلقة ب</w:t>
            </w:r>
            <w:r w:rsidR="00385F42" w:rsidRPr="00901EBE">
              <w:rPr>
                <w:rFonts w:hint="cs"/>
                <w:rtl/>
              </w:rPr>
              <w:t>سوء إدارة المعلومات والجداول الزمنية.</w:t>
            </w:r>
          </w:p>
          <w:p w14:paraId="132B8A38" w14:textId="1FE436C4" w:rsidR="00385F42" w:rsidRPr="003271AD" w:rsidRDefault="003271AD" w:rsidP="003271AD">
            <w:pPr>
              <w:pStyle w:val="enumlev1"/>
              <w:spacing w:line="187" w:lineRule="auto"/>
            </w:pPr>
            <w:r>
              <w:rPr>
                <w:rFonts w:hint="cs"/>
                <w:lang w:bidi="ar-SA"/>
              </w:rPr>
              <w:sym w:font="Symbol" w:char="F0B7"/>
            </w:r>
            <w:r w:rsidR="00385F42" w:rsidRPr="003271AD">
              <w:tab/>
            </w:r>
            <w:r w:rsidR="00385F42" w:rsidRPr="00FF28A2">
              <w:rPr>
                <w:rFonts w:hint="cs"/>
                <w:rtl/>
              </w:rPr>
              <w:t xml:space="preserve">سيعتمد </w:t>
            </w:r>
            <w:r w:rsidR="00385F42">
              <w:rPr>
                <w:rFonts w:hint="cs"/>
                <w:rtl/>
              </w:rPr>
              <w:t>الرقم القياسي</w:t>
            </w:r>
            <w:r w:rsidR="00385F42" w:rsidRPr="00FF28A2">
              <w:rPr>
                <w:rFonts w:hint="cs"/>
                <w:rtl/>
              </w:rPr>
              <w:t xml:space="preserve"> الجديد على التقارير الواردة من المنظمات الدولية الأخرى (منظمة الصحة العالمية، </w:t>
            </w:r>
            <w:r w:rsidR="00385F42">
              <w:rPr>
                <w:rFonts w:hint="cs"/>
                <w:rtl/>
              </w:rPr>
              <w:t>المنظمة العالمية للملكية الفكرية</w:t>
            </w:r>
            <w:r w:rsidR="00385F42" w:rsidRPr="00FF28A2">
              <w:rPr>
                <w:rFonts w:hint="cs"/>
                <w:rtl/>
              </w:rPr>
              <w:t>،</w:t>
            </w:r>
            <w:r w:rsidR="00385F42">
              <w:rPr>
                <w:rFonts w:hint="cs"/>
                <w:rtl/>
              </w:rPr>
              <w:t xml:space="preserve"> </w:t>
            </w:r>
            <w:r w:rsidR="00385F42" w:rsidRPr="00FF28A2">
              <w:rPr>
                <w:rtl/>
              </w:rPr>
              <w:t>منظمة الأمم المتحدة للتربية والعلم والثقافة</w:t>
            </w:r>
            <w:r w:rsidR="00385F42" w:rsidRPr="00FF28A2">
              <w:rPr>
                <w:rFonts w:hint="cs"/>
                <w:rtl/>
              </w:rPr>
              <w:t>، منظمة العمل الدولية، البنك الدولي</w:t>
            </w:r>
            <w:r w:rsidR="00385F42">
              <w:rPr>
                <w:rFonts w:hint="cs"/>
                <w:rtl/>
              </w:rPr>
              <w:t>، وغيرها</w:t>
            </w:r>
            <w:r w:rsidR="00385F42" w:rsidRPr="00FF28A2">
              <w:rPr>
                <w:rFonts w:hint="cs"/>
                <w:rtl/>
              </w:rPr>
              <w:t xml:space="preserve"> </w:t>
            </w:r>
            <w:r w:rsidR="00385F42">
              <w:rPr>
                <w:rFonts w:hint="cs"/>
                <w:rtl/>
              </w:rPr>
              <w:t xml:space="preserve">من المنظمات بما في ذلك </w:t>
            </w:r>
            <w:r w:rsidR="00385F42" w:rsidRPr="00FF28A2">
              <w:rPr>
                <w:rFonts w:hint="cs"/>
                <w:rtl/>
              </w:rPr>
              <w:t>منظمات خاصة)</w:t>
            </w:r>
            <w:r w:rsidR="00385F42">
              <w:rPr>
                <w:rFonts w:hint="cs"/>
                <w:rtl/>
              </w:rPr>
              <w:t>.</w:t>
            </w:r>
          </w:p>
          <w:p w14:paraId="086251E0" w14:textId="43BF8CF0" w:rsidR="00385F42" w:rsidRPr="003271AD" w:rsidRDefault="003271AD" w:rsidP="003271AD">
            <w:pPr>
              <w:pStyle w:val="enumlev1"/>
              <w:spacing w:line="187" w:lineRule="auto"/>
            </w:pPr>
            <w:r>
              <w:rPr>
                <w:rFonts w:hint="cs"/>
                <w:lang w:bidi="ar-SA"/>
              </w:rPr>
              <w:sym w:font="Symbol" w:char="F0B7"/>
            </w:r>
            <w:r w:rsidR="00385F42" w:rsidRPr="003271AD">
              <w:tab/>
            </w:r>
            <w:r w:rsidR="00385F42" w:rsidRPr="000E12C1">
              <w:rPr>
                <w:rFonts w:hint="cs"/>
                <w:rtl/>
              </w:rPr>
              <w:t xml:space="preserve">لم </w:t>
            </w:r>
            <w:r w:rsidR="00385F42">
              <w:rPr>
                <w:rFonts w:hint="cs"/>
                <w:rtl/>
              </w:rPr>
              <w:t>يُجر</w:t>
            </w:r>
            <w:r w:rsidR="00385F42" w:rsidRPr="000E12C1">
              <w:rPr>
                <w:rFonts w:hint="cs"/>
                <w:rtl/>
              </w:rPr>
              <w:t xml:space="preserve"> فريق الخبراء </w:t>
            </w:r>
            <w:r w:rsidR="00385F42">
              <w:rPr>
                <w:rFonts w:hint="cs"/>
                <w:rtl/>
              </w:rPr>
              <w:t>دراسةً للرقم القياسي</w:t>
            </w:r>
            <w:r w:rsidR="00385F42" w:rsidRPr="000E12C1">
              <w:rPr>
                <w:rFonts w:hint="cs"/>
                <w:rtl/>
              </w:rPr>
              <w:t xml:space="preserve"> الجديد المقترح</w:t>
            </w:r>
            <w:r w:rsidR="00385F42">
              <w:rPr>
                <w:rFonts w:hint="cs"/>
                <w:rtl/>
              </w:rPr>
              <w:t xml:space="preserve"> كما أن </w:t>
            </w:r>
            <w:r w:rsidR="00385F42" w:rsidRPr="000E12C1">
              <w:rPr>
                <w:rFonts w:hint="cs"/>
                <w:rtl/>
              </w:rPr>
              <w:t>منهجية</w:t>
            </w:r>
            <w:r w:rsidR="00385F42">
              <w:rPr>
                <w:rFonts w:hint="cs"/>
                <w:rtl/>
              </w:rPr>
              <w:t xml:space="preserve"> قياسه</w:t>
            </w:r>
            <w:r w:rsidR="00385F42" w:rsidRPr="000E12C1">
              <w:rPr>
                <w:rFonts w:hint="cs"/>
                <w:rtl/>
              </w:rPr>
              <w:t xml:space="preserve"> غير واضحة.</w:t>
            </w:r>
          </w:p>
          <w:p w14:paraId="3EEBB573" w14:textId="388093D3" w:rsidR="00385F42" w:rsidRPr="003271AD" w:rsidRDefault="003271AD" w:rsidP="003271AD">
            <w:pPr>
              <w:pStyle w:val="enumlev1"/>
              <w:spacing w:line="187" w:lineRule="auto"/>
            </w:pPr>
            <w:r>
              <w:rPr>
                <w:rFonts w:hint="cs"/>
                <w:lang w:bidi="ar-SA"/>
              </w:rPr>
              <w:sym w:font="Symbol" w:char="F0B7"/>
            </w:r>
            <w:r w:rsidR="00385F42" w:rsidRPr="003271AD">
              <w:tab/>
            </w:r>
            <w:r w:rsidR="00385F42" w:rsidRPr="003A0D22">
              <w:rPr>
                <w:rFonts w:hint="cs"/>
                <w:rtl/>
              </w:rPr>
              <w:t xml:space="preserve">وفقاً </w:t>
            </w:r>
            <w:r w:rsidR="00385F42">
              <w:rPr>
                <w:rFonts w:hint="cs"/>
                <w:rtl/>
              </w:rPr>
              <w:t>ل</w:t>
            </w:r>
            <w:r w:rsidR="00385F42" w:rsidRPr="003A0D22">
              <w:rPr>
                <w:rFonts w:hint="cs"/>
                <w:rtl/>
              </w:rPr>
              <w:t>وثيقة المعلومات الأساسية للاتحاد</w:t>
            </w:r>
            <w:r w:rsidR="00385F42">
              <w:rPr>
                <w:rFonts w:hint="cs"/>
                <w:rtl/>
              </w:rPr>
              <w:t xml:space="preserve"> المعروضة</w:t>
            </w:r>
            <w:r w:rsidR="00385F42" w:rsidRPr="003A0D22">
              <w:rPr>
                <w:rFonts w:hint="cs"/>
                <w:rtl/>
              </w:rPr>
              <w:t xml:space="preserve"> في 17 أبريل 2020، فإن 50 بلداً فقط لديها بيانات</w:t>
            </w:r>
            <w:r w:rsidR="00385F42">
              <w:rPr>
                <w:rFonts w:hint="cs"/>
                <w:rtl/>
              </w:rPr>
              <w:t xml:space="preserve"> بشأن</w:t>
            </w:r>
            <w:r w:rsidR="00385F42" w:rsidRPr="003A0D22">
              <w:rPr>
                <w:rFonts w:hint="cs"/>
                <w:rtl/>
              </w:rPr>
              <w:t xml:space="preserve"> هذه المؤشرات.</w:t>
            </w:r>
          </w:p>
          <w:p w14:paraId="739CC3A8" w14:textId="766BCC71" w:rsidR="00385F42" w:rsidRPr="0055596E" w:rsidRDefault="003271AD" w:rsidP="003271AD">
            <w:pPr>
              <w:pStyle w:val="enumlev1"/>
              <w:spacing w:line="187" w:lineRule="auto"/>
            </w:pPr>
            <w:r>
              <w:rPr>
                <w:rFonts w:hint="cs"/>
                <w:lang w:bidi="ar-SA"/>
              </w:rPr>
              <w:sym w:font="Symbol" w:char="F0B7"/>
            </w:r>
            <w:r w:rsidR="00385F42" w:rsidRPr="003271AD">
              <w:tab/>
            </w:r>
            <w:r w:rsidR="00385F42" w:rsidRPr="006C274D">
              <w:rPr>
                <w:rFonts w:hint="cs"/>
                <w:rtl/>
              </w:rPr>
              <w:t>لا ي</w:t>
            </w:r>
            <w:r w:rsidR="00385F42">
              <w:rPr>
                <w:rFonts w:hint="cs"/>
                <w:rtl/>
              </w:rPr>
              <w:t xml:space="preserve">توافق الرقم القياسي الجديد مع القرار </w:t>
            </w:r>
            <w:r w:rsidR="00385F42" w:rsidRPr="006C274D">
              <w:rPr>
                <w:rFonts w:hint="cs"/>
                <w:rtl/>
              </w:rPr>
              <w:t xml:space="preserve">131 </w:t>
            </w:r>
            <w:r w:rsidR="00385F42">
              <w:rPr>
                <w:rFonts w:hint="cs"/>
                <w:rtl/>
              </w:rPr>
              <w:t xml:space="preserve">للاتحاد </w:t>
            </w:r>
            <w:r w:rsidR="00385F42" w:rsidRPr="006C274D">
              <w:rPr>
                <w:rFonts w:hint="cs"/>
                <w:rtl/>
              </w:rPr>
              <w:t xml:space="preserve">الذي ينص بوضوح على </w:t>
            </w:r>
            <w:r w:rsidR="00385F42">
              <w:rPr>
                <w:rFonts w:hint="cs"/>
                <w:rtl/>
              </w:rPr>
              <w:t>"</w:t>
            </w:r>
            <w:r w:rsidR="00385F42">
              <w:rPr>
                <w:rtl/>
              </w:rPr>
              <w:t>أنه ينبغي للاتحاد أن يحدد فترة أربع سنوات لصلاحية هيكل</w:t>
            </w:r>
            <w:r w:rsidR="00AD174F">
              <w:rPr>
                <w:rFonts w:hint="cs"/>
                <w:rtl/>
              </w:rPr>
              <w:t xml:space="preserve"> </w:t>
            </w:r>
            <w:r w:rsidR="00385F42">
              <w:rPr>
                <w:rtl/>
              </w:rPr>
              <w:t xml:space="preserve">ومنهجية الرقم القياسي </w:t>
            </w:r>
            <w:r w:rsidR="00385F42">
              <w:rPr>
                <w:rFonts w:hint="cs"/>
                <w:rtl/>
              </w:rPr>
              <w:t>لتنمية</w:t>
            </w:r>
            <w:r w:rsidR="00385F42">
              <w:rPr>
                <w:rtl/>
              </w:rPr>
              <w:t xml:space="preserve"> تكنولوجيا المعلومات والاتصالات وسلّة أسعار تكنولوجيا المعلومات والاتصالات من أجل تنفيذ الفقرة </w:t>
            </w:r>
            <w:r w:rsidR="00385F42">
              <w:t>2</w:t>
            </w:r>
            <w:r w:rsidR="00385F42">
              <w:rPr>
                <w:rtl/>
              </w:rPr>
              <w:t xml:space="preserve"> من </w:t>
            </w:r>
            <w:r w:rsidR="00385F42" w:rsidRPr="00CF52C7">
              <w:rPr>
                <w:i/>
                <w:iCs/>
                <w:rtl/>
              </w:rPr>
              <w:t>"يقرر"</w:t>
            </w:r>
            <w:r w:rsidR="00385F42">
              <w:rPr>
                <w:rtl/>
              </w:rPr>
              <w:t xml:space="preserve"> أعلاه، إذا دعت الحاجة إلى مراجعتها وتنقيحها، حسب الاقتضاء، من خلال عقد اجتماع فريق خبراء في جنيف يمثل جميع البلدان، المتقدمة والنامية، على قدم المساواة</w:t>
            </w:r>
            <w:r w:rsidR="00385F42">
              <w:rPr>
                <w:rFonts w:hint="cs"/>
                <w:rtl/>
              </w:rPr>
              <w:t>".</w:t>
            </w:r>
          </w:p>
          <w:p w14:paraId="600AFDCA" w14:textId="77777777" w:rsidR="00385F42" w:rsidRPr="00064DC2" w:rsidRDefault="00385F42" w:rsidP="003271AD">
            <w:pPr>
              <w:pStyle w:val="Headingb0"/>
              <w:keepNext w:val="0"/>
              <w:framePr w:hSpace="0" w:wrap="auto" w:vAnchor="margin" w:xAlign="left" w:yAlign="inline"/>
              <w:spacing w:before="120" w:after="120" w:line="187" w:lineRule="auto"/>
              <w:suppressOverlap w:val="0"/>
              <w:rPr>
                <w:rFonts w:eastAsiaTheme="minorEastAsia"/>
                <w:bCs w:val="0"/>
                <w:lang w:eastAsia="zh-CN"/>
              </w:rPr>
            </w:pPr>
            <w:r w:rsidRPr="00064DC2">
              <w:rPr>
                <w:rFonts w:eastAsiaTheme="minorEastAsia" w:hint="cs"/>
                <w:rtl/>
                <w:lang w:eastAsia="zh-CN"/>
              </w:rPr>
              <w:t>السبيل المقترح للمضي قدماً</w:t>
            </w:r>
          </w:p>
          <w:p w14:paraId="20B70EAB" w14:textId="77777777" w:rsidR="00385F42" w:rsidRPr="00883649" w:rsidRDefault="00385F42" w:rsidP="003271AD">
            <w:pPr>
              <w:spacing w:before="80" w:after="80" w:line="187" w:lineRule="auto"/>
              <w:rPr>
                <w:lang w:val="fr-FR"/>
              </w:rPr>
            </w:pPr>
            <w:r w:rsidRPr="00883649">
              <w:rPr>
                <w:rFonts w:hint="cs"/>
                <w:rtl/>
              </w:rPr>
              <w:t>بناءً على ما سبق، يُقترح ما يلي</w:t>
            </w:r>
            <w:r>
              <w:rPr>
                <w:rFonts w:hint="cs"/>
                <w:rtl/>
                <w:lang w:bidi="ar"/>
              </w:rPr>
              <w:t>:</w:t>
            </w:r>
          </w:p>
          <w:p w14:paraId="29BA7942" w14:textId="74EAC596" w:rsidR="00385F42" w:rsidRPr="005A7B7C" w:rsidRDefault="003271AD" w:rsidP="003271AD">
            <w:pPr>
              <w:pStyle w:val="enumlev1"/>
              <w:spacing w:line="187" w:lineRule="auto"/>
              <w:rPr>
                <w:lang w:val="fr-FR"/>
              </w:rPr>
            </w:pPr>
            <w:r>
              <w:rPr>
                <w:rFonts w:hint="eastAsia"/>
                <w:rtl/>
              </w:rPr>
              <w:t>–</w:t>
            </w:r>
            <w:r w:rsidR="00385F42">
              <w:rPr>
                <w:rtl/>
              </w:rPr>
              <w:tab/>
            </w:r>
            <w:r w:rsidR="00385F42">
              <w:rPr>
                <w:rFonts w:hint="cs"/>
                <w:rtl/>
              </w:rPr>
              <w:t>أن يُطلب</w:t>
            </w:r>
            <w:r w:rsidR="00385F42" w:rsidRPr="005A7B7C">
              <w:rPr>
                <w:rFonts w:hint="cs"/>
                <w:rtl/>
                <w:lang w:bidi="ar-SA"/>
              </w:rPr>
              <w:t xml:space="preserve"> بشكل عاجل من فريق الخبراء </w:t>
            </w:r>
            <w:r w:rsidR="00385F42">
              <w:rPr>
                <w:rFonts w:hint="cs"/>
                <w:rtl/>
                <w:lang w:bidi="ar-SA"/>
              </w:rPr>
              <w:t xml:space="preserve">استعراض </w:t>
            </w:r>
            <w:r w:rsidR="00385F42" w:rsidRPr="005A7B7C">
              <w:rPr>
                <w:rFonts w:hint="cs"/>
                <w:rtl/>
                <w:lang w:bidi="ar-EG"/>
              </w:rPr>
              <w:t>الرقم القياسي</w:t>
            </w:r>
            <w:r w:rsidR="00385F42" w:rsidRPr="005A7B7C">
              <w:rPr>
                <w:rtl/>
                <w:lang w:bidi="ar-SA"/>
              </w:rPr>
              <w:t xml:space="preserve"> </w:t>
            </w:r>
            <w:r w:rsidR="00385F42">
              <w:rPr>
                <w:rFonts w:hint="cs"/>
                <w:rtl/>
                <w:lang w:bidi="ar-SA"/>
              </w:rPr>
              <w:t xml:space="preserve">المحدّث </w:t>
            </w:r>
            <w:r w:rsidR="00385F42" w:rsidRPr="005A7B7C">
              <w:rPr>
                <w:rFonts w:hint="cs"/>
                <w:rtl/>
                <w:lang w:bidi="ar-SA"/>
              </w:rPr>
              <w:t>لتنمية تكنولوجيا المعلومات</w:t>
            </w:r>
            <w:r w:rsidR="00385F42">
              <w:rPr>
                <w:rFonts w:hint="cs"/>
                <w:rtl/>
                <w:lang w:bidi="ar-SA"/>
              </w:rPr>
              <w:t xml:space="preserve"> والاتصالات</w:t>
            </w:r>
            <w:r w:rsidR="00385F42" w:rsidRPr="005A7B7C">
              <w:rPr>
                <w:rFonts w:hint="cs"/>
                <w:rtl/>
                <w:lang w:bidi="ar-SA"/>
              </w:rPr>
              <w:t xml:space="preserve"> لعام </w:t>
            </w:r>
            <w:r w:rsidR="00385F42" w:rsidRPr="005A7B7C">
              <w:rPr>
                <w:rFonts w:hint="cs"/>
                <w:rtl/>
                <w:lang w:bidi="ar"/>
              </w:rPr>
              <w:t xml:space="preserve">2018 </w:t>
            </w:r>
            <w:r w:rsidR="00385F42" w:rsidRPr="005A7B7C">
              <w:rPr>
                <w:rFonts w:hint="cs"/>
                <w:rtl/>
                <w:lang w:bidi="ar-SA"/>
              </w:rPr>
              <w:t>و</w:t>
            </w:r>
            <w:r w:rsidR="00385F42">
              <w:rPr>
                <w:rFonts w:hint="cs"/>
                <w:rtl/>
                <w:lang w:bidi="ar-SA"/>
              </w:rPr>
              <w:t>تحديد المشاكل التي ينطوي عليها</w:t>
            </w:r>
            <w:r w:rsidR="00385F42" w:rsidRPr="005A7B7C">
              <w:rPr>
                <w:rFonts w:hint="cs"/>
                <w:rtl/>
                <w:lang w:bidi="ar-SA"/>
              </w:rPr>
              <w:t xml:space="preserve"> وحل</w:t>
            </w:r>
            <w:r w:rsidR="00385F42">
              <w:rPr>
                <w:rFonts w:hint="cs"/>
                <w:rtl/>
                <w:lang w:bidi="ar-SA"/>
              </w:rPr>
              <w:t>ّها</w:t>
            </w:r>
            <w:r w:rsidR="00385F42" w:rsidRPr="005A7B7C">
              <w:rPr>
                <w:rFonts w:hint="cs"/>
                <w:rtl/>
                <w:lang w:bidi="ar-SA"/>
              </w:rPr>
              <w:t xml:space="preserve"> حتى يتمكن الاتحاد من نشر تقرير </w:t>
            </w:r>
            <w:r w:rsidR="00385F42" w:rsidRPr="005A7B7C">
              <w:rPr>
                <w:rFonts w:hint="cs"/>
                <w:rtl/>
                <w:lang w:bidi="ar-EG"/>
              </w:rPr>
              <w:t>الرقم القياسي</w:t>
            </w:r>
            <w:r w:rsidR="00385F42" w:rsidRPr="005A7B7C">
              <w:rPr>
                <w:rtl/>
                <w:lang w:bidi="ar-SA"/>
              </w:rPr>
              <w:t xml:space="preserve"> </w:t>
            </w:r>
            <w:r w:rsidR="00385F42" w:rsidRPr="005A7B7C">
              <w:rPr>
                <w:rFonts w:hint="cs"/>
                <w:rtl/>
                <w:lang w:bidi="ar-SA"/>
              </w:rPr>
              <w:t>لتنمية تكنولوجيا المعلومات</w:t>
            </w:r>
            <w:r w:rsidR="00385F42">
              <w:rPr>
                <w:rFonts w:hint="cs"/>
                <w:rtl/>
                <w:lang w:bidi="ar-SA"/>
              </w:rPr>
              <w:t xml:space="preserve"> والاتصالات</w:t>
            </w:r>
            <w:r w:rsidR="00385F42" w:rsidRPr="005A7B7C">
              <w:rPr>
                <w:rFonts w:hint="cs"/>
                <w:rtl/>
                <w:lang w:bidi="ar-SA"/>
              </w:rPr>
              <w:t xml:space="preserve"> في عام </w:t>
            </w:r>
            <w:r w:rsidR="00385F42" w:rsidRPr="005A7B7C">
              <w:rPr>
                <w:rFonts w:hint="cs"/>
                <w:rtl/>
                <w:lang w:bidi="ar"/>
              </w:rPr>
              <w:t xml:space="preserve">2020 </w:t>
            </w:r>
            <w:r w:rsidR="00385F42" w:rsidRPr="005A7B7C">
              <w:rPr>
                <w:rFonts w:hint="cs"/>
                <w:rtl/>
                <w:lang w:bidi="ar-SA"/>
              </w:rPr>
              <w:t>دون مزيد من التأخير</w:t>
            </w:r>
            <w:r w:rsidR="00385F42" w:rsidRPr="005A7B7C">
              <w:rPr>
                <w:rFonts w:hint="cs"/>
                <w:rtl/>
                <w:lang w:bidi="ar"/>
              </w:rPr>
              <w:t>.</w:t>
            </w:r>
          </w:p>
          <w:p w14:paraId="7C073A79" w14:textId="56D27310" w:rsidR="004B1F2F" w:rsidRPr="00CB7DE5" w:rsidRDefault="003271AD" w:rsidP="003271AD">
            <w:pPr>
              <w:pStyle w:val="enumlev1"/>
              <w:spacing w:line="187" w:lineRule="auto"/>
              <w:rPr>
                <w:b/>
                <w:bCs/>
                <w:position w:val="2"/>
                <w:lang w:bidi="ar"/>
              </w:rPr>
            </w:pPr>
            <w:r>
              <w:rPr>
                <w:rFonts w:hint="eastAsia"/>
                <w:rtl/>
              </w:rPr>
              <w:t>–</w:t>
            </w:r>
            <w:r w:rsidR="00385F42">
              <w:rPr>
                <w:rtl/>
              </w:rPr>
              <w:tab/>
            </w:r>
            <w:r w:rsidR="00385F42">
              <w:rPr>
                <w:rFonts w:hint="cs"/>
                <w:rtl/>
              </w:rPr>
              <w:t xml:space="preserve">أن يُطلب </w:t>
            </w:r>
            <w:r w:rsidR="00385F42" w:rsidRPr="005A7B7C">
              <w:rPr>
                <w:rFonts w:hint="cs"/>
                <w:rtl/>
                <w:lang w:bidi="ar-SA"/>
              </w:rPr>
              <w:t xml:space="preserve">من فريق الخبراء </w:t>
            </w:r>
            <w:r w:rsidR="00385F42">
              <w:rPr>
                <w:rFonts w:hint="cs"/>
                <w:rtl/>
                <w:lang w:bidi="ar-SA"/>
              </w:rPr>
              <w:t xml:space="preserve">استعراض </w:t>
            </w:r>
            <w:r w:rsidR="00385F42" w:rsidRPr="005A7B7C">
              <w:rPr>
                <w:rFonts w:hint="cs"/>
                <w:rtl/>
                <w:lang w:bidi="ar-EG"/>
              </w:rPr>
              <w:t>الرقم القياسي</w:t>
            </w:r>
            <w:r w:rsidR="00385F42" w:rsidRPr="005A7B7C">
              <w:rPr>
                <w:rtl/>
                <w:lang w:bidi="ar-SA"/>
              </w:rPr>
              <w:t xml:space="preserve"> </w:t>
            </w:r>
            <w:r w:rsidR="00385F42">
              <w:rPr>
                <w:rFonts w:hint="cs"/>
                <w:rtl/>
                <w:lang w:bidi="ar-SA"/>
              </w:rPr>
              <w:t xml:space="preserve">الجديد </w:t>
            </w:r>
            <w:r w:rsidR="00385F42" w:rsidRPr="005A7B7C">
              <w:rPr>
                <w:rFonts w:hint="cs"/>
                <w:rtl/>
                <w:lang w:bidi="ar-SA"/>
              </w:rPr>
              <w:t>لتنمية تكنولوجيا المعلومات</w:t>
            </w:r>
            <w:r w:rsidR="00385F42">
              <w:rPr>
                <w:rFonts w:hint="cs"/>
                <w:rtl/>
                <w:lang w:bidi="ar-SA"/>
              </w:rPr>
              <w:t xml:space="preserve"> والاتصالات الذي اقترحه الاتحاد حسب الاقتضاء، من خلال </w:t>
            </w:r>
            <w:r w:rsidR="00385F42" w:rsidRPr="00982203">
              <w:rPr>
                <w:rFonts w:hint="cs"/>
                <w:rtl/>
                <w:lang w:bidi="ar-SA"/>
              </w:rPr>
              <w:t xml:space="preserve">اجتماع </w:t>
            </w:r>
            <w:r w:rsidR="00385F42">
              <w:rPr>
                <w:rFonts w:hint="cs"/>
                <w:rtl/>
                <w:lang w:bidi="ar-SA"/>
              </w:rPr>
              <w:t>ل</w:t>
            </w:r>
            <w:r w:rsidR="00385F42" w:rsidRPr="00982203">
              <w:rPr>
                <w:rFonts w:hint="cs"/>
                <w:rtl/>
                <w:lang w:bidi="ar-SA"/>
              </w:rPr>
              <w:t xml:space="preserve">فريق خبراء </w:t>
            </w:r>
            <w:r w:rsidR="00385F42">
              <w:rPr>
                <w:rFonts w:hint="cs"/>
                <w:rtl/>
                <w:lang w:bidi="ar-SA"/>
              </w:rPr>
              <w:t>تُمثل فيه</w:t>
            </w:r>
            <w:r w:rsidR="00385F42" w:rsidRPr="00982203">
              <w:rPr>
                <w:rFonts w:hint="cs"/>
                <w:rtl/>
                <w:lang w:bidi="ar-SA"/>
              </w:rPr>
              <w:t xml:space="preserve"> جميع الإدارات </w:t>
            </w:r>
            <w:r w:rsidR="00385F42">
              <w:rPr>
                <w:rFonts w:hint="cs"/>
                <w:rtl/>
                <w:lang w:bidi="ar-SA"/>
              </w:rPr>
              <w:t>إلى أن توضع صيغة نهائية له</w:t>
            </w:r>
            <w:r w:rsidR="00385F42" w:rsidRPr="00982203">
              <w:rPr>
                <w:rFonts w:hint="cs"/>
                <w:rtl/>
                <w:lang w:bidi="ar-SA"/>
              </w:rPr>
              <w:t xml:space="preserve">، </w:t>
            </w:r>
            <w:r w:rsidR="00385F42">
              <w:rPr>
                <w:rFonts w:hint="cs"/>
                <w:rtl/>
                <w:lang w:bidi="ar-SA"/>
              </w:rPr>
              <w:t>وبعد ذلك قد</w:t>
            </w:r>
            <w:r w:rsidR="00385F42" w:rsidRPr="00982203">
              <w:rPr>
                <w:rFonts w:hint="cs"/>
                <w:rtl/>
                <w:lang w:bidi="ar-SA"/>
              </w:rPr>
              <w:t xml:space="preserve"> يحل</w:t>
            </w:r>
            <w:r w:rsidR="00385F42">
              <w:rPr>
                <w:rFonts w:hint="cs"/>
                <w:rtl/>
                <w:lang w:bidi="ar-SA"/>
              </w:rPr>
              <w:t xml:space="preserve"> الرقم القياسي الجديد في المستقبل</w:t>
            </w:r>
            <w:r w:rsidR="00385F42" w:rsidRPr="00982203">
              <w:rPr>
                <w:rFonts w:hint="cs"/>
                <w:rtl/>
                <w:lang w:bidi="ar-SA"/>
              </w:rPr>
              <w:t xml:space="preserve"> محل </w:t>
            </w:r>
            <w:r w:rsidR="00385F42" w:rsidRPr="005A7B7C">
              <w:rPr>
                <w:rFonts w:hint="cs"/>
                <w:rtl/>
                <w:lang w:bidi="ar-EG"/>
              </w:rPr>
              <w:t>الرقم القياسي</w:t>
            </w:r>
            <w:r w:rsidR="00385F42" w:rsidRPr="005A7B7C">
              <w:rPr>
                <w:rtl/>
                <w:lang w:bidi="ar-SA"/>
              </w:rPr>
              <w:t xml:space="preserve"> </w:t>
            </w:r>
            <w:r w:rsidR="00385F42" w:rsidRPr="005A7B7C">
              <w:rPr>
                <w:rFonts w:hint="cs"/>
                <w:rtl/>
                <w:lang w:bidi="ar-SA"/>
              </w:rPr>
              <w:t>لتنمية تكنولوجيا المعلومات</w:t>
            </w:r>
            <w:r w:rsidR="00385F42">
              <w:rPr>
                <w:rFonts w:hint="cs"/>
                <w:rtl/>
                <w:lang w:bidi="ar"/>
              </w:rPr>
              <w:t xml:space="preserve"> </w:t>
            </w:r>
            <w:r w:rsidR="00385F42" w:rsidRPr="00982203">
              <w:rPr>
                <w:rFonts w:hint="cs"/>
                <w:rtl/>
                <w:lang w:bidi="ar-SA"/>
              </w:rPr>
              <w:t>إذا وافقت عليه الدول الأعضاء في الاتحاد</w:t>
            </w:r>
            <w:r w:rsidR="00385F42" w:rsidRPr="00982203">
              <w:rPr>
                <w:rFonts w:hint="cs"/>
                <w:rtl/>
                <w:lang w:bidi="ar"/>
              </w:rPr>
              <w:t>.</w:t>
            </w:r>
          </w:p>
        </w:tc>
      </w:tr>
    </w:tbl>
    <w:bookmarkEnd w:id="2"/>
    <w:p w14:paraId="791B0D3F" w14:textId="5D3E494D" w:rsidR="00CB7DE5" w:rsidRDefault="007D2C16" w:rsidP="003271AD">
      <w:pPr>
        <w:spacing w:before="240"/>
        <w:jc w:val="center"/>
        <w:rPr>
          <w:rtl/>
        </w:rPr>
      </w:pPr>
      <w:r>
        <w:rPr>
          <w:rFonts w:hint="cs"/>
          <w:rtl/>
          <w:lang w:bidi="ar-EG"/>
        </w:rPr>
        <w:lastRenderedPageBreak/>
        <w:t>ـــــــــــــــــــــــــــــــــــــــــــــــــــــــــــــــــــــــــــــــــــــ</w:t>
      </w:r>
    </w:p>
    <w:sectPr w:rsidR="00CB7DE5" w:rsidSect="006C3242">
      <w:headerReference w:type="default" r:id="rId10"/>
      <w:footerReference w:type="default" r:id="rId11"/>
      <w:footerReference w:type="first" r:id="rId12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F4B51" w14:textId="77777777" w:rsidR="00F5258C" w:rsidRDefault="00F5258C" w:rsidP="006C3242">
      <w:pPr>
        <w:spacing w:before="0" w:line="240" w:lineRule="auto"/>
      </w:pPr>
      <w:r>
        <w:separator/>
      </w:r>
    </w:p>
  </w:endnote>
  <w:endnote w:type="continuationSeparator" w:id="0">
    <w:p w14:paraId="6FC4E208" w14:textId="77777777" w:rsidR="00F5258C" w:rsidRDefault="00F5258C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C6795" w14:textId="7765F5AF" w:rsidR="006C3242" w:rsidRPr="0026373E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noProof/>
        <w:sz w:val="16"/>
        <w:szCs w:val="16"/>
        <w:lang w:val="fr-FR"/>
      </w:rPr>
    </w:pPr>
    <w:r w:rsidRPr="000C05C0">
      <w:rPr>
        <w:noProof/>
        <w:sz w:val="16"/>
        <w:szCs w:val="16"/>
        <w:lang w:val="fr-FR"/>
      </w:rPr>
      <w:fldChar w:fldCharType="begin"/>
    </w:r>
    <w:r w:rsidRPr="0026373E">
      <w:rPr>
        <w:noProof/>
        <w:sz w:val="16"/>
        <w:szCs w:val="16"/>
        <w:lang w:val="fr-FR"/>
      </w:rPr>
      <w:instrText xml:space="preserve"> FILENAME \p \* MERGEFORMAT </w:instrText>
    </w:r>
    <w:r w:rsidRPr="000C05C0">
      <w:rPr>
        <w:noProof/>
        <w:sz w:val="16"/>
        <w:szCs w:val="16"/>
        <w:lang w:val="fr-FR"/>
      </w:rPr>
      <w:fldChar w:fldCharType="separate"/>
    </w:r>
    <w:r w:rsidR="00A4739F">
      <w:rPr>
        <w:noProof/>
        <w:sz w:val="16"/>
        <w:szCs w:val="16"/>
        <w:lang w:val="fr-FR"/>
      </w:rPr>
      <w:t>P:\ARA\SG\CONSEIL\VC\000\003A.docx</w:t>
    </w:r>
    <w:r w:rsidRPr="000C05C0">
      <w:rPr>
        <w:noProof/>
        <w:sz w:val="16"/>
        <w:szCs w:val="16"/>
        <w:lang w:val="fr-FR"/>
      </w:rPr>
      <w:fldChar w:fldCharType="end"/>
    </w:r>
    <w:r w:rsidRPr="000C05C0">
      <w:rPr>
        <w:noProof/>
        <w:sz w:val="16"/>
        <w:szCs w:val="16"/>
        <w:lang w:val="fr-FR"/>
      </w:rPr>
      <w:t xml:space="preserve">  </w:t>
    </w:r>
    <w:r w:rsidRPr="0026373E">
      <w:rPr>
        <w:noProof/>
        <w:sz w:val="16"/>
        <w:szCs w:val="16"/>
        <w:lang w:val="fr-FR"/>
      </w:rPr>
      <w:t xml:space="preserve"> (</w:t>
    </w:r>
    <w:r w:rsidR="000C05C0" w:rsidRPr="000C05C0">
      <w:rPr>
        <w:noProof/>
        <w:sz w:val="16"/>
        <w:szCs w:val="16"/>
        <w:lang w:val="fr-FR"/>
      </w:rPr>
      <w:t>471693</w:t>
    </w:r>
    <w:r w:rsidRPr="0026373E">
      <w:rPr>
        <w:noProof/>
        <w:sz w:val="16"/>
        <w:szCs w:val="16"/>
        <w:lang w:val="fr-F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4EF41" w14:textId="77777777" w:rsidR="006C3242" w:rsidRPr="00CB7DE5" w:rsidRDefault="006C3242" w:rsidP="006C3242">
    <w:pPr>
      <w:pStyle w:val="Footer"/>
      <w:spacing w:before="120" w:after="120"/>
      <w:jc w:val="center"/>
      <w:rPr>
        <w:rFonts w:ascii="Calibri" w:hAnsi="Calibri" w:cs="Calibri"/>
        <w:sz w:val="22"/>
        <w:szCs w:val="22"/>
        <w:lang w:val="fr-FR"/>
      </w:rPr>
    </w:pPr>
    <w:r w:rsidRPr="00CB7DE5">
      <w:rPr>
        <w:rFonts w:ascii="Calibri" w:hAnsi="Calibri" w:cs="Calibri"/>
        <w:sz w:val="22"/>
        <w:szCs w:val="22"/>
        <w:lang w:val="fr-FR"/>
      </w:rPr>
      <w:t xml:space="preserve">• </w:t>
    </w:r>
    <w:hyperlink r:id="rId1" w:history="1">
      <w:r w:rsidRPr="00CB7DE5">
        <w:rPr>
          <w:rStyle w:val="Hyperlink"/>
          <w:rFonts w:ascii="Calibri" w:hAnsi="Calibri" w:cs="Calibri"/>
          <w:sz w:val="22"/>
          <w:szCs w:val="22"/>
          <w:lang w:val="fr-FR"/>
        </w:rPr>
        <w:t>http://www.itu.int/council</w:t>
      </w:r>
    </w:hyperlink>
    <w:r w:rsidRPr="00CB7DE5">
      <w:rPr>
        <w:rFonts w:ascii="Calibri" w:hAnsi="Calibri" w:cs="Calibri"/>
        <w:sz w:val="22"/>
        <w:szCs w:val="22"/>
        <w:lang w:val="fr-FR"/>
      </w:rP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28D51" w14:textId="77777777" w:rsidR="00F5258C" w:rsidRDefault="00F5258C" w:rsidP="006C3242">
      <w:pPr>
        <w:spacing w:before="0" w:line="240" w:lineRule="auto"/>
      </w:pPr>
      <w:r>
        <w:separator/>
      </w:r>
    </w:p>
  </w:footnote>
  <w:footnote w:type="continuationSeparator" w:id="0">
    <w:p w14:paraId="5BF54A55" w14:textId="77777777" w:rsidR="00F5258C" w:rsidRDefault="00F5258C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82438" w14:textId="36E5497E" w:rsidR="00447F32" w:rsidRPr="00447F32" w:rsidRDefault="00CF52C7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7D2C16">
          <w:rPr>
            <w:rFonts w:cs="Calibri"/>
            <w:sz w:val="20"/>
            <w:szCs w:val="20"/>
          </w:rPr>
          <w:fldChar w:fldCharType="begin"/>
        </w:r>
        <w:r w:rsidR="00447F32" w:rsidRPr="007D2C16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7D2C16">
          <w:rPr>
            <w:rFonts w:cs="Calibri"/>
            <w:sz w:val="20"/>
            <w:szCs w:val="20"/>
          </w:rPr>
          <w:fldChar w:fldCharType="separate"/>
        </w:r>
        <w:r w:rsidR="00A4739F">
          <w:rPr>
            <w:rFonts w:cs="Calibri"/>
            <w:noProof/>
            <w:sz w:val="20"/>
            <w:szCs w:val="20"/>
          </w:rPr>
          <w:t>2</w:t>
        </w:r>
        <w:r w:rsidR="00447F32" w:rsidRPr="007D2C16">
          <w:rPr>
            <w:rFonts w:cs="Calibri"/>
            <w:noProof/>
            <w:sz w:val="20"/>
            <w:szCs w:val="20"/>
          </w:rPr>
          <w:fldChar w:fldCharType="end"/>
        </w:r>
        <w:r w:rsidR="00447F32" w:rsidRPr="007D2C16">
          <w:rPr>
            <w:rFonts w:cs="Calibri"/>
            <w:noProof/>
            <w:sz w:val="20"/>
            <w:szCs w:val="20"/>
          </w:rPr>
          <w:br/>
        </w:r>
        <w:r w:rsidR="004B1F2F" w:rsidRPr="007D2C16">
          <w:rPr>
            <w:rFonts w:cs="Calibri"/>
            <w:noProof/>
            <w:sz w:val="20"/>
            <w:szCs w:val="20"/>
          </w:rPr>
          <w:t>VC</w:t>
        </w:r>
        <w:r w:rsidR="00447F32" w:rsidRPr="007D2C16">
          <w:rPr>
            <w:rFonts w:cs="Calibri"/>
            <w:noProof/>
            <w:sz w:val="20"/>
            <w:szCs w:val="20"/>
          </w:rPr>
          <w:t>/</w:t>
        </w:r>
        <w:r w:rsidR="00385F42">
          <w:rPr>
            <w:rFonts w:cs="Calibri"/>
            <w:noProof/>
            <w:sz w:val="20"/>
            <w:szCs w:val="20"/>
          </w:rPr>
          <w:t>3</w:t>
        </w:r>
        <w:r w:rsidR="00447F32" w:rsidRPr="007D2C16">
          <w:rPr>
            <w:rFonts w:cs="Calibri"/>
            <w:noProof/>
            <w:sz w:val="20"/>
            <w:szCs w:val="20"/>
          </w:rPr>
          <w:t>-A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C16"/>
    <w:rsid w:val="00090574"/>
    <w:rsid w:val="000C05C0"/>
    <w:rsid w:val="000C1C0E"/>
    <w:rsid w:val="000C548A"/>
    <w:rsid w:val="001C0169"/>
    <w:rsid w:val="001D1D50"/>
    <w:rsid w:val="001D6745"/>
    <w:rsid w:val="001E446E"/>
    <w:rsid w:val="001E5167"/>
    <w:rsid w:val="002154EE"/>
    <w:rsid w:val="002276D2"/>
    <w:rsid w:val="0023283D"/>
    <w:rsid w:val="0026373E"/>
    <w:rsid w:val="00271C43"/>
    <w:rsid w:val="00290728"/>
    <w:rsid w:val="002978F4"/>
    <w:rsid w:val="002B028D"/>
    <w:rsid w:val="002E1973"/>
    <w:rsid w:val="002E6541"/>
    <w:rsid w:val="002F71D8"/>
    <w:rsid w:val="00307544"/>
    <w:rsid w:val="003271AD"/>
    <w:rsid w:val="00334924"/>
    <w:rsid w:val="003409BC"/>
    <w:rsid w:val="00357185"/>
    <w:rsid w:val="00383829"/>
    <w:rsid w:val="00385197"/>
    <w:rsid w:val="00385F42"/>
    <w:rsid w:val="003C6B4F"/>
    <w:rsid w:val="003F4B29"/>
    <w:rsid w:val="0042686F"/>
    <w:rsid w:val="004317D8"/>
    <w:rsid w:val="00434183"/>
    <w:rsid w:val="00443869"/>
    <w:rsid w:val="00447F32"/>
    <w:rsid w:val="0047600E"/>
    <w:rsid w:val="004B1F2F"/>
    <w:rsid w:val="004E11DC"/>
    <w:rsid w:val="005409AC"/>
    <w:rsid w:val="0055516A"/>
    <w:rsid w:val="0058491B"/>
    <w:rsid w:val="00592EA5"/>
    <w:rsid w:val="005A3170"/>
    <w:rsid w:val="005B1652"/>
    <w:rsid w:val="00614855"/>
    <w:rsid w:val="006654A6"/>
    <w:rsid w:val="00677396"/>
    <w:rsid w:val="0069200F"/>
    <w:rsid w:val="006A5E41"/>
    <w:rsid w:val="006A65CB"/>
    <w:rsid w:val="006A793B"/>
    <w:rsid w:val="006C3242"/>
    <w:rsid w:val="006C7CC0"/>
    <w:rsid w:val="006F63F7"/>
    <w:rsid w:val="007025C7"/>
    <w:rsid w:val="00706D7A"/>
    <w:rsid w:val="00722F0D"/>
    <w:rsid w:val="0074420E"/>
    <w:rsid w:val="007610B1"/>
    <w:rsid w:val="00783E26"/>
    <w:rsid w:val="007C3BC7"/>
    <w:rsid w:val="007C3BCD"/>
    <w:rsid w:val="007D2C16"/>
    <w:rsid w:val="007D4ACF"/>
    <w:rsid w:val="007F0787"/>
    <w:rsid w:val="00810B7B"/>
    <w:rsid w:val="0082358A"/>
    <w:rsid w:val="008235CD"/>
    <w:rsid w:val="008247DE"/>
    <w:rsid w:val="00840B10"/>
    <w:rsid w:val="008513CB"/>
    <w:rsid w:val="008A7F84"/>
    <w:rsid w:val="008C02D8"/>
    <w:rsid w:val="0091702E"/>
    <w:rsid w:val="00923B0C"/>
    <w:rsid w:val="0094021C"/>
    <w:rsid w:val="00952F86"/>
    <w:rsid w:val="00982B28"/>
    <w:rsid w:val="009D313F"/>
    <w:rsid w:val="00A4739F"/>
    <w:rsid w:val="00A47A5A"/>
    <w:rsid w:val="00A6683B"/>
    <w:rsid w:val="00A9076B"/>
    <w:rsid w:val="00A97F94"/>
    <w:rsid w:val="00AD174F"/>
    <w:rsid w:val="00B03099"/>
    <w:rsid w:val="00B05BC8"/>
    <w:rsid w:val="00B64B47"/>
    <w:rsid w:val="00BB7213"/>
    <w:rsid w:val="00C002DE"/>
    <w:rsid w:val="00C53BF8"/>
    <w:rsid w:val="00C66157"/>
    <w:rsid w:val="00C674FE"/>
    <w:rsid w:val="00C67501"/>
    <w:rsid w:val="00C75633"/>
    <w:rsid w:val="00CB7DE5"/>
    <w:rsid w:val="00CE2EE1"/>
    <w:rsid w:val="00CE3349"/>
    <w:rsid w:val="00CE36E5"/>
    <w:rsid w:val="00CF27F5"/>
    <w:rsid w:val="00CF3FFD"/>
    <w:rsid w:val="00CF52C7"/>
    <w:rsid w:val="00D10CCF"/>
    <w:rsid w:val="00D77D0F"/>
    <w:rsid w:val="00DA1CF0"/>
    <w:rsid w:val="00DC1E02"/>
    <w:rsid w:val="00DC24B4"/>
    <w:rsid w:val="00DC5FB0"/>
    <w:rsid w:val="00DF16DC"/>
    <w:rsid w:val="00E45211"/>
    <w:rsid w:val="00E473C5"/>
    <w:rsid w:val="00E92863"/>
    <w:rsid w:val="00EB796D"/>
    <w:rsid w:val="00EF2865"/>
    <w:rsid w:val="00F058DC"/>
    <w:rsid w:val="00F24FC4"/>
    <w:rsid w:val="00F2676C"/>
    <w:rsid w:val="00F5258C"/>
    <w:rsid w:val="00F84366"/>
    <w:rsid w:val="00F85089"/>
    <w:rsid w:val="00F974C5"/>
    <w:rsid w:val="00FA6F46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9168A9"/>
  <w15:chartTrackingRefBased/>
  <w15:docId w15:val="{E1ECE237-FC1A-4FC7-A6A1-9239E677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link w:val="CallChar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nhideWhenUsed/>
    <w:qFormat/>
    <w:rsid w:val="00614855"/>
    <w:pPr>
      <w:spacing w:before="60" w:line="168" w:lineRule="auto"/>
    </w:pPr>
    <w:rPr>
      <w:sz w:val="18"/>
      <w:szCs w:val="18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614855"/>
    <w:rPr>
      <w:rFonts w:ascii="Dubai" w:hAnsi="Dubai" w:cs="Dubai"/>
      <w:sz w:val="18"/>
      <w:szCs w:val="18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8C02D8"/>
    <w:pPr>
      <w:keepNext/>
      <w:spacing w:before="240"/>
      <w:ind w:left="1134" w:hanging="1134"/>
    </w:pPr>
    <w:rPr>
      <w:b/>
      <w:bCs/>
    </w:rPr>
  </w:style>
  <w:style w:type="paragraph" w:customStyle="1" w:styleId="Tablehead0">
    <w:name w:val="Table_head"/>
    <w:basedOn w:val="Normal"/>
    <w:rsid w:val="00614855"/>
    <w:pPr>
      <w:tabs>
        <w:tab w:val="clear" w:pos="794"/>
      </w:tabs>
      <w:overflowPunct w:val="0"/>
      <w:autoSpaceDE w:val="0"/>
      <w:autoSpaceDN w:val="0"/>
      <w:bidi w:val="0"/>
      <w:adjustRightInd w:val="0"/>
      <w:spacing w:after="120" w:line="240" w:lineRule="auto"/>
      <w:jc w:val="center"/>
      <w:textAlignment w:val="baseline"/>
    </w:pPr>
    <w:rPr>
      <w:rFonts w:eastAsia="Times New Roman"/>
      <w:b/>
      <w:bCs/>
      <w:lang w:val="en-GB" w:eastAsia="en-US"/>
    </w:rPr>
  </w:style>
  <w:style w:type="paragraph" w:customStyle="1" w:styleId="Headingb0">
    <w:name w:val="Heading_b"/>
    <w:basedOn w:val="Normal"/>
    <w:next w:val="Normal"/>
    <w:rsid w:val="008C02D8"/>
    <w:pPr>
      <w:keepNext/>
      <w:framePr w:hSpace="180" w:wrap="around" w:vAnchor="text" w:hAnchor="text" w:xAlign="right" w:y="1"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ind w:left="794" w:hanging="794"/>
      <w:suppressOverlap/>
      <w:textAlignment w:val="baseline"/>
    </w:pPr>
    <w:rPr>
      <w:rFonts w:eastAsia="MS Mincho"/>
      <w:b/>
      <w:bCs/>
      <w:lang w:eastAsia="en-US"/>
    </w:rPr>
  </w:style>
  <w:style w:type="character" w:customStyle="1" w:styleId="CallChar">
    <w:name w:val="Call Char"/>
    <w:basedOn w:val="DefaultParagraphFont"/>
    <w:link w:val="Call"/>
    <w:locked/>
    <w:rsid w:val="007D2C16"/>
    <w:rPr>
      <w:rFonts w:ascii="Dubai" w:hAnsi="Dubai" w:cs="Dubai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tu.int/md/S20-CL-C-0062/en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_V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E458E-A399-4DCF-B10A-0BE677985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PA_VC.dotx</Template>
  <TotalTime>28</TotalTime>
  <Pages>2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Haitham Al-Midani</dc:creator>
  <cp:keywords/>
  <dc:description/>
  <cp:lastModifiedBy>Riz, Imad</cp:lastModifiedBy>
  <cp:revision>7</cp:revision>
  <dcterms:created xsi:type="dcterms:W3CDTF">2020-06-08T10:16:00Z</dcterms:created>
  <dcterms:modified xsi:type="dcterms:W3CDTF">2020-06-08T11:47:00Z</dcterms:modified>
</cp:coreProperties>
</file>