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2CC93391" w14:textId="77777777" w:rsidTr="00FA7FCF">
        <w:trPr>
          <w:cantSplit/>
          <w:trHeight w:val="1276"/>
        </w:trPr>
        <w:tc>
          <w:tcPr>
            <w:tcW w:w="6911" w:type="dxa"/>
          </w:tcPr>
          <w:p w14:paraId="6D8F7CC2" w14:textId="77777777" w:rsidR="00554570" w:rsidRPr="004629E2" w:rsidRDefault="00554570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B05FCD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4B20727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1794896A" wp14:editId="38686493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2EDB8318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DCC17B2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B5CF38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42DF09FB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40EAD7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7DF9A4" w14:textId="2E521536" w:rsidR="00554570" w:rsidRPr="00554570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C7B7D">
              <w:rPr>
                <w:b/>
                <w:bCs/>
                <w:szCs w:val="24"/>
                <w:lang w:eastAsia="zh-CN"/>
              </w:rPr>
              <w:t>1</w:t>
            </w:r>
            <w:r w:rsidR="00EE04FE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C7B7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E04F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018EB057" w14:textId="210D6E20" w:rsidR="004C51B5" w:rsidRPr="00A45C43" w:rsidRDefault="002B76C5" w:rsidP="004C51B5">
      <w:pPr>
        <w:spacing w:before="600"/>
        <w:jc w:val="center"/>
        <w:rPr>
          <w:b/>
          <w:bCs/>
          <w:sz w:val="28"/>
          <w:szCs w:val="28"/>
          <w:lang w:eastAsia="zh-CN"/>
        </w:rPr>
      </w:pPr>
      <w:bookmarkStart w:id="1" w:name="dorlang" w:colFirst="1" w:colLast="1"/>
      <w:r>
        <w:rPr>
          <w:rFonts w:hint="eastAsia"/>
          <w:b/>
          <w:bCs/>
          <w:position w:val="6"/>
          <w:sz w:val="26"/>
          <w:szCs w:val="26"/>
          <w:lang w:eastAsia="zh-CN"/>
        </w:rPr>
        <w:t>理事磋商会虚拟会议</w:t>
      </w:r>
      <w:r w:rsidR="004C51B5" w:rsidRPr="00A45C43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议程草案</w:t>
      </w:r>
    </w:p>
    <w:p w14:paraId="5A0F9806" w14:textId="4E78965A" w:rsidR="004C51B5" w:rsidRPr="001F1C5E" w:rsidRDefault="002B76C5" w:rsidP="004C51B5">
      <w:pPr>
        <w:jc w:val="center"/>
        <w:rPr>
          <w:rFonts w:asciiTheme="minorHAnsi" w:hAnsiTheme="minorHAnsi"/>
          <w:szCs w:val="24"/>
          <w:lang w:eastAsia="zh-CN"/>
        </w:rPr>
      </w:pP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自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2020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年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6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月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9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日（星期二）开始，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12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时至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15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</w:t>
      </w:r>
    </w:p>
    <w:bookmarkEnd w:id="1"/>
    <w:p w14:paraId="234814A5" w14:textId="77777777" w:rsidR="007C7B7D" w:rsidRDefault="007C7B7D" w:rsidP="007C7B7D">
      <w:pPr>
        <w:spacing w:before="0"/>
        <w:rPr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137"/>
        <w:gridCol w:w="1610"/>
      </w:tblGrid>
      <w:tr w:rsidR="007C7B7D" w:rsidRPr="00E024CF" w14:paraId="3A9D1BC3" w14:textId="77777777" w:rsidTr="00EE04FE">
        <w:trPr>
          <w:cantSplit/>
          <w:tblHeader/>
        </w:trPr>
        <w:tc>
          <w:tcPr>
            <w:tcW w:w="459" w:type="dxa"/>
            <w:tcBorders>
              <w:top w:val="nil"/>
              <w:left w:val="nil"/>
            </w:tcBorders>
            <w:vAlign w:val="center"/>
          </w:tcPr>
          <w:p w14:paraId="1F4CC38D" w14:textId="77777777" w:rsidR="007C7B7D" w:rsidRPr="00E024CF" w:rsidRDefault="007C7B7D" w:rsidP="000D5FE7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5EF6C83F" w14:textId="77777777" w:rsidR="007C7B7D" w:rsidRPr="00E024CF" w:rsidRDefault="007C7B7D" w:rsidP="000D5FE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24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议题</w:t>
            </w:r>
            <w:proofErr w:type="spellEnd"/>
          </w:p>
        </w:tc>
        <w:tc>
          <w:tcPr>
            <w:tcW w:w="1610" w:type="dxa"/>
            <w:shd w:val="clear" w:color="auto" w:fill="D9D9D9" w:themeFill="background1" w:themeFillShade="D9"/>
            <w:noWrap/>
            <w:vAlign w:val="center"/>
          </w:tcPr>
          <w:p w14:paraId="3C6CF26D" w14:textId="77777777" w:rsidR="007C7B7D" w:rsidRPr="00E024CF" w:rsidRDefault="007C7B7D" w:rsidP="000D5FE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#</w:t>
            </w:r>
            <w:proofErr w:type="spellStart"/>
            <w:r w:rsidRPr="00E024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号文件</w:t>
            </w:r>
            <w:proofErr w:type="spellEnd"/>
          </w:p>
        </w:tc>
      </w:tr>
      <w:tr w:rsidR="00EE04FE" w:rsidRPr="00E024CF" w14:paraId="634C3793" w14:textId="77777777" w:rsidTr="00EE04FE">
        <w:trPr>
          <w:cantSplit/>
        </w:trPr>
        <w:tc>
          <w:tcPr>
            <w:tcW w:w="459" w:type="dxa"/>
            <w:vAlign w:val="center"/>
          </w:tcPr>
          <w:p w14:paraId="383ECB5A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2" w:name="_Hlk42240971"/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5C0C086C" w14:textId="77777777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理事会工作组（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CWG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）、专家组（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EG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）、非正式专家组（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IEG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）正副主席候选人名单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ABF113" w14:textId="3E450620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9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20/21(Rev.1)</w:t>
              </w:r>
            </w:hyperlink>
          </w:p>
        </w:tc>
      </w:tr>
      <w:tr w:rsidR="00EE04FE" w:rsidRPr="00E024CF" w14:paraId="337E1798" w14:textId="77777777" w:rsidTr="00EE04FE">
        <w:trPr>
          <w:cantSplit/>
        </w:trPr>
        <w:tc>
          <w:tcPr>
            <w:tcW w:w="459" w:type="dxa"/>
            <w:vAlign w:val="center"/>
          </w:tcPr>
          <w:p w14:paraId="7DFCDBCA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6888C8F8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3" w:name="lt_pId167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世界电信和信息社会日</w:t>
            </w:r>
            <w:r w:rsidRPr="00E024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68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号决议</w:t>
            </w:r>
            <w:r w:rsidRPr="00E024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3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292C435" w14:textId="61DEF6D3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0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C20/17</w:t>
              </w:r>
            </w:hyperlink>
          </w:p>
        </w:tc>
      </w:tr>
      <w:tr w:rsidR="00EE04FE" w:rsidRPr="00E024CF" w14:paraId="02475308" w14:textId="77777777" w:rsidTr="00EE04FE">
        <w:trPr>
          <w:cantSplit/>
        </w:trPr>
        <w:tc>
          <w:tcPr>
            <w:tcW w:w="459" w:type="dxa"/>
            <w:vAlign w:val="center"/>
          </w:tcPr>
          <w:p w14:paraId="075C031B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6FEFD0F6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4" w:name="lt_pId171"/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国际电联理事会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2021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年、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2022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年、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2023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年、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2024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年、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2025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年和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2026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年会议以及理事会工作组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2020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2021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年集中召开会议的拟议日期和会期（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第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77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号、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111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号决议，第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612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号决定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）（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支持第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37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号文件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</w:t>
            </w:r>
            <w:bookmarkEnd w:id="4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30695F" w14:textId="141496CF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1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C20/2</w:t>
              </w:r>
            </w:hyperlink>
          </w:p>
        </w:tc>
      </w:tr>
      <w:tr w:rsidR="00EE04FE" w:rsidRPr="00E024CF" w14:paraId="6443D2C6" w14:textId="77777777" w:rsidTr="00EE04FE">
        <w:trPr>
          <w:cantSplit/>
        </w:trPr>
        <w:tc>
          <w:tcPr>
            <w:tcW w:w="459" w:type="dxa"/>
            <w:vAlign w:val="center"/>
          </w:tcPr>
          <w:p w14:paraId="05491481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5FA44DFD" w14:textId="77777777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5" w:name="lt_pId175"/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2020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年世界电信标准化全会（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WTSA-20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</w:t>
            </w:r>
            <w:bookmarkEnd w:id="5"/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的筹备工作</w:t>
            </w:r>
          </w:p>
          <w:p w14:paraId="5F98EE0F" w14:textId="7D917B19" w:rsidR="00EE04FE" w:rsidRPr="00E024CF" w:rsidRDefault="00EE04FE" w:rsidP="00EE04FE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ind w:left="794" w:hanging="794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印度的文稿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7165D4" w14:textId="77777777" w:rsidR="00EE04FE" w:rsidRPr="00E024CF" w:rsidRDefault="00646E55" w:rsidP="00EE04FE">
            <w:pPr>
              <w:spacing w:before="60" w:after="60"/>
              <w:jc w:val="center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hyperlink r:id="rId12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C20/24</w:t>
              </w:r>
            </w:hyperlink>
          </w:p>
          <w:p w14:paraId="3B20615C" w14:textId="345C6BBB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3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VC/5</w:t>
              </w:r>
            </w:hyperlink>
          </w:p>
        </w:tc>
      </w:tr>
      <w:tr w:rsidR="00EE04FE" w:rsidRPr="00E024CF" w14:paraId="13C1EBFB" w14:textId="77777777" w:rsidTr="00EE04FE">
        <w:trPr>
          <w:cantSplit/>
        </w:trPr>
        <w:tc>
          <w:tcPr>
            <w:tcW w:w="459" w:type="dxa"/>
            <w:vAlign w:val="center"/>
          </w:tcPr>
          <w:p w14:paraId="18F9D34B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432BA429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bookmarkStart w:id="6" w:name="lt_pId179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2023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年世界无线电通信大会</w:t>
            </w:r>
            <w:bookmarkEnd w:id="6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459068" w14:textId="32FACE27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4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C20/55</w:t>
              </w:r>
            </w:hyperlink>
          </w:p>
        </w:tc>
      </w:tr>
      <w:tr w:rsidR="00EE04FE" w:rsidRPr="00E024CF" w14:paraId="3839133B" w14:textId="77777777" w:rsidTr="00EE04FE">
        <w:trPr>
          <w:cantSplit/>
        </w:trPr>
        <w:tc>
          <w:tcPr>
            <w:tcW w:w="459" w:type="dxa"/>
            <w:vAlign w:val="center"/>
          </w:tcPr>
          <w:p w14:paraId="1186BBF3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78E522DB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zh-CN"/>
              </w:rPr>
            </w:pPr>
            <w:bookmarkStart w:id="7" w:name="lt_pId183"/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卫星网络申报处理的成本回收（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482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号决定（修订版）</w:t>
            </w:r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）</w:t>
            </w:r>
            <w:bookmarkEnd w:id="7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97713A3" w14:textId="166B92C3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5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C20/16</w:t>
              </w:r>
            </w:hyperlink>
          </w:p>
        </w:tc>
      </w:tr>
      <w:tr w:rsidR="00EE04FE" w:rsidRPr="00E024CF" w14:paraId="5C5D6787" w14:textId="77777777" w:rsidTr="00EE04FE">
        <w:trPr>
          <w:cantSplit/>
        </w:trPr>
        <w:tc>
          <w:tcPr>
            <w:tcW w:w="459" w:type="dxa"/>
            <w:vAlign w:val="center"/>
          </w:tcPr>
          <w:p w14:paraId="00A38F10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1DB3F703" w14:textId="77777777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向电信标准化局（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TSB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）提供的支持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C17E949" w14:textId="24A6FE18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hyperlink r:id="rId16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C20/14</w:t>
              </w:r>
            </w:hyperlink>
          </w:p>
        </w:tc>
      </w:tr>
      <w:tr w:rsidR="00EE04FE" w:rsidRPr="00E024CF" w14:paraId="6E1F1DCD" w14:textId="77777777" w:rsidTr="00EE04FE">
        <w:trPr>
          <w:cantSplit/>
        </w:trPr>
        <w:tc>
          <w:tcPr>
            <w:tcW w:w="459" w:type="dxa"/>
            <w:vAlign w:val="center"/>
          </w:tcPr>
          <w:p w14:paraId="06598B9D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344DAE7F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8" w:name="lt_pId188"/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外部审计员的报告：国际电联</w:t>
            </w:r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2019</w:t>
            </w:r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年世界电信展的国际电联账目</w:t>
            </w:r>
            <w:bookmarkEnd w:id="8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2C1B46" w14:textId="6E9AB1F2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7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C20/41</w:t>
              </w:r>
            </w:hyperlink>
          </w:p>
        </w:tc>
        <w:bookmarkStart w:id="9" w:name="_GoBack"/>
        <w:bookmarkEnd w:id="9"/>
      </w:tr>
      <w:tr w:rsidR="00EE04FE" w:rsidRPr="00E024CF" w14:paraId="748FA939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255A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CC7C" w14:textId="2523DE9F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10" w:name="lt_pId203"/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关于国际电联</w:t>
            </w:r>
            <w:bookmarkStart w:id="11" w:name="OLE_LINK3"/>
            <w:bookmarkStart w:id="12" w:name="OLE_LINK4"/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总部办公场所</w:t>
            </w:r>
            <w:bookmarkEnd w:id="11"/>
            <w:bookmarkEnd w:id="12"/>
            <w:r w:rsidRPr="00E024CF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项目进展的报告</w:t>
            </w:r>
            <w:r w:rsidRPr="00E024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212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号决议、第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619</w:t>
            </w:r>
            <w:r w:rsidRPr="00E024CF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</w:t>
            </w:r>
            <w:r w:rsidRPr="00E024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10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5BE8" w14:textId="63F24318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8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C20/7</w:t>
              </w:r>
            </w:hyperlink>
          </w:p>
        </w:tc>
      </w:tr>
      <w:tr w:rsidR="00EE04FE" w:rsidRPr="00E024CF" w14:paraId="3789329A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D6A9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B0C" w14:textId="5E36359B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green"/>
                <w:lang w:eastAsia="zh-CN"/>
              </w:rPr>
            </w:pPr>
            <w:bookmarkStart w:id="13" w:name="lt_pId207"/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国际电联总部办公场所项目成员国顾问组（</w:t>
            </w:r>
            <w:r w:rsidRPr="00E024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MSAG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）工作的总结报告（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第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212</w:t>
            </w:r>
            <w:r w:rsidRPr="00E024CF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号决议</w:t>
            </w:r>
            <w:r w:rsidRPr="00E024C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13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A67" w14:textId="34FCCA5E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19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C20/48</w:t>
              </w:r>
            </w:hyperlink>
          </w:p>
        </w:tc>
      </w:tr>
      <w:tr w:rsidR="00EE04FE" w:rsidRPr="00E024CF" w14:paraId="6A8A9FE4" w14:textId="77777777" w:rsidTr="00EE04FE">
        <w:trPr>
          <w:cantSplit/>
        </w:trPr>
        <w:tc>
          <w:tcPr>
            <w:tcW w:w="459" w:type="dxa"/>
            <w:vAlign w:val="center"/>
          </w:tcPr>
          <w:p w14:paraId="256707FA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137" w:type="dxa"/>
            <w:shd w:val="clear" w:color="auto" w:fill="auto"/>
            <w:vAlign w:val="center"/>
          </w:tcPr>
          <w:p w14:paraId="7CA9C6FA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14" w:name="lt_pId211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具有财务影响的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WRC-19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成果</w:t>
            </w:r>
            <w:bookmarkEnd w:id="14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84357C3" w14:textId="661D7C8D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20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20/5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6</w:t>
              </w:r>
            </w:hyperlink>
          </w:p>
        </w:tc>
      </w:tr>
      <w:tr w:rsidR="00EE04FE" w:rsidRPr="00E024CF" w14:paraId="24A4E055" w14:textId="77777777" w:rsidTr="00EE04FE">
        <w:trPr>
          <w:cantSplit/>
        </w:trPr>
        <w:tc>
          <w:tcPr>
            <w:tcW w:w="459" w:type="dxa"/>
            <w:vAlign w:val="center"/>
          </w:tcPr>
          <w:p w14:paraId="6324D5AD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1726449D" w14:textId="77777777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bookmarkStart w:id="15" w:name="lt_pId215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新的调查职能和进程</w:t>
            </w:r>
            <w:bookmarkEnd w:id="15"/>
          </w:p>
          <w:p w14:paraId="00924FDD" w14:textId="3E7A5858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美利坚合众国的文稿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D18A065" w14:textId="77777777" w:rsidR="00EE04FE" w:rsidRPr="00E024CF" w:rsidRDefault="00646E55" w:rsidP="00EE04FE">
            <w:pPr>
              <w:spacing w:before="60" w:after="60"/>
              <w:jc w:val="center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hyperlink r:id="rId21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C20/60</w:t>
              </w:r>
            </w:hyperlink>
          </w:p>
          <w:p w14:paraId="2CF741D2" w14:textId="34CE4691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22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VC/8</w:t>
              </w:r>
            </w:hyperlink>
          </w:p>
        </w:tc>
      </w:tr>
      <w:tr w:rsidR="00EE04FE" w:rsidRPr="00E024CF" w14:paraId="552395A7" w14:textId="77777777" w:rsidTr="00EE04FE">
        <w:trPr>
          <w:cantSplit/>
        </w:trPr>
        <w:tc>
          <w:tcPr>
            <w:tcW w:w="459" w:type="dxa"/>
            <w:vAlign w:val="center"/>
          </w:tcPr>
          <w:p w14:paraId="643EE033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137" w:type="dxa"/>
            <w:shd w:val="clear" w:color="auto" w:fill="auto"/>
            <w:vAlign w:val="center"/>
          </w:tcPr>
          <w:p w14:paraId="5B2BF960" w14:textId="26D99B14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Covid-19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疫情大流行对</w:t>
            </w:r>
            <w:r w:rsidR="0034688F"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电信</w:t>
            </w:r>
            <w:r w:rsidR="0034688F"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/ICT</w:t>
            </w:r>
            <w:r w:rsidR="0034688F"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行业的运作和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国际电联活动的影响</w:t>
            </w:r>
          </w:p>
          <w:p w14:paraId="410ACF29" w14:textId="3E6F3EF7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俄罗斯联邦的文稿</w:t>
            </w:r>
          </w:p>
          <w:p w14:paraId="56BA3854" w14:textId="4CCF508A" w:rsidR="00EE04FE" w:rsidRPr="00E024CF" w:rsidRDefault="00EE04FE" w:rsidP="00EE04F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中国的文稿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7F6852" w14:textId="022DAC0B" w:rsidR="00EE04FE" w:rsidRPr="00E024CF" w:rsidRDefault="00EE04FE" w:rsidP="00EE04F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VC/13</w:t>
              </w:r>
            </w:hyperlink>
          </w:p>
          <w:p w14:paraId="02D1CC03" w14:textId="77777777" w:rsidR="00EE04FE" w:rsidRPr="00E024CF" w:rsidRDefault="00646E55" w:rsidP="00EE04F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VC/2</w:t>
              </w:r>
            </w:hyperlink>
          </w:p>
          <w:p w14:paraId="6EDAA61D" w14:textId="458C47BC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25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VC/10</w:t>
              </w:r>
            </w:hyperlink>
          </w:p>
        </w:tc>
      </w:tr>
      <w:tr w:rsidR="007C7B7D" w:rsidRPr="00E024CF" w14:paraId="6100C05D" w14:textId="77777777" w:rsidTr="00E024CF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E4" w14:textId="77777777" w:rsidR="007C7B7D" w:rsidRPr="00E024CF" w:rsidRDefault="007C7B7D" w:rsidP="000D5FE7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111" w14:textId="47FB1DF5" w:rsidR="004D1203" w:rsidRPr="00E024CF" w:rsidRDefault="00DE28BF" w:rsidP="000D5F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关于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年无线电通信全会（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RA-19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）和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年世界无线电通信大会（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WRC-19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）的</w:t>
            </w:r>
            <w:r w:rsidR="00A11E5E"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br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报告</w:t>
            </w:r>
            <w:r w:rsidR="00FB470E"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（包括第</w:t>
            </w:r>
            <w:r w:rsidR="00FB470E"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559</w:t>
            </w:r>
            <w:r w:rsidR="00FB470E"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号决议的实施）</w:t>
            </w:r>
          </w:p>
          <w:p w14:paraId="04B1FA13" w14:textId="040EFAE3" w:rsidR="007C7B7D" w:rsidRPr="00E024CF" w:rsidRDefault="00A11E5E" w:rsidP="000D5F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突尼斯的文稿</w:t>
            </w:r>
          </w:p>
          <w:p w14:paraId="3AD35EAE" w14:textId="14844A78" w:rsidR="007C7B7D" w:rsidRPr="00E024CF" w:rsidRDefault="00A11E5E" w:rsidP="000D5F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肯尼亚、卢旺达、南非和突尼斯的文稿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064" w14:textId="3F4B3D3B" w:rsidR="007C7B7D" w:rsidRPr="00E024CF" w:rsidRDefault="00646E55" w:rsidP="000D5FE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26" w:history="1">
              <w:r w:rsidR="007C7B7D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zh-CN"/>
                </w:rPr>
                <w:t>C</w:t>
              </w:r>
              <w:r w:rsidR="007C7B7D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20/</w:t>
              </w:r>
              <w:r w:rsidR="007C7B7D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zh-CN"/>
                </w:rPr>
                <w:t>27</w:t>
              </w:r>
            </w:hyperlink>
            <w:r w:rsidR="00E024CF"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br/>
            </w:r>
          </w:p>
          <w:p w14:paraId="1AEFEB99" w14:textId="77777777" w:rsidR="007C7B7D" w:rsidRPr="00E024CF" w:rsidRDefault="00646E55" w:rsidP="000D5FE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27" w:history="1">
              <w:r w:rsidR="007C7B7D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zh-CN"/>
                </w:rPr>
                <w:t>VC/9</w:t>
              </w:r>
            </w:hyperlink>
          </w:p>
          <w:p w14:paraId="012E1C4F" w14:textId="77777777" w:rsidR="007C7B7D" w:rsidRPr="00E024CF" w:rsidRDefault="00646E55" w:rsidP="000D5FE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28" w:history="1">
              <w:r w:rsidR="007C7B7D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VC/11</w:t>
              </w:r>
            </w:hyperlink>
          </w:p>
        </w:tc>
      </w:tr>
      <w:tr w:rsidR="00EE04FE" w:rsidRPr="00E024CF" w14:paraId="3BDFF6BF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C6E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A6B" w14:textId="190A2E2B" w:rsidR="00EE04FE" w:rsidRPr="00E024CF" w:rsidRDefault="00EE04FE" w:rsidP="00EE04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国际电</w:t>
            </w:r>
            <w:proofErr w:type="gramStart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联未来</w:t>
            </w:r>
            <w:proofErr w:type="gramEnd"/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大会、全会和会议的时间安排：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2020-2023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br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（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77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号决议、第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111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号决议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97A3" w14:textId="2E444E51" w:rsidR="00EE04FE" w:rsidRPr="00E024CF" w:rsidRDefault="00646E55" w:rsidP="00EE04FE">
            <w:pPr>
              <w:keepNext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29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37</w:t>
              </w:r>
            </w:hyperlink>
          </w:p>
        </w:tc>
      </w:tr>
      <w:tr w:rsidR="00EE04FE" w:rsidRPr="00E024CF" w14:paraId="217EB40C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F83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0AC" w14:textId="1EEA5AFD" w:rsidR="00EE04FE" w:rsidRPr="00E024CF" w:rsidRDefault="00EE04FE" w:rsidP="00EE04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世界电信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/ICT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政策论坛（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WTPF-21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）的筹备工作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（第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号决议、第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611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7AD9" w14:textId="1A5ADB9D" w:rsidR="00EE04FE" w:rsidRPr="00E024CF" w:rsidRDefault="00646E55" w:rsidP="00EE04FE">
            <w:pPr>
              <w:keepNext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30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5</w:t>
              </w:r>
            </w:hyperlink>
          </w:p>
        </w:tc>
      </w:tr>
      <w:tr w:rsidR="00EE04FE" w:rsidRPr="00E024CF" w14:paraId="279D9ABA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257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D00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新的外部审计员的任命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（第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94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号决议、第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614</w:t>
            </w:r>
            <w:r w:rsidRPr="00E024CF">
              <w:rPr>
                <w:rFonts w:asciiTheme="minorHAnsi" w:eastAsia="STKaiti" w:hAnsiTheme="minorHAnsi" w:cstheme="minorHAnsi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2816" w14:textId="02B0CF58" w:rsidR="00EE04FE" w:rsidRPr="00E024CF" w:rsidRDefault="00646E55" w:rsidP="00EE04FE">
            <w:pPr>
              <w:keepNext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31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49</w:t>
              </w:r>
            </w:hyperlink>
          </w:p>
        </w:tc>
      </w:tr>
      <w:tr w:rsidR="00EE04FE" w:rsidRPr="00E024CF" w14:paraId="1973AABD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707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0283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新的国际电联指数</w:t>
            </w:r>
          </w:p>
          <w:p w14:paraId="227F6626" w14:textId="77777777" w:rsidR="00EE04FE" w:rsidRPr="00E024CF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阿拉伯联合酋长国的文稿</w:t>
            </w:r>
          </w:p>
          <w:p w14:paraId="459B250E" w14:textId="46A808B6" w:rsidR="00EE04FE" w:rsidRPr="00E024CF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34688F"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沙特阿拉伯王国的文稿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126" w14:textId="77777777" w:rsidR="00EE04FE" w:rsidRPr="00E024CF" w:rsidRDefault="00646E55" w:rsidP="00EE04FE">
            <w:pPr>
              <w:keepNext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32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62</w:t>
              </w:r>
            </w:hyperlink>
          </w:p>
          <w:p w14:paraId="789DAB1C" w14:textId="77777777" w:rsidR="00EE04FE" w:rsidRPr="00E024CF" w:rsidRDefault="00646E55" w:rsidP="00EE04FE">
            <w:pPr>
              <w:keepNext/>
              <w:spacing w:before="60" w:after="60"/>
              <w:jc w:val="center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hyperlink r:id="rId33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VC/3</w:t>
              </w:r>
            </w:hyperlink>
          </w:p>
          <w:p w14:paraId="73E7AA0D" w14:textId="53BA381F" w:rsidR="00EE04FE" w:rsidRPr="00E024CF" w:rsidRDefault="00EE04FE" w:rsidP="00EE04FE">
            <w:pPr>
              <w:keepNext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34" w:history="1">
              <w:r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VC/14</w:t>
              </w:r>
            </w:hyperlink>
          </w:p>
        </w:tc>
      </w:tr>
      <w:tr w:rsidR="00EE04FE" w:rsidRPr="00E024CF" w14:paraId="3F904535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B70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24C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2B2" w14:textId="77777777" w:rsidR="00EE04FE" w:rsidRPr="00E024C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2021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年世界电信发展大会（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WTDC-21</w:t>
            </w:r>
            <w:r w:rsidRPr="00E024C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）的筹备工作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A8C" w14:textId="0D26ABD7" w:rsidR="00EE04FE" w:rsidRPr="00E024CF" w:rsidRDefault="00646E55" w:rsidP="00EE04FE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r:id="rId35" w:history="1"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C</w:t>
              </w:r>
              <w:r w:rsidR="00EE04FE" w:rsidRPr="00E024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20/</w:t>
              </w:r>
              <w:r w:rsidR="00EE04FE" w:rsidRPr="00E024CF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30</w:t>
              </w:r>
            </w:hyperlink>
          </w:p>
        </w:tc>
      </w:tr>
      <w:bookmarkEnd w:id="2"/>
    </w:tbl>
    <w:p w14:paraId="6BA1714A" w14:textId="77777777" w:rsidR="007C7B7D" w:rsidRDefault="007C7B7D" w:rsidP="00411C49">
      <w:pPr>
        <w:pStyle w:val="Reasons"/>
      </w:pPr>
    </w:p>
    <w:p w14:paraId="2B840A76" w14:textId="77777777" w:rsidR="007C7B7D" w:rsidRDefault="007C7B7D">
      <w:pPr>
        <w:jc w:val="center"/>
      </w:pPr>
      <w:r>
        <w:t>______________</w:t>
      </w:r>
    </w:p>
    <w:p w14:paraId="03921DF9" w14:textId="77777777" w:rsidR="0093362E" w:rsidRDefault="0093362E" w:rsidP="00001B77">
      <w:pPr>
        <w:rPr>
          <w:lang w:eastAsia="zh-CN"/>
        </w:rPr>
      </w:pPr>
    </w:p>
    <w:sectPr w:rsidR="0093362E" w:rsidSect="006C36CD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B467" w14:textId="77777777" w:rsidR="00E110D7" w:rsidRDefault="00E110D7">
      <w:r>
        <w:separator/>
      </w:r>
    </w:p>
  </w:endnote>
  <w:endnote w:type="continuationSeparator" w:id="0">
    <w:p w14:paraId="7EB327FE" w14:textId="77777777" w:rsidR="00E110D7" w:rsidRDefault="00E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C5A0" w14:textId="3C1116C2" w:rsidR="00B40A53" w:rsidRPr="004E4BFF" w:rsidRDefault="00641664" w:rsidP="00554570">
    <w:pPr>
      <w:pStyle w:val="Footer"/>
    </w:pPr>
    <w:fldSimple w:instr=" FILENAME \p  \* MERGEFORMAT ">
      <w:r w:rsidR="00646E55">
        <w:t>P:\CHI\SG\CONSEIL\VC\000\001REV1C.docx</w:t>
      </w:r>
    </w:fldSimple>
    <w:r w:rsidR="004E4BFF">
      <w:t xml:space="preserve"> (</w:t>
    </w:r>
    <w:r w:rsidR="007C7B7D">
      <w:t>47</w:t>
    </w:r>
    <w:r w:rsidR="004E1972">
      <w:t>2126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BD7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36AB" w14:textId="77777777" w:rsidR="00E110D7" w:rsidRDefault="00E110D7">
      <w:r>
        <w:t>____________________</w:t>
      </w:r>
    </w:p>
  </w:footnote>
  <w:footnote w:type="continuationSeparator" w:id="0">
    <w:p w14:paraId="6B27FC79" w14:textId="77777777" w:rsidR="00E110D7" w:rsidRDefault="00E1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C638" w14:textId="228DB81F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F1C5E">
      <w:rPr>
        <w:noProof/>
      </w:rPr>
      <w:t>2</w:t>
    </w:r>
    <w:r>
      <w:rPr>
        <w:noProof/>
      </w:rPr>
      <w:fldChar w:fldCharType="end"/>
    </w:r>
  </w:p>
  <w:p w14:paraId="20244B21" w14:textId="5D68EC1B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A11E5E">
      <w:rPr>
        <w:rFonts w:hint="eastAsia"/>
        <w:lang w:eastAsia="zh-CN"/>
      </w:rPr>
      <w:t>1</w:t>
    </w:r>
    <w:r w:rsidR="004E1972">
      <w:rPr>
        <w:lang w:eastAsia="zh-CN"/>
      </w:rPr>
      <w:t>(Rev.</w:t>
    </w:r>
    <w:proofErr w:type="gramStart"/>
    <w:r w:rsidR="004E1972">
      <w:rPr>
        <w:lang w:eastAsia="zh-CN"/>
      </w:rPr>
      <w:t>1)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31E72"/>
    <w:rsid w:val="000404D2"/>
    <w:rsid w:val="000853C0"/>
    <w:rsid w:val="0009409E"/>
    <w:rsid w:val="0009594B"/>
    <w:rsid w:val="000A1C21"/>
    <w:rsid w:val="000D15EA"/>
    <w:rsid w:val="000D5FE7"/>
    <w:rsid w:val="00100D84"/>
    <w:rsid w:val="00124C9D"/>
    <w:rsid w:val="001436FF"/>
    <w:rsid w:val="00157773"/>
    <w:rsid w:val="0018251A"/>
    <w:rsid w:val="00190272"/>
    <w:rsid w:val="00193244"/>
    <w:rsid w:val="00195C6C"/>
    <w:rsid w:val="00195FED"/>
    <w:rsid w:val="001A4BD6"/>
    <w:rsid w:val="001D5A18"/>
    <w:rsid w:val="001F1C5E"/>
    <w:rsid w:val="00280EB8"/>
    <w:rsid w:val="002A6670"/>
    <w:rsid w:val="002B76C5"/>
    <w:rsid w:val="00303502"/>
    <w:rsid w:val="00325C25"/>
    <w:rsid w:val="0034688F"/>
    <w:rsid w:val="00372C8F"/>
    <w:rsid w:val="00380ECE"/>
    <w:rsid w:val="00381F17"/>
    <w:rsid w:val="00393DDF"/>
    <w:rsid w:val="00397F55"/>
    <w:rsid w:val="003B4454"/>
    <w:rsid w:val="003B6D59"/>
    <w:rsid w:val="003C2E37"/>
    <w:rsid w:val="003F1415"/>
    <w:rsid w:val="0040144C"/>
    <w:rsid w:val="00403EB7"/>
    <w:rsid w:val="00430BF0"/>
    <w:rsid w:val="00435C8E"/>
    <w:rsid w:val="004635D6"/>
    <w:rsid w:val="004672E6"/>
    <w:rsid w:val="00474ED1"/>
    <w:rsid w:val="00490184"/>
    <w:rsid w:val="00493085"/>
    <w:rsid w:val="004A36EC"/>
    <w:rsid w:val="004C51B5"/>
    <w:rsid w:val="004D1203"/>
    <w:rsid w:val="004D163F"/>
    <w:rsid w:val="004E1972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72E1"/>
    <w:rsid w:val="005C6632"/>
    <w:rsid w:val="005D1C9E"/>
    <w:rsid w:val="006061AE"/>
    <w:rsid w:val="006069D2"/>
    <w:rsid w:val="00641664"/>
    <w:rsid w:val="00646E5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246E"/>
    <w:rsid w:val="007A37DB"/>
    <w:rsid w:val="007C7B7D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A3D81"/>
    <w:rsid w:val="009164A9"/>
    <w:rsid w:val="009258CB"/>
    <w:rsid w:val="0093362E"/>
    <w:rsid w:val="00933AC2"/>
    <w:rsid w:val="00944563"/>
    <w:rsid w:val="00953160"/>
    <w:rsid w:val="009625D8"/>
    <w:rsid w:val="0098459B"/>
    <w:rsid w:val="00997185"/>
    <w:rsid w:val="009C2025"/>
    <w:rsid w:val="009C2458"/>
    <w:rsid w:val="009C4A7B"/>
    <w:rsid w:val="009C6123"/>
    <w:rsid w:val="009F1E3E"/>
    <w:rsid w:val="00A11E5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5FCD"/>
    <w:rsid w:val="00B0769D"/>
    <w:rsid w:val="00B20A03"/>
    <w:rsid w:val="00B217F8"/>
    <w:rsid w:val="00B31592"/>
    <w:rsid w:val="00B332EA"/>
    <w:rsid w:val="00B40A53"/>
    <w:rsid w:val="00B45365"/>
    <w:rsid w:val="00B46A65"/>
    <w:rsid w:val="00B60184"/>
    <w:rsid w:val="00B62D20"/>
    <w:rsid w:val="00B81E75"/>
    <w:rsid w:val="00BA7224"/>
    <w:rsid w:val="00BD1A5A"/>
    <w:rsid w:val="00BD7A9B"/>
    <w:rsid w:val="00BD7BE1"/>
    <w:rsid w:val="00BF416B"/>
    <w:rsid w:val="00C2262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28BF"/>
    <w:rsid w:val="00DF6B49"/>
    <w:rsid w:val="00E024CF"/>
    <w:rsid w:val="00E067C5"/>
    <w:rsid w:val="00E110D7"/>
    <w:rsid w:val="00E265BF"/>
    <w:rsid w:val="00E378D8"/>
    <w:rsid w:val="00E43A12"/>
    <w:rsid w:val="00E604E7"/>
    <w:rsid w:val="00E67C67"/>
    <w:rsid w:val="00E77476"/>
    <w:rsid w:val="00E8228B"/>
    <w:rsid w:val="00ED1339"/>
    <w:rsid w:val="00EE04FE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0658"/>
    <w:rsid w:val="00F93191"/>
    <w:rsid w:val="00F93A17"/>
    <w:rsid w:val="00FA2AF6"/>
    <w:rsid w:val="00FB073D"/>
    <w:rsid w:val="00FB470E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4DB03B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C-0005/en" TargetMode="External"/><Relationship Id="rId18" Type="http://schemas.openxmlformats.org/officeDocument/2006/relationships/hyperlink" Target="https://www.itu.int/md/S20-CL-C-0007/en" TargetMode="External"/><Relationship Id="rId26" Type="http://schemas.openxmlformats.org/officeDocument/2006/relationships/hyperlink" Target="https://www.itu.int/md/S20-CL-C-0027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0-CL-C-0060/en" TargetMode="External"/><Relationship Id="rId34" Type="http://schemas.openxmlformats.org/officeDocument/2006/relationships/hyperlink" Target="https://www.itu.int/md/S20-CLVC-C-001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41/en" TargetMode="External"/><Relationship Id="rId25" Type="http://schemas.openxmlformats.org/officeDocument/2006/relationships/hyperlink" Target="https://www.itu.int/md/S20-CLVC-C-0010/en" TargetMode="External"/><Relationship Id="rId33" Type="http://schemas.openxmlformats.org/officeDocument/2006/relationships/hyperlink" Target="https://www.itu.int/md/S20-CLVC-C-0003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4/en" TargetMode="External"/><Relationship Id="rId20" Type="http://schemas.openxmlformats.org/officeDocument/2006/relationships/hyperlink" Target="https://www.itu.int/md/S20-CL-C-0056/en" TargetMode="External"/><Relationship Id="rId29" Type="http://schemas.openxmlformats.org/officeDocument/2006/relationships/hyperlink" Target="https://www.itu.int/md/S20-CL-C-003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02/en" TargetMode="External"/><Relationship Id="rId24" Type="http://schemas.openxmlformats.org/officeDocument/2006/relationships/hyperlink" Target="https://www.itu.int/md/S20-CLVC-C-0002/en" TargetMode="External"/><Relationship Id="rId32" Type="http://schemas.openxmlformats.org/officeDocument/2006/relationships/hyperlink" Target="https://www.itu.int/md/S20-CL-C-0062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6/en" TargetMode="External"/><Relationship Id="rId23" Type="http://schemas.openxmlformats.org/officeDocument/2006/relationships/hyperlink" Target="https://www.itu.int/md/S20-CLVC-C-0013/en" TargetMode="External"/><Relationship Id="rId28" Type="http://schemas.openxmlformats.org/officeDocument/2006/relationships/hyperlink" Target="https://www.itu.int/md/S20-CLVC-C-001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48/en" TargetMode="External"/><Relationship Id="rId31" Type="http://schemas.openxmlformats.org/officeDocument/2006/relationships/hyperlink" Target="https://www.itu.int/md/S20-CL-C-00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-C-0055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VC-C-0009/en" TargetMode="External"/><Relationship Id="rId30" Type="http://schemas.openxmlformats.org/officeDocument/2006/relationships/hyperlink" Target="https://www.itu.int/md/S20-CL-C-0005/en" TargetMode="External"/><Relationship Id="rId35" Type="http://schemas.openxmlformats.org/officeDocument/2006/relationships/hyperlink" Target="https://www.itu.int/md/S20-CL-C-0030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43A5-CB4A-49B4-9945-2AF83075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0</TotalTime>
  <Pages>2</Pages>
  <Words>684</Words>
  <Characters>1967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Zheng, Bingyue</cp:lastModifiedBy>
  <cp:revision>3</cp:revision>
  <cp:lastPrinted>2015-02-24T13:23:00Z</cp:lastPrinted>
  <dcterms:created xsi:type="dcterms:W3CDTF">2020-06-09T08:51:00Z</dcterms:created>
  <dcterms:modified xsi:type="dcterms:W3CDTF">2020-06-09T08:51:00Z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