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 w14:paraId="374BB3CE" w14:textId="77777777">
        <w:trPr>
          <w:cantSplit/>
        </w:trPr>
        <w:tc>
          <w:tcPr>
            <w:tcW w:w="6911" w:type="dxa"/>
          </w:tcPr>
          <w:p w14:paraId="3043BE8F" w14:textId="4F9EFFA0" w:rsidR="00700D1F" w:rsidRPr="00DF23FC" w:rsidRDefault="00D94637" w:rsidP="00D453EE">
            <w:pPr>
              <w:spacing w:before="360" w:after="48"/>
              <w:rPr>
                <w:rFonts w:ascii="Verdana" w:hAnsi="Verdana"/>
                <w:position w:val="6"/>
                <w:lang w:eastAsia="zh-CN"/>
              </w:rPr>
            </w:pP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理事会</w:t>
            </w:r>
            <w:r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20</w:t>
            </w:r>
            <w:r w:rsidR="008418F5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20</w:t>
            </w: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年会议</w:t>
            </w:r>
            <w:r w:rsidRPr="0039609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</w:p>
        </w:tc>
        <w:tc>
          <w:tcPr>
            <w:tcW w:w="3120" w:type="dxa"/>
          </w:tcPr>
          <w:p w14:paraId="31F24B9E" w14:textId="77777777" w:rsidR="00700D1F" w:rsidRDefault="008418F5" w:rsidP="00091BF1"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186054D9" wp14:editId="42A3DAA7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 w14:paraId="3279B0FD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6E3DC3A5" w14:textId="77777777"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2877AAA" w14:textId="77777777"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617BE4" w14:paraId="7A579E68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1879C9A" w14:textId="77777777"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A8F6662" w14:textId="77777777"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14:paraId="6124E4EF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0E64FB2A" w14:textId="0DC4DC57" w:rsidR="00700D1F" w:rsidRPr="00FC5386" w:rsidRDefault="00700D1F" w:rsidP="00E067C5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1" w:name="dmeeting" w:colFirst="0" w:colLast="0"/>
          </w:p>
        </w:tc>
        <w:tc>
          <w:tcPr>
            <w:tcW w:w="3120" w:type="dxa"/>
          </w:tcPr>
          <w:p w14:paraId="530425A4" w14:textId="30EE564F" w:rsidR="00700D1F" w:rsidRPr="00700D1F" w:rsidRDefault="00700D1F" w:rsidP="00D453EE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  <w:r w:rsidR="008418F5">
              <w:rPr>
                <w:b/>
                <w:bCs/>
                <w:szCs w:val="24"/>
                <w:lang w:eastAsia="zh-CN"/>
              </w:rPr>
              <w:t>20</w:t>
            </w:r>
            <w:r w:rsidRPr="00FC5386">
              <w:rPr>
                <w:b/>
                <w:bCs/>
                <w:szCs w:val="24"/>
                <w:lang w:eastAsia="zh-CN"/>
              </w:rPr>
              <w:t>/</w:t>
            </w:r>
            <w:r w:rsidR="008D479A">
              <w:rPr>
                <w:rFonts w:hint="eastAsia"/>
                <w:b/>
                <w:bCs/>
                <w:szCs w:val="24"/>
                <w:lang w:eastAsia="zh-CN"/>
              </w:rPr>
              <w:t>86</w:t>
            </w:r>
            <w:r w:rsidRPr="00FC5386">
              <w:rPr>
                <w:b/>
                <w:bCs/>
                <w:szCs w:val="24"/>
                <w:lang w:eastAsia="zh-CN"/>
              </w:rPr>
              <w:t>-C</w:t>
            </w:r>
          </w:p>
        </w:tc>
      </w:tr>
      <w:bookmarkEnd w:id="1"/>
      <w:tr w:rsidR="00700D1F" w14:paraId="7EC96D54" w14:textId="77777777">
        <w:trPr>
          <w:cantSplit/>
          <w:trHeight w:val="23"/>
        </w:trPr>
        <w:tc>
          <w:tcPr>
            <w:tcW w:w="6911" w:type="dxa"/>
            <w:vMerge/>
          </w:tcPr>
          <w:p w14:paraId="5F6F954A" w14:textId="77777777"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56BF2A5F" w14:textId="606CDB17" w:rsidR="00700D1F" w:rsidRPr="00FC5386" w:rsidRDefault="00700D1F" w:rsidP="00D453EE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8418F5">
              <w:rPr>
                <w:b/>
                <w:bCs/>
                <w:szCs w:val="24"/>
                <w:lang w:eastAsia="zh-CN"/>
              </w:rPr>
              <w:t>20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8D479A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12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8D479A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22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 w14:paraId="42CDBDE0" w14:textId="77777777">
        <w:trPr>
          <w:cantSplit/>
          <w:trHeight w:val="23"/>
        </w:trPr>
        <w:tc>
          <w:tcPr>
            <w:tcW w:w="6911" w:type="dxa"/>
            <w:vMerge/>
          </w:tcPr>
          <w:p w14:paraId="10742229" w14:textId="77777777"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524F2F13" w14:textId="77777777" w:rsidR="00700D1F" w:rsidRPr="00FC5386" w:rsidRDefault="00700D1F" w:rsidP="00001B77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F11595" w:rsidRPr="00FC5386">
              <w:rPr>
                <w:rFonts w:hint="eastAsia"/>
                <w:b/>
                <w:bCs/>
                <w:szCs w:val="24"/>
                <w:lang w:eastAsia="zh-CN"/>
              </w:rPr>
              <w:t>英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文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93362E" w14:paraId="3842A689" w14:textId="77777777">
        <w:trPr>
          <w:cantSplit/>
        </w:trPr>
        <w:tc>
          <w:tcPr>
            <w:tcW w:w="10031" w:type="dxa"/>
          </w:tcPr>
          <w:p w14:paraId="69FA0946" w14:textId="56871B9A" w:rsidR="0093362E" w:rsidRDefault="00E378D8" w:rsidP="00001B77">
            <w:pPr>
              <w:pStyle w:val="Source"/>
              <w:rPr>
                <w:lang w:eastAsia="zh-CN"/>
              </w:rPr>
            </w:pPr>
            <w:r>
              <w:rPr>
                <w:rFonts w:ascii="Times New Roman Bold" w:hAnsi="Times New Roman Bold" w:hint="eastAsia"/>
                <w:lang w:val="fr-CH" w:eastAsia="zh-CN"/>
              </w:rPr>
              <w:t>秘书长的</w:t>
            </w:r>
            <w:r w:rsidR="008D479A">
              <w:rPr>
                <w:rFonts w:ascii="Times New Roman Bold" w:hAnsi="Times New Roman Bold" w:hint="eastAsia"/>
                <w:lang w:eastAsia="zh-CN"/>
              </w:rPr>
              <w:t>说明</w:t>
            </w:r>
          </w:p>
        </w:tc>
      </w:tr>
      <w:tr w:rsidR="0093362E" w14:paraId="23A9DB13" w14:textId="77777777">
        <w:trPr>
          <w:cantSplit/>
        </w:trPr>
        <w:tc>
          <w:tcPr>
            <w:tcW w:w="10031" w:type="dxa"/>
          </w:tcPr>
          <w:p w14:paraId="6FFBA305" w14:textId="183AC062" w:rsidR="0093362E" w:rsidRDefault="00B40A53" w:rsidP="00001B77">
            <w:pPr>
              <w:pStyle w:val="Title1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决议和决定</w:t>
            </w:r>
          </w:p>
        </w:tc>
      </w:tr>
    </w:tbl>
    <w:p w14:paraId="500B5D83" w14:textId="0A0B1BE0" w:rsidR="00861F7E" w:rsidRPr="00861F7E" w:rsidRDefault="002E365C" w:rsidP="00462D3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 w:after="240" w:line="259" w:lineRule="auto"/>
        <w:ind w:firstLineChars="200" w:firstLine="480"/>
        <w:textAlignment w:val="auto"/>
        <w:rPr>
          <w:rFonts w:asciiTheme="minorHAnsi" w:eastAsiaTheme="minorEastAsia" w:hAnsiTheme="minorHAnsi" w:cstheme="minorBidi"/>
          <w:szCs w:val="24"/>
          <w:lang w:val="en-US" w:eastAsia="zh-CN"/>
        </w:rPr>
      </w:pPr>
      <w:r w:rsidRPr="002E365C">
        <w:rPr>
          <w:rFonts w:asciiTheme="minorHAnsi" w:eastAsiaTheme="minorEastAsia" w:hAnsiTheme="minorHAnsi" w:cstheme="minorBidi" w:hint="eastAsia"/>
          <w:szCs w:val="24"/>
          <w:lang w:val="en-US" w:eastAsia="zh-CN"/>
        </w:rPr>
        <w:t>在</w:t>
      </w:r>
      <w:r>
        <w:rPr>
          <w:rFonts w:asciiTheme="minorHAnsi" w:eastAsiaTheme="minorEastAsia" w:hAnsiTheme="minorHAnsi" w:cstheme="minorBidi" w:hint="eastAsia"/>
          <w:szCs w:val="24"/>
          <w:lang w:val="en-US" w:eastAsia="zh-CN"/>
        </w:rPr>
        <w:t>新冠病毒（</w:t>
      </w:r>
      <w:r w:rsidRPr="002E365C">
        <w:rPr>
          <w:rFonts w:asciiTheme="minorHAnsi" w:eastAsiaTheme="minorEastAsia" w:hAnsiTheme="minorHAnsi" w:cstheme="minorBidi" w:hint="eastAsia"/>
          <w:szCs w:val="24"/>
          <w:lang w:val="en-US" w:eastAsia="zh-CN"/>
        </w:rPr>
        <w:t>COVID-19</w:t>
      </w:r>
      <w:r>
        <w:rPr>
          <w:rFonts w:asciiTheme="minorHAnsi" w:eastAsiaTheme="minorEastAsia" w:hAnsiTheme="minorHAnsi" w:cstheme="minorBidi" w:hint="eastAsia"/>
          <w:szCs w:val="24"/>
          <w:lang w:val="en-US" w:eastAsia="zh-CN"/>
        </w:rPr>
        <w:t>）大流行</w:t>
      </w:r>
      <w:r w:rsidRPr="002E365C">
        <w:rPr>
          <w:rFonts w:asciiTheme="minorHAnsi" w:eastAsiaTheme="minorEastAsia" w:hAnsiTheme="minorHAnsi" w:cstheme="minorBidi" w:hint="eastAsia"/>
          <w:szCs w:val="24"/>
          <w:lang w:val="en-US" w:eastAsia="zh-CN"/>
        </w:rPr>
        <w:t>时期，为确保国际电联</w:t>
      </w:r>
      <w:r>
        <w:rPr>
          <w:rFonts w:asciiTheme="minorHAnsi" w:eastAsiaTheme="minorEastAsia" w:hAnsiTheme="minorHAnsi" w:cstheme="minorBidi" w:hint="eastAsia"/>
          <w:szCs w:val="24"/>
          <w:lang w:val="en-US" w:eastAsia="zh-CN"/>
        </w:rPr>
        <w:t>管理</w:t>
      </w:r>
      <w:r w:rsidRPr="002E365C">
        <w:rPr>
          <w:rFonts w:asciiTheme="minorHAnsi" w:eastAsiaTheme="minorEastAsia" w:hAnsiTheme="minorHAnsi" w:cstheme="minorBidi" w:hint="eastAsia"/>
          <w:szCs w:val="24"/>
          <w:lang w:val="en-US" w:eastAsia="zh-CN"/>
        </w:rPr>
        <w:t>机构的业务连续性，举行了两次理事磋商会虚拟</w:t>
      </w:r>
      <w:r>
        <w:rPr>
          <w:rFonts w:asciiTheme="minorHAnsi" w:eastAsiaTheme="minorEastAsia" w:hAnsiTheme="minorHAnsi" w:cstheme="minorBidi" w:hint="eastAsia"/>
          <w:szCs w:val="24"/>
          <w:lang w:val="en-US" w:eastAsia="zh-CN"/>
        </w:rPr>
        <w:t>会议</w:t>
      </w:r>
      <w:r w:rsidRPr="002E365C">
        <w:rPr>
          <w:rFonts w:asciiTheme="minorHAnsi" w:eastAsiaTheme="minorEastAsia" w:hAnsiTheme="minorHAnsi" w:cstheme="minorBidi" w:hint="eastAsia"/>
          <w:szCs w:val="24"/>
          <w:lang w:val="en-US" w:eastAsia="zh-CN"/>
        </w:rPr>
        <w:t>，讨论</w:t>
      </w:r>
      <w:r>
        <w:rPr>
          <w:rFonts w:asciiTheme="minorHAnsi" w:eastAsiaTheme="minorEastAsia" w:hAnsiTheme="minorHAnsi" w:cstheme="minorBidi" w:hint="eastAsia"/>
          <w:szCs w:val="24"/>
          <w:lang w:val="en-US" w:eastAsia="zh-CN"/>
        </w:rPr>
        <w:t>对于</w:t>
      </w:r>
      <w:r w:rsidRPr="002E365C">
        <w:rPr>
          <w:rFonts w:asciiTheme="minorHAnsi" w:eastAsiaTheme="minorEastAsia" w:hAnsiTheme="minorHAnsi" w:cstheme="minorBidi" w:hint="eastAsia"/>
          <w:szCs w:val="24"/>
          <w:lang w:val="en-US" w:eastAsia="zh-CN"/>
        </w:rPr>
        <w:t>国际电联最</w:t>
      </w:r>
      <w:r>
        <w:rPr>
          <w:rFonts w:asciiTheme="minorHAnsi" w:eastAsiaTheme="minorEastAsia" w:hAnsiTheme="minorHAnsi" w:cstheme="minorBidi" w:hint="eastAsia"/>
          <w:szCs w:val="24"/>
          <w:lang w:val="en-US" w:eastAsia="zh-CN"/>
        </w:rPr>
        <w:t>为</w:t>
      </w:r>
      <w:r w:rsidRPr="002E365C">
        <w:rPr>
          <w:rFonts w:asciiTheme="minorHAnsi" w:eastAsiaTheme="minorEastAsia" w:hAnsiTheme="minorHAnsi" w:cstheme="minorBidi" w:hint="eastAsia"/>
          <w:szCs w:val="24"/>
          <w:lang w:val="en-US" w:eastAsia="zh-CN"/>
        </w:rPr>
        <w:t>紧迫的议题，并</w:t>
      </w:r>
      <w:r>
        <w:rPr>
          <w:rFonts w:asciiTheme="minorHAnsi" w:eastAsiaTheme="minorEastAsia" w:hAnsiTheme="minorHAnsi" w:cstheme="minorBidi" w:hint="eastAsia"/>
          <w:szCs w:val="24"/>
          <w:lang w:val="en-US" w:eastAsia="zh-CN"/>
        </w:rPr>
        <w:t>且通过</w:t>
      </w:r>
      <w:r w:rsidRPr="002E365C">
        <w:rPr>
          <w:rFonts w:asciiTheme="minorHAnsi" w:eastAsiaTheme="minorEastAsia" w:hAnsiTheme="minorHAnsi" w:cstheme="minorBidi" w:hint="eastAsia"/>
          <w:szCs w:val="24"/>
          <w:lang w:val="en-US" w:eastAsia="zh-CN"/>
        </w:rPr>
        <w:t>信函方式批准</w:t>
      </w:r>
      <w:r>
        <w:rPr>
          <w:rFonts w:asciiTheme="minorHAnsi" w:eastAsiaTheme="minorEastAsia" w:hAnsiTheme="minorHAnsi" w:cstheme="minorBidi" w:hint="eastAsia"/>
          <w:szCs w:val="24"/>
          <w:lang w:val="en-US" w:eastAsia="zh-CN"/>
        </w:rPr>
        <w:t>了需要</w:t>
      </w:r>
      <w:r w:rsidRPr="002E365C">
        <w:rPr>
          <w:rFonts w:asciiTheme="minorHAnsi" w:eastAsiaTheme="minorEastAsia" w:hAnsiTheme="minorHAnsi" w:cstheme="minorBidi" w:hint="eastAsia"/>
          <w:szCs w:val="24"/>
          <w:lang w:val="en-US" w:eastAsia="zh-CN"/>
        </w:rPr>
        <w:t>理事会紧急</w:t>
      </w:r>
      <w:r>
        <w:rPr>
          <w:rFonts w:asciiTheme="minorHAnsi" w:eastAsiaTheme="minorEastAsia" w:hAnsiTheme="minorHAnsi" w:cstheme="minorBidi" w:hint="eastAsia"/>
          <w:szCs w:val="24"/>
          <w:lang w:val="en-US" w:eastAsia="zh-CN"/>
        </w:rPr>
        <w:t>做出决定</w:t>
      </w:r>
      <w:r w:rsidRPr="002E365C">
        <w:rPr>
          <w:rFonts w:asciiTheme="minorHAnsi" w:eastAsiaTheme="minorEastAsia" w:hAnsiTheme="minorHAnsi" w:cstheme="minorBidi" w:hint="eastAsia"/>
          <w:szCs w:val="24"/>
          <w:lang w:val="en-US" w:eastAsia="zh-CN"/>
        </w:rPr>
        <w:t>的</w:t>
      </w:r>
      <w:r>
        <w:rPr>
          <w:rFonts w:asciiTheme="minorHAnsi" w:eastAsiaTheme="minorEastAsia" w:hAnsiTheme="minorHAnsi" w:cstheme="minorBidi" w:hint="eastAsia"/>
          <w:szCs w:val="24"/>
          <w:lang w:val="en-US" w:eastAsia="zh-CN"/>
        </w:rPr>
        <w:t>拟</w:t>
      </w:r>
      <w:r w:rsidRPr="002E365C">
        <w:rPr>
          <w:rFonts w:asciiTheme="minorHAnsi" w:eastAsiaTheme="minorEastAsia" w:hAnsiTheme="minorHAnsi" w:cstheme="minorBidi" w:hint="eastAsia"/>
          <w:szCs w:val="24"/>
          <w:lang w:val="en-US" w:eastAsia="zh-CN"/>
        </w:rPr>
        <w:t>议结论：</w:t>
      </w:r>
    </w:p>
    <w:p w14:paraId="5F0F415B" w14:textId="4CB08F34" w:rsidR="00861F7E" w:rsidRPr="00BD0D6F" w:rsidRDefault="00BD0D6F" w:rsidP="00BD0D6F">
      <w:pPr>
        <w:pStyle w:val="enumlev1"/>
        <w:rPr>
          <w:rFonts w:cs="Calibri"/>
          <w:b/>
          <w:lang w:eastAsia="zh-CN"/>
        </w:rPr>
      </w:pPr>
      <w:r>
        <w:rPr>
          <w:lang w:val="en-US" w:eastAsia="zh-CN"/>
        </w:rPr>
        <w:t>1)</w:t>
      </w:r>
      <w:r>
        <w:rPr>
          <w:lang w:val="en-US" w:eastAsia="zh-CN"/>
        </w:rPr>
        <w:tab/>
      </w:r>
      <w:r w:rsidR="00114E1C" w:rsidRPr="00114E1C">
        <w:rPr>
          <w:rFonts w:hint="eastAsia"/>
          <w:lang w:eastAsia="zh-CN"/>
        </w:rPr>
        <w:t>理事磋商会第一次虚拟</w:t>
      </w:r>
      <w:r w:rsidR="00114E1C">
        <w:rPr>
          <w:rFonts w:hint="eastAsia"/>
          <w:lang w:eastAsia="zh-CN"/>
        </w:rPr>
        <w:t>会议</w:t>
      </w:r>
      <w:r w:rsidR="00114E1C" w:rsidRPr="00114E1C">
        <w:rPr>
          <w:rFonts w:hint="eastAsia"/>
          <w:lang w:eastAsia="zh-CN"/>
        </w:rPr>
        <w:t>于</w:t>
      </w:r>
      <w:r w:rsidR="00114E1C" w:rsidRPr="00114E1C">
        <w:rPr>
          <w:rFonts w:hint="eastAsia"/>
          <w:lang w:eastAsia="zh-CN"/>
        </w:rPr>
        <w:t>2020</w:t>
      </w:r>
      <w:r w:rsidR="00114E1C" w:rsidRPr="00114E1C">
        <w:rPr>
          <w:rFonts w:hint="eastAsia"/>
          <w:lang w:eastAsia="zh-CN"/>
        </w:rPr>
        <w:t>年</w:t>
      </w:r>
      <w:r w:rsidR="00114E1C" w:rsidRPr="00114E1C">
        <w:rPr>
          <w:rFonts w:hint="eastAsia"/>
          <w:lang w:eastAsia="zh-CN"/>
        </w:rPr>
        <w:t>6</w:t>
      </w:r>
      <w:r w:rsidR="00114E1C" w:rsidRPr="00114E1C">
        <w:rPr>
          <w:rFonts w:hint="eastAsia"/>
          <w:lang w:eastAsia="zh-CN"/>
        </w:rPr>
        <w:t>月</w:t>
      </w:r>
      <w:r w:rsidR="00114E1C" w:rsidRPr="00114E1C">
        <w:rPr>
          <w:rFonts w:hint="eastAsia"/>
          <w:lang w:eastAsia="zh-CN"/>
        </w:rPr>
        <w:t>9</w:t>
      </w:r>
      <w:r w:rsidR="00114E1C" w:rsidRPr="00114E1C">
        <w:rPr>
          <w:rFonts w:hint="eastAsia"/>
          <w:lang w:eastAsia="zh-CN"/>
        </w:rPr>
        <w:t>至</w:t>
      </w:r>
      <w:r w:rsidR="00114E1C" w:rsidRPr="00114E1C">
        <w:rPr>
          <w:rFonts w:hint="eastAsia"/>
          <w:lang w:eastAsia="zh-CN"/>
        </w:rPr>
        <w:t>12</w:t>
      </w:r>
      <w:r w:rsidR="00114E1C" w:rsidRPr="00114E1C">
        <w:rPr>
          <w:rFonts w:hint="eastAsia"/>
          <w:lang w:eastAsia="zh-CN"/>
        </w:rPr>
        <w:t>日举</w:t>
      </w:r>
      <w:r w:rsidR="00114E1C">
        <w:rPr>
          <w:rFonts w:hint="eastAsia"/>
          <w:lang w:eastAsia="zh-CN"/>
        </w:rPr>
        <w:t>办</w:t>
      </w:r>
      <w:bookmarkStart w:id="2" w:name="_Hlk60748697"/>
      <w:r w:rsidR="00114E1C" w:rsidRPr="00114E1C">
        <w:rPr>
          <w:rFonts w:hint="eastAsia"/>
          <w:lang w:eastAsia="zh-CN"/>
        </w:rPr>
        <w:t>。其</w:t>
      </w:r>
      <w:r w:rsidR="00114E1C">
        <w:rPr>
          <w:rFonts w:hint="eastAsia"/>
          <w:lang w:eastAsia="zh-CN"/>
        </w:rPr>
        <w:t>拟</w:t>
      </w:r>
      <w:r w:rsidR="00114E1C" w:rsidRPr="00114E1C">
        <w:rPr>
          <w:rFonts w:hint="eastAsia"/>
          <w:lang w:eastAsia="zh-CN"/>
        </w:rPr>
        <w:t>议结论以信函方式获得批准（见</w:t>
      </w:r>
      <w:r w:rsidR="007807C6">
        <w:fldChar w:fldCharType="begin"/>
      </w:r>
      <w:r w:rsidR="007807C6">
        <w:rPr>
          <w:lang w:eastAsia="zh-CN"/>
        </w:rPr>
        <w:instrText xml:space="preserve"> HYPERLINK "https://www.itu.int/md/S20-DM-CIR-01011/en" </w:instrText>
      </w:r>
      <w:r w:rsidR="007807C6">
        <w:fldChar w:fldCharType="separate"/>
      </w:r>
      <w:r w:rsidR="00114E1C" w:rsidRPr="00861F7E">
        <w:rPr>
          <w:color w:val="0000FF"/>
          <w:u w:val="single"/>
          <w:lang w:eastAsia="zh-CN"/>
        </w:rPr>
        <w:t>DM-20/1011</w:t>
      </w:r>
      <w:r w:rsidR="007807C6">
        <w:rPr>
          <w:color w:val="0000FF"/>
          <w:u w:val="single"/>
          <w:lang w:eastAsia="zh-CN"/>
        </w:rPr>
        <w:fldChar w:fldCharType="end"/>
      </w:r>
      <w:r w:rsidR="00114E1C">
        <w:rPr>
          <w:rFonts w:hint="eastAsia"/>
          <w:lang w:eastAsia="zh-CN"/>
        </w:rPr>
        <w:t>号函</w:t>
      </w:r>
      <w:r w:rsidR="00114E1C" w:rsidRPr="00114E1C">
        <w:rPr>
          <w:rFonts w:hint="eastAsia"/>
          <w:lang w:eastAsia="zh-CN"/>
        </w:rPr>
        <w:t>）。</w:t>
      </w:r>
    </w:p>
    <w:bookmarkEnd w:id="2"/>
    <w:p w14:paraId="674B26EF" w14:textId="3CF1347A" w:rsidR="00861F7E" w:rsidRPr="00861F7E" w:rsidRDefault="00BD0D6F" w:rsidP="00114E1C">
      <w:pPr>
        <w:pStyle w:val="enumlev1"/>
        <w:rPr>
          <w:lang w:val="en-US" w:eastAsia="zh-CN"/>
        </w:rPr>
      </w:pPr>
      <w:r>
        <w:rPr>
          <w:lang w:val="en-US" w:eastAsia="zh-CN"/>
        </w:rPr>
        <w:t>2</w:t>
      </w:r>
      <w:r>
        <w:rPr>
          <w:rFonts w:hint="eastAsia"/>
          <w:lang w:val="en-US" w:eastAsia="zh-CN"/>
        </w:rPr>
        <w:t>)</w:t>
      </w:r>
      <w:r>
        <w:rPr>
          <w:lang w:val="en-US" w:eastAsia="zh-CN"/>
        </w:rPr>
        <w:tab/>
      </w:r>
      <w:r w:rsidR="00114E1C" w:rsidRPr="00114E1C">
        <w:rPr>
          <w:rFonts w:hint="eastAsia"/>
          <w:lang w:val="en-US" w:eastAsia="zh-CN"/>
        </w:rPr>
        <w:t>理事磋商会第</w:t>
      </w:r>
      <w:r w:rsidR="00114E1C">
        <w:rPr>
          <w:rFonts w:hint="eastAsia"/>
          <w:lang w:val="en-US" w:eastAsia="zh-CN"/>
        </w:rPr>
        <w:t>二</w:t>
      </w:r>
      <w:r w:rsidR="00114E1C" w:rsidRPr="00114E1C">
        <w:rPr>
          <w:rFonts w:hint="eastAsia"/>
          <w:lang w:val="en-US" w:eastAsia="zh-CN"/>
        </w:rPr>
        <w:t>次虚拟会议于</w:t>
      </w:r>
      <w:r w:rsidR="00114E1C" w:rsidRPr="00114E1C">
        <w:rPr>
          <w:rFonts w:hint="eastAsia"/>
          <w:lang w:val="en-US" w:eastAsia="zh-CN"/>
        </w:rPr>
        <w:t>2020</w:t>
      </w:r>
      <w:r w:rsidR="00114E1C" w:rsidRPr="00114E1C">
        <w:rPr>
          <w:rFonts w:hint="eastAsia"/>
          <w:lang w:val="en-US" w:eastAsia="zh-CN"/>
        </w:rPr>
        <w:t>年</w:t>
      </w:r>
      <w:r w:rsidR="00114E1C" w:rsidRPr="00114E1C">
        <w:rPr>
          <w:rFonts w:hint="eastAsia"/>
          <w:lang w:val="en-US" w:eastAsia="zh-CN"/>
        </w:rPr>
        <w:t>11</w:t>
      </w:r>
      <w:r w:rsidR="00114E1C" w:rsidRPr="00114E1C">
        <w:rPr>
          <w:rFonts w:hint="eastAsia"/>
          <w:lang w:val="en-US" w:eastAsia="zh-CN"/>
        </w:rPr>
        <w:t>月</w:t>
      </w:r>
      <w:r w:rsidR="00114E1C" w:rsidRPr="00114E1C">
        <w:rPr>
          <w:rFonts w:hint="eastAsia"/>
          <w:lang w:val="en-US" w:eastAsia="zh-CN"/>
        </w:rPr>
        <w:t>16</w:t>
      </w:r>
      <w:r w:rsidR="00114E1C" w:rsidRPr="00114E1C">
        <w:rPr>
          <w:rFonts w:hint="eastAsia"/>
          <w:lang w:val="en-US" w:eastAsia="zh-CN"/>
        </w:rPr>
        <w:t>至</w:t>
      </w:r>
      <w:r w:rsidR="00114E1C" w:rsidRPr="00114E1C">
        <w:rPr>
          <w:rFonts w:hint="eastAsia"/>
          <w:lang w:val="en-US" w:eastAsia="zh-CN"/>
        </w:rPr>
        <w:t>20</w:t>
      </w:r>
      <w:r w:rsidR="00114E1C" w:rsidRPr="00114E1C">
        <w:rPr>
          <w:rFonts w:hint="eastAsia"/>
          <w:lang w:val="en-US" w:eastAsia="zh-CN"/>
        </w:rPr>
        <w:t>日举</w:t>
      </w:r>
      <w:r w:rsidR="00114E1C">
        <w:rPr>
          <w:rFonts w:hint="eastAsia"/>
          <w:lang w:val="en-US" w:eastAsia="zh-CN"/>
        </w:rPr>
        <w:t>办</w:t>
      </w:r>
      <w:r w:rsidR="00114E1C" w:rsidRPr="00114E1C">
        <w:rPr>
          <w:rFonts w:hint="eastAsia"/>
          <w:lang w:val="en-US" w:eastAsia="zh-CN"/>
        </w:rPr>
        <w:t>。其拟议结论以信函方式获得批准（见</w:t>
      </w:r>
      <w:r w:rsidR="007807C6">
        <w:fldChar w:fldCharType="begin"/>
      </w:r>
      <w:r w:rsidR="007807C6">
        <w:rPr>
          <w:lang w:eastAsia="zh-CN"/>
        </w:rPr>
        <w:instrText xml:space="preserve"> HYPERLINK "https://www.itu.int/md/S20-DM-CIR-01022/en" </w:instrText>
      </w:r>
      <w:r w:rsidR="007807C6">
        <w:fldChar w:fldCharType="separate"/>
      </w:r>
      <w:r w:rsidR="00114E1C" w:rsidRPr="00861F7E">
        <w:rPr>
          <w:color w:val="0000FF"/>
          <w:u w:val="single"/>
          <w:lang w:val="en-US" w:eastAsia="zh-CN"/>
        </w:rPr>
        <w:t>DM-20/1022</w:t>
      </w:r>
      <w:r w:rsidR="007807C6">
        <w:rPr>
          <w:color w:val="0000FF"/>
          <w:u w:val="single"/>
          <w:lang w:val="en-US" w:eastAsia="zh-CN"/>
        </w:rPr>
        <w:fldChar w:fldCharType="end"/>
      </w:r>
      <w:r w:rsidR="00114E1C" w:rsidRPr="00114E1C">
        <w:rPr>
          <w:rFonts w:hint="eastAsia"/>
          <w:lang w:val="en-US" w:eastAsia="zh-CN"/>
        </w:rPr>
        <w:t>号函）。</w:t>
      </w:r>
    </w:p>
    <w:p w14:paraId="492187B9" w14:textId="7B950C55" w:rsidR="00861F7E" w:rsidRPr="00861F7E" w:rsidRDefault="00114E1C" w:rsidP="00D8794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240" w:line="259" w:lineRule="auto"/>
        <w:ind w:firstLineChars="200" w:firstLine="480"/>
        <w:textAlignment w:val="auto"/>
        <w:rPr>
          <w:rFonts w:asciiTheme="minorHAnsi" w:eastAsiaTheme="minorEastAsia" w:hAnsiTheme="minorHAnsi" w:cstheme="minorBidi"/>
          <w:szCs w:val="24"/>
          <w:lang w:val="en-US" w:eastAsia="zh-CN"/>
        </w:rPr>
      </w:pPr>
      <w:r w:rsidRPr="00114E1C">
        <w:rPr>
          <w:rFonts w:asciiTheme="minorHAnsi" w:eastAsiaTheme="minorEastAsia" w:hAnsiTheme="minorHAnsi" w:cstheme="minorBidi" w:hint="eastAsia"/>
          <w:szCs w:val="24"/>
          <w:lang w:val="en-US" w:eastAsia="zh-CN"/>
        </w:rPr>
        <w:t>2020</w:t>
      </w:r>
      <w:r w:rsidRPr="00114E1C">
        <w:rPr>
          <w:rFonts w:asciiTheme="minorHAnsi" w:eastAsiaTheme="minorEastAsia" w:hAnsiTheme="minorHAnsi" w:cstheme="minorBidi" w:hint="eastAsia"/>
          <w:szCs w:val="24"/>
          <w:lang w:val="en-US" w:eastAsia="zh-CN"/>
        </w:rPr>
        <w:t>年以信函方式通过了以下决议和决定：</w:t>
      </w:r>
    </w:p>
    <w:tbl>
      <w:tblPr>
        <w:tblStyle w:val="TableGrid1"/>
        <w:tblW w:w="9582" w:type="dxa"/>
        <w:jc w:val="center"/>
        <w:tblLook w:val="04A0" w:firstRow="1" w:lastRow="0" w:firstColumn="1" w:lastColumn="0" w:noHBand="0" w:noVBand="1"/>
      </w:tblPr>
      <w:tblGrid>
        <w:gridCol w:w="8217"/>
        <w:gridCol w:w="1365"/>
      </w:tblGrid>
      <w:tr w:rsidR="00861F7E" w:rsidRPr="00861F7E" w14:paraId="4DBECFE4" w14:textId="77777777" w:rsidTr="0007756B">
        <w:trPr>
          <w:jc w:val="center"/>
        </w:trPr>
        <w:tc>
          <w:tcPr>
            <w:tcW w:w="821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14:paraId="5ABD50A7" w14:textId="395FB33F" w:rsidR="00861F7E" w:rsidRPr="00861F7E" w:rsidRDefault="00C6623C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</w:pPr>
            <w:bookmarkStart w:id="3" w:name="_Hlk58403459"/>
            <w:r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决议</w:t>
            </w:r>
            <w:r w:rsidR="001E1B5B"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编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号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C6623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t>–</w:t>
            </w: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标题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14:paraId="2BCC0A95" w14:textId="6BD5F84E" w:rsidR="00861F7E" w:rsidRPr="00861F7E" w:rsidRDefault="0007756B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br/>
              <w:t>C20/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文件号</w:t>
            </w:r>
          </w:p>
        </w:tc>
      </w:tr>
      <w:tr w:rsidR="00861F7E" w:rsidRPr="00861F7E" w14:paraId="737CBB3D" w14:textId="77777777" w:rsidTr="0007756B">
        <w:trPr>
          <w:jc w:val="center"/>
        </w:trPr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</w:tcPr>
          <w:p w14:paraId="2C3A4EE5" w14:textId="133FA395" w:rsidR="00861F7E" w:rsidRPr="00861F7E" w:rsidRDefault="00C6623C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highlight w:val="yellow"/>
                <w:lang w:val="en-US" w:eastAsia="zh-CN"/>
              </w:rPr>
            </w:pPr>
            <w:bookmarkStart w:id="4" w:name="lt_pId151"/>
            <w:r w:rsidRPr="00C6623C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  <w:lang w:eastAsia="zh-CN"/>
              </w:rPr>
              <w:t>第</w:t>
            </w:r>
            <w:r w:rsidRPr="00C6623C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  <w:lang w:eastAsia="zh-CN"/>
              </w:rPr>
              <w:t>1399</w:t>
            </w:r>
            <w:r w:rsidRPr="00C6623C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  <w:lang w:eastAsia="zh-CN"/>
              </w:rPr>
              <w:t>号决议</w:t>
            </w:r>
            <w:bookmarkEnd w:id="4"/>
            <w:r w:rsidRPr="00C6623C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– </w:t>
            </w:r>
            <w:r w:rsidRPr="00C6623C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lang w:eastAsia="zh-CN"/>
              </w:rPr>
              <w:t>世界无线电通信大会（</w:t>
            </w:r>
            <w:r w:rsidRPr="00C6623C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lang w:eastAsia="zh-CN"/>
              </w:rPr>
              <w:t>WRC-23</w:t>
            </w:r>
            <w:r w:rsidRPr="00C6623C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lang w:eastAsia="zh-CN"/>
              </w:rPr>
              <w:t>）的议程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14:paraId="53F184B3" w14:textId="77777777" w:rsidR="00861F7E" w:rsidRPr="00861F7E" w:rsidRDefault="00906ECB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</w:pPr>
            <w:hyperlink r:id="rId9" w:history="1">
              <w:r w:rsidR="00861F7E" w:rsidRPr="00861F7E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  <w:lang w:eastAsia="zh-CN"/>
                </w:rPr>
                <w:t>C20/69</w:t>
              </w:r>
            </w:hyperlink>
          </w:p>
        </w:tc>
      </w:tr>
      <w:tr w:rsidR="00861F7E" w:rsidRPr="00861F7E" w14:paraId="7D37D70C" w14:textId="77777777" w:rsidTr="0007756B">
        <w:trPr>
          <w:jc w:val="center"/>
        </w:trPr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</w:tcPr>
          <w:p w14:paraId="132808CD" w14:textId="157BCD84" w:rsidR="00861F7E" w:rsidRPr="00861F7E" w:rsidRDefault="00C6623C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highlight w:val="yellow"/>
                <w:lang w:val="en-US" w:eastAsia="zh-CN"/>
              </w:rPr>
            </w:pPr>
            <w:bookmarkStart w:id="5" w:name="_Toc41908085"/>
            <w:r w:rsidRPr="00C6623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第</w:t>
            </w:r>
            <w:r w:rsidRPr="00C6623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1400</w:t>
            </w:r>
            <w:r w:rsidRPr="00C6623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号决议</w:t>
            </w:r>
            <w:bookmarkEnd w:id="5"/>
            <w:r w:rsidRPr="00C6623C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– 2019</w:t>
            </w:r>
            <w:r w:rsidRPr="00C6623C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财务年度的财务工作报告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14:paraId="01E65AD9" w14:textId="133F8AD2" w:rsidR="00861F7E" w:rsidRPr="00861F7E" w:rsidRDefault="00906ECB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</w:pPr>
            <w:hyperlink r:id="rId10" w:history="1">
              <w:r w:rsidR="00861F7E" w:rsidRPr="00861F7E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  <w:lang w:eastAsia="zh-CN"/>
                </w:rPr>
                <w:t>C20/80</w:t>
              </w:r>
            </w:hyperlink>
          </w:p>
        </w:tc>
      </w:tr>
      <w:tr w:rsidR="00861F7E" w:rsidRPr="00861F7E" w14:paraId="7E457B53" w14:textId="77777777" w:rsidTr="0007756B">
        <w:trPr>
          <w:jc w:val="center"/>
        </w:trPr>
        <w:tc>
          <w:tcPr>
            <w:tcW w:w="8217" w:type="dxa"/>
            <w:shd w:val="clear" w:color="auto" w:fill="auto"/>
          </w:tcPr>
          <w:p w14:paraId="6241EB9C" w14:textId="22773EAA" w:rsidR="00861F7E" w:rsidRPr="00861F7E" w:rsidRDefault="00C6623C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highlight w:val="yellow"/>
                <w:lang w:val="en-US" w:eastAsia="zh-CN"/>
              </w:rPr>
            </w:pPr>
            <w:r w:rsidRPr="00C6623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第</w:t>
            </w:r>
            <w:r w:rsidRPr="00C6623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1401</w:t>
            </w:r>
            <w:r w:rsidRPr="00C6623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号决议</w:t>
            </w:r>
            <w:r w:rsidRPr="00C6623C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– </w:t>
            </w:r>
            <w:r w:rsidRPr="00C6623C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国际电联选任官员的服务条件</w:t>
            </w:r>
          </w:p>
        </w:tc>
        <w:tc>
          <w:tcPr>
            <w:tcW w:w="1365" w:type="dxa"/>
            <w:shd w:val="clear" w:color="auto" w:fill="auto"/>
          </w:tcPr>
          <w:p w14:paraId="15F8A102" w14:textId="07BD4E25" w:rsidR="00861F7E" w:rsidRPr="00861F7E" w:rsidRDefault="00906ECB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</w:pPr>
            <w:hyperlink r:id="rId11" w:history="1">
              <w:r w:rsidR="00861F7E" w:rsidRPr="00861F7E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  <w:lang w:eastAsia="zh-CN"/>
                </w:rPr>
                <w:t>C20/82</w:t>
              </w:r>
            </w:hyperlink>
          </w:p>
        </w:tc>
      </w:tr>
      <w:tr w:rsidR="00861F7E" w:rsidRPr="00861F7E" w14:paraId="66C4586A" w14:textId="77777777" w:rsidTr="0007756B">
        <w:trPr>
          <w:jc w:val="center"/>
        </w:trPr>
        <w:tc>
          <w:tcPr>
            <w:tcW w:w="8217" w:type="dxa"/>
            <w:shd w:val="clear" w:color="auto" w:fill="auto"/>
          </w:tcPr>
          <w:p w14:paraId="4A9928CC" w14:textId="7538847A" w:rsidR="00861F7E" w:rsidRPr="00861F7E" w:rsidRDefault="00C6623C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highlight w:val="yellow"/>
                <w:lang w:val="en-US" w:eastAsia="zh-CN"/>
              </w:rPr>
            </w:pPr>
            <w:r w:rsidRPr="00C6623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第</w:t>
            </w:r>
            <w:r w:rsidRPr="00C6623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1402</w:t>
            </w:r>
            <w:r w:rsidRPr="00C6623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号决议</w:t>
            </w:r>
            <w:r w:rsidRPr="00C6623C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– </w:t>
            </w:r>
            <w:r w:rsidRPr="00C6623C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分摊国际电</w:t>
            </w:r>
            <w:proofErr w:type="gramStart"/>
            <w:r w:rsidRPr="00C6623C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联费用</w:t>
            </w:r>
            <w:proofErr w:type="gramEnd"/>
            <w:r w:rsidRPr="00C6623C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的会费份额</w:t>
            </w:r>
          </w:p>
        </w:tc>
        <w:tc>
          <w:tcPr>
            <w:tcW w:w="1365" w:type="dxa"/>
            <w:shd w:val="clear" w:color="auto" w:fill="auto"/>
          </w:tcPr>
          <w:p w14:paraId="70BEE782" w14:textId="046B893B" w:rsidR="00861F7E" w:rsidRPr="00861F7E" w:rsidRDefault="00906ECB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</w:pPr>
            <w:hyperlink r:id="rId12" w:history="1">
              <w:r w:rsidR="00861F7E" w:rsidRPr="00861F7E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  <w:lang w:eastAsia="zh-CN"/>
                </w:rPr>
                <w:t>C20/85</w:t>
              </w:r>
            </w:hyperlink>
          </w:p>
        </w:tc>
      </w:tr>
    </w:tbl>
    <w:p w14:paraId="75C230CB" w14:textId="7D5B3720" w:rsidR="00C6623C" w:rsidRDefault="00C6623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eastAsiaTheme="minorEastAsia" w:hAnsiTheme="minorHAnsi" w:cstheme="minorBidi"/>
          <w:szCs w:val="24"/>
          <w:lang w:eastAsia="zh-CN"/>
        </w:rPr>
      </w:pPr>
      <w:r>
        <w:rPr>
          <w:rFonts w:asciiTheme="minorHAnsi" w:eastAsiaTheme="minorEastAsia" w:hAnsiTheme="minorHAnsi" w:cstheme="minorBidi"/>
          <w:szCs w:val="24"/>
          <w:lang w:eastAsia="zh-CN"/>
        </w:rPr>
        <w:br w:type="page"/>
      </w:r>
    </w:p>
    <w:tbl>
      <w:tblPr>
        <w:tblStyle w:val="TableGrid1"/>
        <w:tblW w:w="9582" w:type="dxa"/>
        <w:jc w:val="center"/>
        <w:tblLook w:val="04A0" w:firstRow="1" w:lastRow="0" w:firstColumn="1" w:lastColumn="0" w:noHBand="0" w:noVBand="1"/>
      </w:tblPr>
      <w:tblGrid>
        <w:gridCol w:w="8217"/>
        <w:gridCol w:w="1365"/>
      </w:tblGrid>
      <w:tr w:rsidR="00861F7E" w:rsidRPr="00861F7E" w14:paraId="0924DE81" w14:textId="77777777" w:rsidTr="0007756B">
        <w:trPr>
          <w:jc w:val="center"/>
        </w:trPr>
        <w:tc>
          <w:tcPr>
            <w:tcW w:w="821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14:paraId="0A4AD5B1" w14:textId="389A1DF0" w:rsidR="00861F7E" w:rsidRPr="00861F7E" w:rsidRDefault="00C6623C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lastRenderedPageBreak/>
              <w:t>决定</w:t>
            </w:r>
            <w:r w:rsidR="001E1B5B"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编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号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C6623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t>–</w:t>
            </w: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标题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14:paraId="73F495D4" w14:textId="2C5919C2" w:rsidR="00861F7E" w:rsidRPr="00861F7E" w:rsidRDefault="0007756B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br/>
              <w:t>C20/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文件号</w:t>
            </w:r>
          </w:p>
        </w:tc>
      </w:tr>
      <w:tr w:rsidR="00861F7E" w:rsidRPr="00861F7E" w14:paraId="643535CF" w14:textId="77777777" w:rsidTr="0007756B">
        <w:trPr>
          <w:jc w:val="center"/>
        </w:trPr>
        <w:tc>
          <w:tcPr>
            <w:tcW w:w="8217" w:type="dxa"/>
            <w:shd w:val="clear" w:color="auto" w:fill="auto"/>
          </w:tcPr>
          <w:p w14:paraId="6678B156" w14:textId="2BEE23F1" w:rsidR="00861F7E" w:rsidRPr="00861F7E" w:rsidRDefault="00C6623C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zh-CN"/>
              </w:rPr>
            </w:pPr>
            <w:r w:rsidRPr="00AC00A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第</w:t>
            </w:r>
            <w:r w:rsidRPr="00AC00A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US" w:eastAsia="zh-CN"/>
              </w:rPr>
              <w:t>620</w:t>
            </w:r>
            <w:r w:rsidRPr="00AC00A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号决定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– 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理事会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2021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、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2022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、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2023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、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2024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、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2025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和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2026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年会议以及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2020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、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2021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和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2022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年集中召开的理事会工作组和专家组会议的日期和会期</w:t>
            </w:r>
          </w:p>
        </w:tc>
        <w:tc>
          <w:tcPr>
            <w:tcW w:w="1365" w:type="dxa"/>
            <w:shd w:val="clear" w:color="auto" w:fill="auto"/>
          </w:tcPr>
          <w:p w14:paraId="3F380C1B" w14:textId="77777777" w:rsidR="00861F7E" w:rsidRPr="00861F7E" w:rsidRDefault="00906ECB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</w:pPr>
            <w:hyperlink r:id="rId13" w:history="1">
              <w:r w:rsidR="00861F7E" w:rsidRPr="00861F7E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  <w:lang w:eastAsia="zh-CN"/>
                </w:rPr>
                <w:t>C20/71</w:t>
              </w:r>
            </w:hyperlink>
          </w:p>
        </w:tc>
      </w:tr>
      <w:tr w:rsidR="00861F7E" w:rsidRPr="00861F7E" w14:paraId="4139B3CE" w14:textId="77777777" w:rsidTr="0007756B">
        <w:trPr>
          <w:jc w:val="center"/>
        </w:trPr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</w:tcPr>
          <w:p w14:paraId="685E2368" w14:textId="04A653E6" w:rsidR="00861F7E" w:rsidRPr="00861F7E" w:rsidRDefault="00BD0D6F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highlight w:val="yellow"/>
                <w:lang w:val="en-US" w:eastAsia="zh-CN"/>
              </w:rPr>
            </w:pPr>
            <w:r w:rsidRPr="00BD0D6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第</w:t>
            </w:r>
            <w:r w:rsidRPr="00BD0D6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621</w:t>
            </w:r>
            <w:r w:rsidRPr="00BD0D6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号决定</w:t>
            </w:r>
            <w:r w:rsidRPr="00BD0D6F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– </w:t>
            </w:r>
            <w:r w:rsidRPr="00BD0D6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新外部审计员的任命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14:paraId="7E814B7B" w14:textId="1EAE11DD" w:rsidR="00861F7E" w:rsidRPr="00861F7E" w:rsidRDefault="00906ECB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</w:pPr>
            <w:hyperlink r:id="rId14" w:history="1">
              <w:r w:rsidR="00861F7E" w:rsidRPr="00861F7E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  <w:lang w:eastAsia="zh-CN"/>
                </w:rPr>
                <w:t>C20/83</w:t>
              </w:r>
            </w:hyperlink>
          </w:p>
        </w:tc>
      </w:tr>
      <w:tr w:rsidR="00861F7E" w:rsidRPr="00861F7E" w14:paraId="03598CD6" w14:textId="77777777" w:rsidTr="0007756B">
        <w:trPr>
          <w:jc w:val="center"/>
        </w:trPr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</w:tcPr>
          <w:p w14:paraId="5DB3C511" w14:textId="69E18594" w:rsidR="00861F7E" w:rsidRPr="00861F7E" w:rsidRDefault="00C6623C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highlight w:val="yellow"/>
                <w:lang w:val="en-US" w:eastAsia="zh-CN"/>
              </w:rPr>
            </w:pPr>
            <w:r w:rsidRPr="00AC00A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第</w:t>
            </w:r>
            <w:r w:rsidRPr="00AC00A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622</w:t>
            </w:r>
            <w:r w:rsidRPr="00AC00A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号决</w:t>
            </w:r>
            <w:r w:rsidR="00AC00A2">
              <w:rPr>
                <w:rFonts w:asciiTheme="minorHAnsi" w:eastAsiaTheme="minorEastAsia" w:hAnsiTheme="minorHAnsi" w:cstheme="minorHAnsi" w:hint="eastAsia"/>
                <w:b/>
                <w:bCs/>
                <w:sz w:val="22"/>
                <w:szCs w:val="22"/>
                <w:lang w:eastAsia="zh-CN"/>
              </w:rPr>
              <w:t>定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– 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欠款利息和不可回收债务的注销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14:paraId="549C1835" w14:textId="16F01B76" w:rsidR="00861F7E" w:rsidRPr="00861F7E" w:rsidRDefault="00906ECB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</w:pPr>
            <w:hyperlink r:id="rId15" w:history="1">
              <w:r w:rsidR="00861F7E" w:rsidRPr="00861F7E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  <w:lang w:eastAsia="zh-CN"/>
                </w:rPr>
                <w:t>C20/84</w:t>
              </w:r>
            </w:hyperlink>
          </w:p>
        </w:tc>
      </w:tr>
    </w:tbl>
    <w:p w14:paraId="538EF881" w14:textId="77777777" w:rsidR="00861F7E" w:rsidRPr="00861F7E" w:rsidRDefault="00861F7E" w:rsidP="00861F7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tbl>
      <w:tblPr>
        <w:tblStyle w:val="TableGrid1"/>
        <w:tblW w:w="9582" w:type="dxa"/>
        <w:jc w:val="center"/>
        <w:tblLook w:val="04A0" w:firstRow="1" w:lastRow="0" w:firstColumn="1" w:lastColumn="0" w:noHBand="0" w:noVBand="1"/>
      </w:tblPr>
      <w:tblGrid>
        <w:gridCol w:w="8217"/>
        <w:gridCol w:w="1365"/>
      </w:tblGrid>
      <w:tr w:rsidR="00861F7E" w:rsidRPr="00861F7E" w14:paraId="29BDEC10" w14:textId="77777777" w:rsidTr="0007756B">
        <w:trPr>
          <w:jc w:val="center"/>
        </w:trPr>
        <w:tc>
          <w:tcPr>
            <w:tcW w:w="821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14:paraId="2EE0456E" w14:textId="713DF88C" w:rsidR="00861F7E" w:rsidRPr="00861F7E" w:rsidRDefault="00BC7821" w:rsidP="00861F7E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经修订的决议编号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BC782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t>–</w:t>
            </w: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标题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14:paraId="6CD45B42" w14:textId="63F02C80" w:rsidR="00861F7E" w:rsidRPr="00861F7E" w:rsidRDefault="00861F7E" w:rsidP="00861F7E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</w:pPr>
            <w:r w:rsidRPr="00861F7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t>C20/#</w:t>
            </w:r>
            <w:r w:rsidR="0007756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br/>
              <w:t>C20/</w:t>
            </w:r>
            <w:r w:rsidR="0007756B"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文件号</w:t>
            </w:r>
          </w:p>
        </w:tc>
      </w:tr>
      <w:tr w:rsidR="00861F7E" w:rsidRPr="00861F7E" w14:paraId="6A772862" w14:textId="77777777" w:rsidTr="0007756B">
        <w:trPr>
          <w:jc w:val="center"/>
        </w:trPr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5E9AA" w14:textId="50B3BFA0" w:rsidR="00861F7E" w:rsidRPr="00861F7E" w:rsidRDefault="00AC00A2" w:rsidP="00861F7E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highlight w:val="yellow"/>
                <w:lang w:val="en-US" w:eastAsia="zh-CN"/>
              </w:rPr>
            </w:pPr>
            <w:r w:rsidRPr="00AC00A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第</w:t>
            </w:r>
            <w:r w:rsidRPr="00AC00A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1299</w:t>
            </w:r>
            <w:r w:rsidRPr="00AC00A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号决议</w:t>
            </w:r>
            <w:r w:rsidR="005E28C0" w:rsidRPr="005E28C0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（</w:t>
            </w:r>
            <w:r w:rsidR="005E28C0" w:rsidRPr="005E28C0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2020</w:t>
            </w:r>
            <w:r w:rsidR="005E28C0" w:rsidRPr="005E28C0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年修订）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– </w:t>
            </w:r>
            <w:r w:rsidRPr="00AC00A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国际电联人力资源战略规划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22661" w14:textId="6E431400" w:rsidR="00861F7E" w:rsidRPr="00861F7E" w:rsidRDefault="00906ECB" w:rsidP="00861F7E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</w:pPr>
            <w:hyperlink r:id="rId16" w:history="1">
              <w:r w:rsidR="00861F7E" w:rsidRPr="00861F7E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  <w:lang w:eastAsia="zh-CN"/>
                </w:rPr>
                <w:t>C20/79</w:t>
              </w:r>
            </w:hyperlink>
          </w:p>
        </w:tc>
      </w:tr>
    </w:tbl>
    <w:p w14:paraId="78552CF0" w14:textId="77777777" w:rsidR="00861F7E" w:rsidRPr="00861F7E" w:rsidRDefault="00861F7E" w:rsidP="00861F7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textAlignment w:val="auto"/>
        <w:rPr>
          <w:rFonts w:asciiTheme="minorHAnsi" w:eastAsiaTheme="minorEastAsia" w:hAnsiTheme="minorHAnsi" w:cstheme="minorBidi"/>
          <w:sz w:val="22"/>
          <w:szCs w:val="22"/>
          <w:u w:val="single"/>
          <w:lang w:eastAsia="zh-CN"/>
        </w:rPr>
      </w:pPr>
    </w:p>
    <w:tbl>
      <w:tblPr>
        <w:tblStyle w:val="TableGrid1"/>
        <w:tblW w:w="9582" w:type="dxa"/>
        <w:jc w:val="center"/>
        <w:tblLook w:val="04A0" w:firstRow="1" w:lastRow="0" w:firstColumn="1" w:lastColumn="0" w:noHBand="0" w:noVBand="1"/>
      </w:tblPr>
      <w:tblGrid>
        <w:gridCol w:w="8217"/>
        <w:gridCol w:w="1365"/>
      </w:tblGrid>
      <w:tr w:rsidR="00861F7E" w:rsidRPr="00861F7E" w14:paraId="0C03B52C" w14:textId="77777777" w:rsidTr="0007756B">
        <w:trPr>
          <w:jc w:val="center"/>
        </w:trPr>
        <w:tc>
          <w:tcPr>
            <w:tcW w:w="8217" w:type="dxa"/>
            <w:shd w:val="clear" w:color="auto" w:fill="8DB3E2" w:themeFill="text2" w:themeFillTint="66"/>
            <w:vAlign w:val="bottom"/>
          </w:tcPr>
          <w:p w14:paraId="76A9DE42" w14:textId="12BC3F37" w:rsidR="00861F7E" w:rsidRPr="00861F7E" w:rsidRDefault="00BC7821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经修订的决定编号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BC782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t>–</w:t>
            </w: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标题</w:t>
            </w:r>
          </w:p>
        </w:tc>
        <w:tc>
          <w:tcPr>
            <w:tcW w:w="1365" w:type="dxa"/>
            <w:shd w:val="clear" w:color="auto" w:fill="8DB3E2" w:themeFill="text2" w:themeFillTint="66"/>
            <w:vAlign w:val="bottom"/>
          </w:tcPr>
          <w:p w14:paraId="6DC0798B" w14:textId="3D8FE0E4" w:rsidR="00861F7E" w:rsidRPr="00861F7E" w:rsidRDefault="00861F7E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</w:pPr>
            <w:r w:rsidRPr="00861F7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t>C20/#</w:t>
            </w:r>
            <w:r w:rsidR="0007756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br/>
              <w:t>C20/</w:t>
            </w:r>
            <w:r w:rsidR="0007756B">
              <w:rPr>
                <w:rFonts w:asciiTheme="minorHAnsi" w:eastAsiaTheme="minorEastAsia" w:hAnsiTheme="minorHAnsi" w:cstheme="minorBidi" w:hint="eastAsia"/>
                <w:b/>
                <w:bCs/>
                <w:sz w:val="22"/>
                <w:szCs w:val="22"/>
                <w:lang w:eastAsia="zh-CN"/>
              </w:rPr>
              <w:t>文件号</w:t>
            </w:r>
          </w:p>
        </w:tc>
      </w:tr>
      <w:tr w:rsidR="00861F7E" w:rsidRPr="00861F7E" w14:paraId="10F5966F" w14:textId="77777777" w:rsidTr="0007756B">
        <w:trPr>
          <w:jc w:val="center"/>
        </w:trPr>
        <w:tc>
          <w:tcPr>
            <w:tcW w:w="8217" w:type="dxa"/>
            <w:vAlign w:val="center"/>
          </w:tcPr>
          <w:p w14:paraId="054A0D37" w14:textId="1ACB4B0C" w:rsidR="00861F7E" w:rsidRPr="00861F7E" w:rsidRDefault="005E28C0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highlight w:val="yellow"/>
                <w:lang w:val="en-US" w:eastAsia="zh-CN"/>
              </w:rPr>
            </w:pPr>
            <w:r w:rsidRPr="005E28C0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US" w:eastAsia="zh-CN"/>
              </w:rPr>
              <w:t>第</w:t>
            </w:r>
            <w:r w:rsidRPr="005E28C0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US" w:eastAsia="zh-CN"/>
              </w:rPr>
              <w:t>482</w:t>
            </w:r>
            <w:r w:rsidRPr="005E28C0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US" w:eastAsia="zh-CN"/>
              </w:rPr>
              <w:t>号决定</w:t>
            </w:r>
            <w:r w:rsidRPr="005E28C0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（</w:t>
            </w:r>
            <w:r w:rsidRPr="005E28C0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2020</w:t>
            </w:r>
            <w:r w:rsidRPr="005E28C0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年修订）</w:t>
            </w:r>
            <w:r w:rsidRPr="005E28C0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–</w:t>
            </w:r>
            <w:bookmarkStart w:id="6" w:name="_Toc424116928"/>
            <w:bookmarkStart w:id="7" w:name="_Toc460248035"/>
            <w:bookmarkStart w:id="8" w:name="_Toc490555890"/>
            <w:r w:rsidRPr="005E28C0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Pr="005E28C0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对卫星网络申报实行成本回收</w:t>
            </w:r>
            <w:bookmarkEnd w:id="6"/>
            <w:bookmarkEnd w:id="7"/>
            <w:bookmarkEnd w:id="8"/>
          </w:p>
        </w:tc>
        <w:tc>
          <w:tcPr>
            <w:tcW w:w="1365" w:type="dxa"/>
            <w:vAlign w:val="center"/>
          </w:tcPr>
          <w:p w14:paraId="04E99B40" w14:textId="77777777" w:rsidR="00861F7E" w:rsidRPr="00861F7E" w:rsidRDefault="00906ECB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</w:pPr>
            <w:hyperlink r:id="rId17" w:history="1">
              <w:r w:rsidR="00861F7E" w:rsidRPr="00861F7E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  <w:lang w:eastAsia="zh-CN"/>
                </w:rPr>
                <w:t>C20/70</w:t>
              </w:r>
            </w:hyperlink>
          </w:p>
        </w:tc>
      </w:tr>
      <w:tr w:rsidR="00861F7E" w:rsidRPr="00861F7E" w14:paraId="6642C34F" w14:textId="77777777" w:rsidTr="0007756B">
        <w:trPr>
          <w:jc w:val="center"/>
        </w:trPr>
        <w:tc>
          <w:tcPr>
            <w:tcW w:w="8217" w:type="dxa"/>
            <w:vAlign w:val="center"/>
          </w:tcPr>
          <w:p w14:paraId="3898CBEF" w14:textId="040AD0BF" w:rsidR="00861F7E" w:rsidRPr="00861F7E" w:rsidRDefault="005E28C0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highlight w:val="yellow"/>
                <w:lang w:val="en-US" w:eastAsia="zh-CN"/>
              </w:rPr>
            </w:pPr>
            <w:r w:rsidRPr="005E28C0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第</w:t>
            </w:r>
            <w:r w:rsidRPr="005E28C0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608</w:t>
            </w:r>
            <w:r w:rsidRPr="005E28C0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号决定（</w:t>
            </w:r>
            <w:r w:rsidRPr="005E28C0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2020</w:t>
            </w:r>
            <w:r w:rsidRPr="005E28C0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年修订）</w:t>
            </w:r>
            <w:r w:rsidRPr="005E28C0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– </w:t>
            </w:r>
            <w:r w:rsidRPr="005E28C0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下届世界电信标准化全会（</w:t>
            </w:r>
            <w:r w:rsidRPr="005E28C0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WTSA-20</w:t>
            </w:r>
            <w:r w:rsidRPr="005E28C0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）的召开</w:t>
            </w:r>
          </w:p>
        </w:tc>
        <w:tc>
          <w:tcPr>
            <w:tcW w:w="1365" w:type="dxa"/>
            <w:vAlign w:val="center"/>
          </w:tcPr>
          <w:p w14:paraId="58D45EB9" w14:textId="77777777" w:rsidR="00861F7E" w:rsidRPr="00861F7E" w:rsidRDefault="00906ECB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</w:pPr>
            <w:hyperlink r:id="rId18" w:history="1">
              <w:r w:rsidR="00861F7E" w:rsidRPr="00861F7E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  <w:lang w:eastAsia="zh-CN"/>
                </w:rPr>
                <w:t>C20/72</w:t>
              </w:r>
              <w:r w:rsidR="00861F7E" w:rsidRPr="00861F7E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  <w:lang w:eastAsia="zh-CN"/>
                </w:rPr>
                <w:br/>
                <w:t>(Rev.1)</w:t>
              </w:r>
            </w:hyperlink>
          </w:p>
        </w:tc>
      </w:tr>
      <w:tr w:rsidR="00861F7E" w:rsidRPr="00861F7E" w14:paraId="4EC7249D" w14:textId="77777777" w:rsidTr="0007756B">
        <w:trPr>
          <w:jc w:val="center"/>
        </w:trPr>
        <w:tc>
          <w:tcPr>
            <w:tcW w:w="8217" w:type="dxa"/>
            <w:vAlign w:val="center"/>
          </w:tcPr>
          <w:p w14:paraId="2A4BA151" w14:textId="49E706F6" w:rsidR="00861F7E" w:rsidRPr="00861F7E" w:rsidRDefault="002527BD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highlight w:val="yellow"/>
                <w:lang w:val="en-US" w:eastAsia="zh-CN"/>
              </w:rPr>
            </w:pPr>
            <w:r w:rsidRPr="002527B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第</w:t>
            </w:r>
            <w:r w:rsidRPr="002527B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611</w:t>
            </w:r>
            <w:r w:rsidRPr="002527B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号决定（</w:t>
            </w:r>
            <w:r w:rsidRPr="002527B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2020</w:t>
            </w:r>
            <w:r w:rsidRPr="002527B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zh-CN"/>
              </w:rPr>
              <w:t>年修订）</w:t>
            </w:r>
            <w:r w:rsidRPr="002527BD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–</w:t>
            </w:r>
            <w:r>
              <w:rPr>
                <w:sz w:val="20"/>
                <w:lang w:eastAsia="zh-CN"/>
              </w:rPr>
              <w:t xml:space="preserve"> </w:t>
            </w:r>
            <w:proofErr w:type="spellStart"/>
            <w:r w:rsidRPr="002E7ED2">
              <w:rPr>
                <w:rFonts w:ascii="SimSun" w:hAnsi="SimSun" w:cs="Microsoft YaHei" w:hint="eastAsia"/>
                <w:bCs/>
                <w:sz w:val="22"/>
                <w:szCs w:val="22"/>
                <w:lang w:eastAsia="zh-CN"/>
              </w:rPr>
              <w:t>第六届世界电信</w:t>
            </w:r>
            <w:proofErr w:type="spellEnd"/>
            <w:r w:rsidRPr="002E7ED2">
              <w:rPr>
                <w:rFonts w:ascii="SimSun" w:hAnsi="SimSun" w:cs="Microsoft YaHei" w:hint="eastAsia"/>
                <w:bCs/>
                <w:sz w:val="22"/>
                <w:szCs w:val="22"/>
                <w:lang w:eastAsia="zh-CN"/>
              </w:rPr>
              <w:t>/</w:t>
            </w:r>
            <w:proofErr w:type="spellStart"/>
            <w:r w:rsidRPr="002E7ED2">
              <w:rPr>
                <w:rFonts w:ascii="SimSun" w:hAnsi="SimSun" w:cs="Microsoft YaHei" w:hint="eastAsia"/>
                <w:bCs/>
                <w:sz w:val="22"/>
                <w:szCs w:val="22"/>
                <w:lang w:eastAsia="zh-CN"/>
              </w:rPr>
              <w:t>信息通信技术政策论坛</w:t>
            </w:r>
            <w:proofErr w:type="spellEnd"/>
          </w:p>
        </w:tc>
        <w:tc>
          <w:tcPr>
            <w:tcW w:w="1365" w:type="dxa"/>
            <w:vAlign w:val="center"/>
          </w:tcPr>
          <w:p w14:paraId="32785E51" w14:textId="2DF6EA82" w:rsidR="00861F7E" w:rsidRPr="00861F7E" w:rsidRDefault="00906ECB" w:rsidP="00861F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 w:after="60" w:line="259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</w:pPr>
            <w:hyperlink r:id="rId19" w:history="1">
              <w:r w:rsidR="00861F7E" w:rsidRPr="00861F7E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  <w:lang w:eastAsia="zh-CN"/>
                </w:rPr>
                <w:t>C20/81</w:t>
              </w:r>
            </w:hyperlink>
          </w:p>
        </w:tc>
      </w:tr>
      <w:bookmarkEnd w:id="3"/>
    </w:tbl>
    <w:p w14:paraId="2D9221F2" w14:textId="77777777" w:rsidR="00AC00A2" w:rsidRDefault="00AC00A2" w:rsidP="00AC00A2">
      <w:pPr>
        <w:pStyle w:val="ListParagraph"/>
        <w:ind w:left="0"/>
        <w:rPr>
          <w:lang w:val="en-US" w:eastAsia="zh-CN"/>
        </w:rPr>
      </w:pPr>
    </w:p>
    <w:p w14:paraId="0B2B54C9" w14:textId="5B858D7F" w:rsidR="00195FED" w:rsidRDefault="00B40A53" w:rsidP="00B45365">
      <w:pPr>
        <w:pStyle w:val="ListParagraph"/>
        <w:jc w:val="center"/>
        <w:rPr>
          <w:lang w:eastAsia="zh-CN"/>
        </w:rPr>
      </w:pPr>
      <w:r w:rsidRPr="00280EB8">
        <w:rPr>
          <w:lang w:val="en-US" w:eastAsia="zh-CN"/>
        </w:rPr>
        <w:t>________________</w:t>
      </w:r>
    </w:p>
    <w:sectPr w:rsidR="00195FED" w:rsidSect="006C36CD">
      <w:headerReference w:type="default" r:id="rId20"/>
      <w:footerReference w:type="default" r:id="rId21"/>
      <w:footerReference w:type="first" r:id="rId2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F9A97" w14:textId="77777777" w:rsidR="008D479A" w:rsidRDefault="008D479A">
      <w:r>
        <w:separator/>
      </w:r>
    </w:p>
  </w:endnote>
  <w:endnote w:type="continuationSeparator" w:id="0">
    <w:p w14:paraId="7F9BD01E" w14:textId="77777777" w:rsidR="008D479A" w:rsidRDefault="008D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F5192" w14:textId="32392BB7" w:rsidR="00B40A53" w:rsidRPr="00906ECB" w:rsidRDefault="00906ECB" w:rsidP="00F705DF">
    <w:pPr>
      <w:pStyle w:val="Footer"/>
      <w:rPr>
        <w:color w:val="D9D9D9" w:themeColor="background1" w:themeShade="D9"/>
      </w:rPr>
    </w:pPr>
    <w:r w:rsidRPr="00906ECB">
      <w:rPr>
        <w:color w:val="D9D9D9" w:themeColor="background1" w:themeShade="D9"/>
      </w:rPr>
      <w:fldChar w:fldCharType="begin"/>
    </w:r>
    <w:r w:rsidRPr="00906ECB">
      <w:rPr>
        <w:color w:val="D9D9D9" w:themeColor="background1" w:themeShade="D9"/>
      </w:rPr>
      <w:instrText xml:space="preserve"> FILENAME \p  \* MERGEFORMAT </w:instrText>
    </w:r>
    <w:r w:rsidRPr="00906ECB">
      <w:rPr>
        <w:color w:val="D9D9D9" w:themeColor="background1" w:themeShade="D9"/>
      </w:rPr>
      <w:fldChar w:fldCharType="separate"/>
    </w:r>
    <w:r w:rsidR="007807C6" w:rsidRPr="00906ECB">
      <w:rPr>
        <w:color w:val="D9D9D9" w:themeColor="background1" w:themeShade="D9"/>
      </w:rPr>
      <w:t>P:\CHI\SG\CONSEIL\C20\000\086C.docx</w:t>
    </w:r>
    <w:r w:rsidRPr="00906ECB">
      <w:rPr>
        <w:color w:val="D9D9D9" w:themeColor="background1" w:themeShade="D9"/>
      </w:rPr>
      <w:fldChar w:fldCharType="end"/>
    </w:r>
    <w:r w:rsidR="00861F7E" w:rsidRPr="00906ECB">
      <w:rPr>
        <w:color w:val="D9D9D9" w:themeColor="background1" w:themeShade="D9"/>
      </w:rPr>
      <w:t xml:space="preserve"> (</w:t>
    </w:r>
    <w:r w:rsidR="00861F7E" w:rsidRPr="00906ECB">
      <w:rPr>
        <w:rFonts w:hint="eastAsia"/>
        <w:color w:val="D9D9D9" w:themeColor="background1" w:themeShade="D9"/>
        <w:lang w:eastAsia="zh-CN"/>
      </w:rPr>
      <w:t>481265</w:t>
    </w:r>
    <w:r w:rsidR="00861F7E" w:rsidRPr="00906ECB">
      <w:rPr>
        <w:color w:val="D9D9D9" w:themeColor="background1" w:themeShade="D9"/>
      </w:rPr>
      <w:t>)</w:t>
    </w:r>
    <w:r w:rsidR="00861F7E" w:rsidRPr="00906ECB">
      <w:rPr>
        <w:color w:val="D9D9D9" w:themeColor="background1" w:themeShade="D9"/>
      </w:rPr>
      <w:tab/>
    </w:r>
    <w:r w:rsidR="00861F7E" w:rsidRPr="00906ECB">
      <w:rPr>
        <w:color w:val="D9D9D9" w:themeColor="background1" w:themeShade="D9"/>
      </w:rPr>
      <w:fldChar w:fldCharType="begin"/>
    </w:r>
    <w:r w:rsidR="00861F7E" w:rsidRPr="00906ECB">
      <w:rPr>
        <w:color w:val="D9D9D9" w:themeColor="background1" w:themeShade="D9"/>
      </w:rPr>
      <w:instrText xml:space="preserve"> SAVEDATE \@ DD.MM.YY </w:instrText>
    </w:r>
    <w:r w:rsidR="00861F7E" w:rsidRPr="00906ECB">
      <w:rPr>
        <w:color w:val="D9D9D9" w:themeColor="background1" w:themeShade="D9"/>
      </w:rPr>
      <w:fldChar w:fldCharType="separate"/>
    </w:r>
    <w:r w:rsidRPr="00906ECB">
      <w:rPr>
        <w:color w:val="D9D9D9" w:themeColor="background1" w:themeShade="D9"/>
      </w:rPr>
      <w:t>05.01.21</w:t>
    </w:r>
    <w:r w:rsidR="00861F7E" w:rsidRPr="00906ECB">
      <w:rPr>
        <w:color w:val="D9D9D9" w:themeColor="background1" w:themeShade="D9"/>
      </w:rPr>
      <w:fldChar w:fldCharType="end"/>
    </w:r>
    <w:r w:rsidR="00861F7E" w:rsidRPr="00906ECB">
      <w:rPr>
        <w:color w:val="D9D9D9" w:themeColor="background1" w:themeShade="D9"/>
      </w:rPr>
      <w:tab/>
    </w:r>
    <w:r w:rsidR="00861F7E" w:rsidRPr="00906ECB">
      <w:rPr>
        <w:color w:val="D9D9D9" w:themeColor="background1" w:themeShade="D9"/>
      </w:rPr>
      <w:fldChar w:fldCharType="begin"/>
    </w:r>
    <w:r w:rsidR="00861F7E" w:rsidRPr="00906ECB">
      <w:rPr>
        <w:color w:val="D9D9D9" w:themeColor="background1" w:themeShade="D9"/>
      </w:rPr>
      <w:instrText xml:space="preserve"> PRINTDATE \@ DD.MM.YY </w:instrText>
    </w:r>
    <w:r w:rsidR="00861F7E" w:rsidRPr="00906ECB">
      <w:rPr>
        <w:color w:val="D9D9D9" w:themeColor="background1" w:themeShade="D9"/>
      </w:rPr>
      <w:fldChar w:fldCharType="separate"/>
    </w:r>
    <w:r w:rsidR="00861F7E" w:rsidRPr="00906ECB">
      <w:rPr>
        <w:color w:val="D9D9D9" w:themeColor="background1" w:themeShade="D9"/>
      </w:rPr>
      <w:t>24.02.15</w:t>
    </w:r>
    <w:r w:rsidR="00861F7E" w:rsidRPr="00906ECB">
      <w:rPr>
        <w:color w:val="D9D9D9" w:themeColor="background1" w:themeShade="D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DBFC3" w14:textId="7645CAE1" w:rsidR="00B40A53" w:rsidRPr="00906ECB" w:rsidRDefault="00AC516F" w:rsidP="00906ECB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03FA0" w14:textId="77777777" w:rsidR="008D479A" w:rsidRDefault="008D479A">
      <w:r>
        <w:t>____________________</w:t>
      </w:r>
    </w:p>
  </w:footnote>
  <w:footnote w:type="continuationSeparator" w:id="0">
    <w:p w14:paraId="7E998CA2" w14:textId="77777777" w:rsidR="008D479A" w:rsidRDefault="008D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2B18" w14:textId="77777777" w:rsidR="00AC516F" w:rsidRDefault="00AC516F" w:rsidP="00CE6F22">
    <w:pPr>
      <w:pStyle w:val="Header"/>
    </w:pPr>
    <w:r>
      <w:fldChar w:fldCharType="begin"/>
    </w:r>
    <w:r>
      <w:instrText>PAGE</w:instrText>
    </w:r>
    <w:r>
      <w:fldChar w:fldCharType="separate"/>
    </w:r>
    <w:r w:rsidR="00D453EE">
      <w:rPr>
        <w:noProof/>
      </w:rPr>
      <w:t>2</w:t>
    </w:r>
    <w:r>
      <w:rPr>
        <w:noProof/>
      </w:rPr>
      <w:fldChar w:fldCharType="end"/>
    </w:r>
  </w:p>
  <w:p w14:paraId="2835202C" w14:textId="4DDCE475" w:rsidR="00AC516F" w:rsidRDefault="0098459B" w:rsidP="00D453EE">
    <w:pPr>
      <w:pStyle w:val="Header"/>
      <w:rPr>
        <w:lang w:eastAsia="zh-CN"/>
      </w:rPr>
    </w:pPr>
    <w:r>
      <w:t>C</w:t>
    </w:r>
    <w:r w:rsidR="0009409E">
      <w:t>20</w:t>
    </w:r>
    <w:r w:rsidR="004672E6">
      <w:t>/</w:t>
    </w:r>
    <w:r w:rsidR="00861F7E">
      <w:rPr>
        <w:rFonts w:hint="eastAsia"/>
        <w:lang w:eastAsia="zh-CN"/>
      </w:rPr>
      <w:t>86</w:t>
    </w:r>
    <w:r w:rsidR="00AC516F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EAC5954"/>
    <w:multiLevelType w:val="hybridMultilevel"/>
    <w:tmpl w:val="48D0A3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9A"/>
    <w:rsid w:val="00001B77"/>
    <w:rsid w:val="0000517A"/>
    <w:rsid w:val="00031E72"/>
    <w:rsid w:val="000404D2"/>
    <w:rsid w:val="0007756B"/>
    <w:rsid w:val="000853C0"/>
    <w:rsid w:val="00091BF1"/>
    <w:rsid w:val="0009409E"/>
    <w:rsid w:val="000A1C21"/>
    <w:rsid w:val="000D15EA"/>
    <w:rsid w:val="00100D84"/>
    <w:rsid w:val="00114E1C"/>
    <w:rsid w:val="00124C9D"/>
    <w:rsid w:val="00157773"/>
    <w:rsid w:val="0018251A"/>
    <w:rsid w:val="00190272"/>
    <w:rsid w:val="00193244"/>
    <w:rsid w:val="00195C6C"/>
    <w:rsid w:val="00195FED"/>
    <w:rsid w:val="001A4BD6"/>
    <w:rsid w:val="001D5A18"/>
    <w:rsid w:val="001E1B5B"/>
    <w:rsid w:val="002527BD"/>
    <w:rsid w:val="00280EB8"/>
    <w:rsid w:val="00294ED5"/>
    <w:rsid w:val="002A6670"/>
    <w:rsid w:val="002E365C"/>
    <w:rsid w:val="002E7ED2"/>
    <w:rsid w:val="00303502"/>
    <w:rsid w:val="00325C25"/>
    <w:rsid w:val="00342D77"/>
    <w:rsid w:val="00372C8F"/>
    <w:rsid w:val="00380ECE"/>
    <w:rsid w:val="00393DDF"/>
    <w:rsid w:val="00397F55"/>
    <w:rsid w:val="003B4454"/>
    <w:rsid w:val="003C2E37"/>
    <w:rsid w:val="003F1415"/>
    <w:rsid w:val="0040144C"/>
    <w:rsid w:val="00403EB7"/>
    <w:rsid w:val="00430BF0"/>
    <w:rsid w:val="00462D31"/>
    <w:rsid w:val="004672E6"/>
    <w:rsid w:val="00470BFC"/>
    <w:rsid w:val="00474ED1"/>
    <w:rsid w:val="00493085"/>
    <w:rsid w:val="004A36EC"/>
    <w:rsid w:val="004B599E"/>
    <w:rsid w:val="004D163F"/>
    <w:rsid w:val="004E4BFF"/>
    <w:rsid w:val="004F2598"/>
    <w:rsid w:val="005403F7"/>
    <w:rsid w:val="00540632"/>
    <w:rsid w:val="00541CF4"/>
    <w:rsid w:val="005451E8"/>
    <w:rsid w:val="005507F2"/>
    <w:rsid w:val="00560C9A"/>
    <w:rsid w:val="005759CC"/>
    <w:rsid w:val="005A44F1"/>
    <w:rsid w:val="005A72E1"/>
    <w:rsid w:val="005C6632"/>
    <w:rsid w:val="005D1C9E"/>
    <w:rsid w:val="005E28C0"/>
    <w:rsid w:val="00654257"/>
    <w:rsid w:val="0065435A"/>
    <w:rsid w:val="006A2DD3"/>
    <w:rsid w:val="006A5AF8"/>
    <w:rsid w:val="006C36CD"/>
    <w:rsid w:val="00700D1F"/>
    <w:rsid w:val="007205CB"/>
    <w:rsid w:val="00726073"/>
    <w:rsid w:val="00734FE8"/>
    <w:rsid w:val="007360CE"/>
    <w:rsid w:val="00772315"/>
    <w:rsid w:val="00775157"/>
    <w:rsid w:val="007807C6"/>
    <w:rsid w:val="007813AE"/>
    <w:rsid w:val="007A37DB"/>
    <w:rsid w:val="007E189D"/>
    <w:rsid w:val="00811259"/>
    <w:rsid w:val="00813AA2"/>
    <w:rsid w:val="008173A3"/>
    <w:rsid w:val="008418F5"/>
    <w:rsid w:val="0086059C"/>
    <w:rsid w:val="00861F7E"/>
    <w:rsid w:val="00864589"/>
    <w:rsid w:val="00890AFB"/>
    <w:rsid w:val="00890FC4"/>
    <w:rsid w:val="00895905"/>
    <w:rsid w:val="008D479A"/>
    <w:rsid w:val="00906ECB"/>
    <w:rsid w:val="009164A9"/>
    <w:rsid w:val="009258CB"/>
    <w:rsid w:val="0093362E"/>
    <w:rsid w:val="00944563"/>
    <w:rsid w:val="00953160"/>
    <w:rsid w:val="009625D8"/>
    <w:rsid w:val="0098459B"/>
    <w:rsid w:val="00997185"/>
    <w:rsid w:val="009C2458"/>
    <w:rsid w:val="009C4A7B"/>
    <w:rsid w:val="009C6123"/>
    <w:rsid w:val="009F1E3E"/>
    <w:rsid w:val="00A1213C"/>
    <w:rsid w:val="00A272FF"/>
    <w:rsid w:val="00A5354B"/>
    <w:rsid w:val="00A71B57"/>
    <w:rsid w:val="00AB42C1"/>
    <w:rsid w:val="00AB569A"/>
    <w:rsid w:val="00AC00A2"/>
    <w:rsid w:val="00AC516F"/>
    <w:rsid w:val="00AE2926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C7821"/>
    <w:rsid w:val="00BD0D6F"/>
    <w:rsid w:val="00BD1A5A"/>
    <w:rsid w:val="00BD7A9B"/>
    <w:rsid w:val="00BD7BE1"/>
    <w:rsid w:val="00BF416B"/>
    <w:rsid w:val="00C64E4E"/>
    <w:rsid w:val="00C6623C"/>
    <w:rsid w:val="00C66E64"/>
    <w:rsid w:val="00C761A0"/>
    <w:rsid w:val="00C85F7E"/>
    <w:rsid w:val="00C90D53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83542"/>
    <w:rsid w:val="00D87948"/>
    <w:rsid w:val="00D92F45"/>
    <w:rsid w:val="00D94637"/>
    <w:rsid w:val="00D9725C"/>
    <w:rsid w:val="00DA7006"/>
    <w:rsid w:val="00DC6427"/>
    <w:rsid w:val="00DD66A1"/>
    <w:rsid w:val="00DE196D"/>
    <w:rsid w:val="00DF6B49"/>
    <w:rsid w:val="00E067C5"/>
    <w:rsid w:val="00E265BF"/>
    <w:rsid w:val="00E378D8"/>
    <w:rsid w:val="00E43A12"/>
    <w:rsid w:val="00E67C67"/>
    <w:rsid w:val="00E77476"/>
    <w:rsid w:val="00E8228B"/>
    <w:rsid w:val="00E931FE"/>
    <w:rsid w:val="00EE5706"/>
    <w:rsid w:val="00EF373D"/>
    <w:rsid w:val="00F11595"/>
    <w:rsid w:val="00F13BC9"/>
    <w:rsid w:val="00F357B2"/>
    <w:rsid w:val="00F36556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11FDAE4"/>
  <w15:docId w15:val="{AF6A80BE-37A0-4F60-BC2B-BD6ED7F1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table" w:customStyle="1" w:styleId="TableGrid1">
    <w:name w:val="Table Grid1"/>
    <w:basedOn w:val="TableNormal"/>
    <w:next w:val="TableGrid"/>
    <w:rsid w:val="00861F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20-CL-C-0071/en" TargetMode="External"/><Relationship Id="rId18" Type="http://schemas.openxmlformats.org/officeDocument/2006/relationships/hyperlink" Target="https://www.itu.int/md/S20-CL-C-0070/e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0-CL-C-0085/en" TargetMode="External"/><Relationship Id="rId17" Type="http://schemas.openxmlformats.org/officeDocument/2006/relationships/hyperlink" Target="https://www.itu.int/md/S20-CL-C-0070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S19-CL-C-0141/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0-CL-C-0082/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0-CL-C-0084/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md/S20-CL-C-0080/en" TargetMode="External"/><Relationship Id="rId19" Type="http://schemas.openxmlformats.org/officeDocument/2006/relationships/hyperlink" Target="https://www.itu.int/md/S20-CL-C-0081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0-CL-C-0069/en" TargetMode="External"/><Relationship Id="rId14" Type="http://schemas.openxmlformats.org/officeDocument/2006/relationships/hyperlink" Target="https://www.itu.int/md/S20-CL-C-0083/en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PC_C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PC_C20.dotx</Template>
  <TotalTime>1</TotalTime>
  <Pages>2</Pages>
  <Words>542</Words>
  <Characters>1110</Characters>
  <Application>Microsoft Office Word</Application>
  <DocSecurity>4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1649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Council 2018</dc:subject>
  <dc:creator>Kong, Hongli</dc:creator>
  <cp:keywords>C2018, C18</cp:keywords>
  <dc:description/>
  <cp:lastModifiedBy>Brouard, Ricarda</cp:lastModifiedBy>
  <cp:revision>2</cp:revision>
  <cp:lastPrinted>2015-02-24T13:23:00Z</cp:lastPrinted>
  <dcterms:created xsi:type="dcterms:W3CDTF">2021-01-07T09:34:00Z</dcterms:created>
  <dcterms:modified xsi:type="dcterms:W3CDTF">2021-01-07T09:34:00Z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