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C0201" w14:paraId="668F0A2D" w14:textId="77777777" w:rsidTr="00941B15">
        <w:trPr>
          <w:cantSplit/>
        </w:trPr>
        <w:tc>
          <w:tcPr>
            <w:tcW w:w="6912" w:type="dxa"/>
            <w:vAlign w:val="center"/>
          </w:tcPr>
          <w:p w14:paraId="2F3FEC78" w14:textId="581D7F13" w:rsidR="00093EEB" w:rsidRPr="005C0201" w:rsidRDefault="00B72AC9" w:rsidP="00941B15">
            <w:pPr>
              <w:spacing w:after="120"/>
              <w:rPr>
                <w:szCs w:val="24"/>
              </w:rPr>
            </w:pPr>
            <w:bookmarkStart w:id="0" w:name="lt_pId446"/>
            <w:bookmarkStart w:id="1" w:name="dbluepink" w:colFirst="0" w:colLast="0"/>
            <w:r w:rsidRPr="00DA1E57">
              <w:rPr>
                <w:b/>
                <w:bCs/>
                <w:position w:val="6"/>
                <w:sz w:val="28"/>
                <w:szCs w:val="28"/>
              </w:rPr>
              <w:t>Consejo 2020</w:t>
            </w:r>
            <w:r w:rsidRPr="00DA1E57">
              <w:rPr>
                <w:b/>
                <w:bCs/>
                <w:position w:val="6"/>
                <w:sz w:val="28"/>
                <w:szCs w:val="28"/>
              </w:rPr>
              <w:br/>
            </w:r>
            <w:r w:rsidRPr="004341CD">
              <w:rPr>
                <w:b/>
                <w:bCs/>
                <w:position w:val="6"/>
                <w:sz w:val="26"/>
                <w:szCs w:val="26"/>
              </w:rPr>
              <w:t xml:space="preserve">Consulta </w:t>
            </w:r>
            <w:r>
              <w:rPr>
                <w:b/>
                <w:bCs/>
                <w:position w:val="6"/>
                <w:sz w:val="26"/>
                <w:szCs w:val="26"/>
              </w:rPr>
              <w:t>por correspondencia</w:t>
            </w:r>
            <w:r w:rsidR="00941B15">
              <w:rPr>
                <w:b/>
                <w:bCs/>
                <w:position w:val="6"/>
                <w:sz w:val="26"/>
                <w:szCs w:val="26"/>
              </w:rPr>
              <w:br/>
            </w:r>
            <w:r>
              <w:rPr>
                <w:b/>
                <w:bCs/>
                <w:position w:val="6"/>
                <w:sz w:val="26"/>
                <w:szCs w:val="26"/>
              </w:rPr>
              <w:t>(31 de julio de 2020)</w:t>
            </w:r>
            <w:bookmarkEnd w:id="0"/>
          </w:p>
        </w:tc>
        <w:tc>
          <w:tcPr>
            <w:tcW w:w="3261" w:type="dxa"/>
          </w:tcPr>
          <w:p w14:paraId="425F8C1D" w14:textId="77777777" w:rsidR="00093EEB" w:rsidRPr="005C0201" w:rsidRDefault="007955DA" w:rsidP="007955DA">
            <w:pPr>
              <w:spacing w:before="0"/>
              <w:rPr>
                <w:szCs w:val="24"/>
              </w:rPr>
            </w:pPr>
            <w:bookmarkStart w:id="2" w:name="ditulogo"/>
            <w:bookmarkEnd w:id="2"/>
            <w:r w:rsidRPr="005C0201">
              <w:rPr>
                <w:noProof/>
              </w:rPr>
              <w:drawing>
                <wp:inline distT="0" distB="0" distL="0" distR="0" wp14:anchorId="42F1CD77" wp14:editId="51642C4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5C0201" w14:paraId="73FC8C5E" w14:textId="77777777">
        <w:trPr>
          <w:cantSplit/>
          <w:trHeight w:val="20"/>
        </w:trPr>
        <w:tc>
          <w:tcPr>
            <w:tcW w:w="10173" w:type="dxa"/>
            <w:gridSpan w:val="2"/>
            <w:tcBorders>
              <w:bottom w:val="single" w:sz="12" w:space="0" w:color="auto"/>
            </w:tcBorders>
          </w:tcPr>
          <w:p w14:paraId="188651CB" w14:textId="77777777" w:rsidR="00093EEB" w:rsidRPr="005C0201" w:rsidRDefault="00093EEB">
            <w:pPr>
              <w:spacing w:before="0"/>
              <w:rPr>
                <w:b/>
                <w:bCs/>
                <w:szCs w:val="24"/>
              </w:rPr>
            </w:pPr>
          </w:p>
        </w:tc>
      </w:tr>
      <w:tr w:rsidR="00093EEB" w:rsidRPr="005C0201" w14:paraId="2D3C211F" w14:textId="77777777">
        <w:trPr>
          <w:cantSplit/>
          <w:trHeight w:val="20"/>
        </w:trPr>
        <w:tc>
          <w:tcPr>
            <w:tcW w:w="6912" w:type="dxa"/>
            <w:tcBorders>
              <w:top w:val="single" w:sz="12" w:space="0" w:color="auto"/>
            </w:tcBorders>
          </w:tcPr>
          <w:p w14:paraId="3AA1F81F" w14:textId="77777777" w:rsidR="00093EEB" w:rsidRPr="005C0201"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2B88E68" w14:textId="77777777" w:rsidR="00093EEB" w:rsidRPr="005C0201" w:rsidRDefault="00093EEB">
            <w:pPr>
              <w:spacing w:before="0"/>
              <w:rPr>
                <w:b/>
                <w:bCs/>
                <w:szCs w:val="24"/>
              </w:rPr>
            </w:pPr>
          </w:p>
        </w:tc>
      </w:tr>
      <w:tr w:rsidR="00F77B29" w:rsidRPr="005C0201" w14:paraId="49BE5E0D" w14:textId="77777777">
        <w:trPr>
          <w:cantSplit/>
          <w:trHeight w:val="20"/>
        </w:trPr>
        <w:tc>
          <w:tcPr>
            <w:tcW w:w="6912" w:type="dxa"/>
            <w:shd w:val="clear" w:color="auto" w:fill="auto"/>
          </w:tcPr>
          <w:p w14:paraId="76CF671E" w14:textId="2352283D" w:rsidR="00F77B29" w:rsidRPr="005C0201" w:rsidRDefault="00F77B29" w:rsidP="00F77B29">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14:paraId="0DB3E755" w14:textId="263530FF" w:rsidR="00F77B29" w:rsidRPr="005C0201" w:rsidRDefault="00EA2CCB" w:rsidP="00F77B29">
            <w:pPr>
              <w:spacing w:before="0"/>
              <w:rPr>
                <w:rFonts w:cs="Calibri"/>
                <w:b/>
                <w:bCs/>
                <w:szCs w:val="24"/>
              </w:rPr>
            </w:pPr>
            <w:r>
              <w:rPr>
                <w:rFonts w:cs="Calibri"/>
                <w:b/>
                <w:bCs/>
                <w:szCs w:val="24"/>
              </w:rPr>
              <w:t xml:space="preserve">Corrigendum 1 al </w:t>
            </w:r>
            <w:r>
              <w:rPr>
                <w:rFonts w:cs="Calibri"/>
                <w:b/>
                <w:bCs/>
                <w:szCs w:val="24"/>
              </w:rPr>
              <w:br/>
            </w:r>
            <w:r w:rsidR="00F77B29" w:rsidRPr="005C0201">
              <w:rPr>
                <w:rFonts w:cs="Calibri"/>
                <w:b/>
                <w:bCs/>
                <w:szCs w:val="24"/>
              </w:rPr>
              <w:t>Documento C20/</w:t>
            </w:r>
            <w:r w:rsidR="00B72AC9">
              <w:rPr>
                <w:rFonts w:cs="Calibri"/>
                <w:b/>
                <w:bCs/>
                <w:szCs w:val="24"/>
              </w:rPr>
              <w:t>69</w:t>
            </w:r>
            <w:r w:rsidR="00F77B29" w:rsidRPr="005C0201">
              <w:rPr>
                <w:rFonts w:cs="Calibri"/>
                <w:b/>
                <w:bCs/>
                <w:szCs w:val="24"/>
              </w:rPr>
              <w:t>-S</w:t>
            </w:r>
          </w:p>
        </w:tc>
      </w:tr>
      <w:tr w:rsidR="00F77B29" w:rsidRPr="005C0201" w14:paraId="050063AE" w14:textId="77777777">
        <w:trPr>
          <w:cantSplit/>
          <w:trHeight w:val="20"/>
        </w:trPr>
        <w:tc>
          <w:tcPr>
            <w:tcW w:w="6912" w:type="dxa"/>
            <w:shd w:val="clear" w:color="auto" w:fill="auto"/>
          </w:tcPr>
          <w:p w14:paraId="272AFF14" w14:textId="77777777" w:rsidR="00F77B29" w:rsidRPr="005C0201" w:rsidRDefault="00F77B29" w:rsidP="00F77B29">
            <w:pPr>
              <w:shd w:val="solid" w:color="FFFFFF" w:fill="FFFFFF"/>
              <w:spacing w:before="0"/>
              <w:rPr>
                <w:smallCaps/>
                <w:szCs w:val="24"/>
              </w:rPr>
            </w:pPr>
            <w:bookmarkStart w:id="5" w:name="ddate" w:colFirst="1" w:colLast="1"/>
            <w:bookmarkEnd w:id="3"/>
            <w:bookmarkEnd w:id="4"/>
          </w:p>
        </w:tc>
        <w:tc>
          <w:tcPr>
            <w:tcW w:w="3261" w:type="dxa"/>
          </w:tcPr>
          <w:p w14:paraId="37885A63" w14:textId="60FFB51C" w:rsidR="00F77B29" w:rsidRPr="005C0201" w:rsidRDefault="00EA2CCB" w:rsidP="00F77B29">
            <w:pPr>
              <w:spacing w:before="0"/>
              <w:rPr>
                <w:rFonts w:cs="Calibri"/>
                <w:b/>
                <w:bCs/>
                <w:szCs w:val="24"/>
              </w:rPr>
            </w:pPr>
            <w:r>
              <w:rPr>
                <w:rFonts w:cs="Calibri"/>
                <w:b/>
                <w:bCs/>
                <w:szCs w:val="24"/>
              </w:rPr>
              <w:t>22</w:t>
            </w:r>
            <w:r w:rsidR="00F77B29" w:rsidRPr="005C0201">
              <w:rPr>
                <w:rFonts w:cs="Calibri"/>
                <w:b/>
                <w:bCs/>
                <w:szCs w:val="24"/>
              </w:rPr>
              <w:t xml:space="preserve"> de </w:t>
            </w:r>
            <w:r>
              <w:rPr>
                <w:rFonts w:cs="Calibri"/>
                <w:b/>
                <w:bCs/>
                <w:szCs w:val="24"/>
              </w:rPr>
              <w:t xml:space="preserve">febrero </w:t>
            </w:r>
            <w:r w:rsidR="00F77B29" w:rsidRPr="005C0201">
              <w:rPr>
                <w:rFonts w:cs="Calibri"/>
                <w:b/>
                <w:bCs/>
                <w:szCs w:val="24"/>
              </w:rPr>
              <w:t>de 202</w:t>
            </w:r>
            <w:r>
              <w:rPr>
                <w:rFonts w:cs="Calibri"/>
                <w:b/>
                <w:bCs/>
                <w:szCs w:val="24"/>
              </w:rPr>
              <w:t>3</w:t>
            </w:r>
          </w:p>
        </w:tc>
      </w:tr>
      <w:tr w:rsidR="00F77B29" w:rsidRPr="005C0201" w14:paraId="52D5E9D7" w14:textId="77777777">
        <w:trPr>
          <w:cantSplit/>
          <w:trHeight w:val="20"/>
        </w:trPr>
        <w:tc>
          <w:tcPr>
            <w:tcW w:w="6912" w:type="dxa"/>
            <w:shd w:val="clear" w:color="auto" w:fill="auto"/>
          </w:tcPr>
          <w:p w14:paraId="7AFCCA45" w14:textId="77777777" w:rsidR="00F77B29" w:rsidRPr="005C0201" w:rsidRDefault="00F77B29" w:rsidP="00F77B29">
            <w:pPr>
              <w:shd w:val="solid" w:color="FFFFFF" w:fill="FFFFFF"/>
              <w:spacing w:before="0"/>
              <w:rPr>
                <w:smallCaps/>
                <w:szCs w:val="24"/>
              </w:rPr>
            </w:pPr>
            <w:bookmarkStart w:id="6" w:name="dorlang" w:colFirst="1" w:colLast="1"/>
            <w:bookmarkEnd w:id="5"/>
          </w:p>
        </w:tc>
        <w:tc>
          <w:tcPr>
            <w:tcW w:w="3261" w:type="dxa"/>
          </w:tcPr>
          <w:p w14:paraId="4EE8C4E2" w14:textId="77777777" w:rsidR="00F77B29" w:rsidRPr="005C0201" w:rsidRDefault="00F77B29" w:rsidP="00F77B29">
            <w:pPr>
              <w:spacing w:before="0"/>
              <w:rPr>
                <w:rFonts w:cs="Calibri"/>
                <w:b/>
                <w:bCs/>
                <w:szCs w:val="24"/>
              </w:rPr>
            </w:pPr>
            <w:r w:rsidRPr="005C0201">
              <w:rPr>
                <w:rFonts w:cs="Calibri"/>
                <w:b/>
                <w:bCs/>
                <w:szCs w:val="24"/>
              </w:rPr>
              <w:t>Original: inglés</w:t>
            </w:r>
          </w:p>
        </w:tc>
      </w:tr>
    </w:tbl>
    <w:bookmarkEnd w:id="1"/>
    <w:bookmarkEnd w:id="6"/>
    <w:p w14:paraId="6C163DA3" w14:textId="68972A4F" w:rsidR="00F77B29" w:rsidRPr="005C0201" w:rsidRDefault="00F77B29" w:rsidP="00DB69D9">
      <w:pPr>
        <w:pStyle w:val="ResNo"/>
      </w:pPr>
      <w:r w:rsidRPr="005C0201">
        <w:t>RESOLUCIÓN</w:t>
      </w:r>
      <w:r w:rsidR="00B72AC9">
        <w:t xml:space="preserve"> 1399</w:t>
      </w:r>
    </w:p>
    <w:p w14:paraId="5CCA88A4" w14:textId="45ECA2A4" w:rsidR="00B72AC9" w:rsidRPr="00B72AC9" w:rsidRDefault="00B72AC9" w:rsidP="00DB69D9">
      <w:pPr>
        <w:pStyle w:val="Restitle"/>
        <w:rPr>
          <w:b w:val="0"/>
          <w:bCs/>
        </w:rPr>
      </w:pPr>
      <w:r w:rsidRPr="00B72AC9">
        <w:rPr>
          <w:b w:val="0"/>
          <w:bCs/>
          <w:szCs w:val="28"/>
        </w:rPr>
        <w:t xml:space="preserve">(adoptada </w:t>
      </w:r>
      <w:r>
        <w:rPr>
          <w:b w:val="0"/>
          <w:bCs/>
          <w:szCs w:val="28"/>
        </w:rPr>
        <w:t>por correspondencia</w:t>
      </w:r>
      <w:r w:rsidRPr="00B72AC9">
        <w:rPr>
          <w:b w:val="0"/>
          <w:bCs/>
          <w:szCs w:val="28"/>
        </w:rPr>
        <w:t>)</w:t>
      </w:r>
      <w:r w:rsidR="00960527">
        <w:rPr>
          <w:b w:val="0"/>
          <w:bCs/>
          <w:szCs w:val="28"/>
        </w:rPr>
        <w:br/>
      </w:r>
    </w:p>
    <w:p w14:paraId="2C478D47" w14:textId="4CD3E0A4" w:rsidR="00F77B29" w:rsidRPr="005C0201" w:rsidRDefault="00F77B29" w:rsidP="00DB69D9">
      <w:pPr>
        <w:pStyle w:val="Restitle"/>
      </w:pPr>
      <w:r w:rsidRPr="005C0201">
        <w:t>Orden del día de la Conferencia Mundial</w:t>
      </w:r>
      <w:r w:rsidR="0087146D" w:rsidRPr="005C0201">
        <w:t xml:space="preserve"> </w:t>
      </w:r>
      <w:r w:rsidRPr="005C0201">
        <w:t xml:space="preserve">de Radiocomunicaciones </w:t>
      </w:r>
      <w:r w:rsidR="00EA2CCB">
        <w:br/>
      </w:r>
      <w:r w:rsidRPr="005C0201">
        <w:t>(CMR-23)</w:t>
      </w:r>
    </w:p>
    <w:p w14:paraId="7DE2A323" w14:textId="77777777" w:rsidR="00EA2CCB" w:rsidRDefault="00EA2CCB" w:rsidP="00DB69D9">
      <w:pPr>
        <w:pStyle w:val="Normalaftertitle"/>
      </w:pPr>
    </w:p>
    <w:p w14:paraId="6AD21B30" w14:textId="2966504E" w:rsidR="00EA2CCB" w:rsidRDefault="00EA2CCB" w:rsidP="00DB69D9">
      <w:pPr>
        <w:pStyle w:val="Normalaftertitle"/>
      </w:pPr>
      <w:r w:rsidRPr="00EA2CCB">
        <w:t xml:space="preserve">El Documento C20/69 no recogía las correcciones finales efectuadas por la Comisión de Redacción </w:t>
      </w:r>
      <w:r>
        <w:t xml:space="preserve">en </w:t>
      </w:r>
      <w:r w:rsidRPr="00EA2CCB">
        <w:t xml:space="preserve">la Resolución 811 (CMR-19) al </w:t>
      </w:r>
      <w:r>
        <w:t>ultimar</w:t>
      </w:r>
      <w:r w:rsidRPr="00EA2CCB">
        <w:t xml:space="preserve"> las Actas Finales de la CMR-19. Por consiguiente, se adjunta la Resolución 1399 del Consejo modificada, en la que se recogen dichas correcciones.</w:t>
      </w:r>
    </w:p>
    <w:p w14:paraId="0439C561" w14:textId="3755D249" w:rsidR="00EA2CCB" w:rsidRDefault="00EA2CCB">
      <w:pPr>
        <w:tabs>
          <w:tab w:val="clear" w:pos="567"/>
          <w:tab w:val="clear" w:pos="1134"/>
          <w:tab w:val="clear" w:pos="1701"/>
          <w:tab w:val="clear" w:pos="2268"/>
          <w:tab w:val="clear" w:pos="2835"/>
        </w:tabs>
        <w:overflowPunct/>
        <w:autoSpaceDE/>
        <w:autoSpaceDN/>
        <w:adjustRightInd/>
        <w:spacing w:before="0"/>
        <w:textAlignment w:val="auto"/>
      </w:pPr>
      <w:r>
        <w:br w:type="page"/>
      </w:r>
    </w:p>
    <w:p w14:paraId="766367E3" w14:textId="4746F88B" w:rsidR="00EA2CCB" w:rsidRPr="005C0201" w:rsidRDefault="00EA2CCB" w:rsidP="00EA2CCB">
      <w:pPr>
        <w:pStyle w:val="ResNo"/>
      </w:pPr>
      <w:r w:rsidRPr="005C0201">
        <w:lastRenderedPageBreak/>
        <w:t>RESOLUCIÓN</w:t>
      </w:r>
      <w:r>
        <w:t xml:space="preserve"> 1399 (C20)</w:t>
      </w:r>
    </w:p>
    <w:p w14:paraId="21DEF36D" w14:textId="08B9BBB3" w:rsidR="00EA2CCB" w:rsidRPr="005C0201" w:rsidRDefault="00EA2CCB" w:rsidP="00EA2CCB">
      <w:pPr>
        <w:pStyle w:val="Restitle"/>
      </w:pPr>
      <w:r w:rsidRPr="005C0201">
        <w:t xml:space="preserve">Orden del día de la Conferencia Mundial de Radiocomunicaciones </w:t>
      </w:r>
      <w:r>
        <w:br/>
      </w:r>
      <w:r w:rsidRPr="005C0201">
        <w:t>(CMR-23)</w:t>
      </w:r>
    </w:p>
    <w:p w14:paraId="5003A865" w14:textId="3795ADD0" w:rsidR="00F77B29" w:rsidRPr="005C0201" w:rsidRDefault="00F77B29" w:rsidP="00DB69D9">
      <w:pPr>
        <w:pStyle w:val="Normalaftertitle"/>
      </w:pPr>
      <w:r w:rsidRPr="005C0201">
        <w:t>El Consejo de la UIT,</w:t>
      </w:r>
    </w:p>
    <w:p w14:paraId="37600F19" w14:textId="77777777" w:rsidR="00F77B29" w:rsidRPr="005C0201" w:rsidRDefault="00F77B29" w:rsidP="0087146D">
      <w:pPr>
        <w:pStyle w:val="Call"/>
      </w:pPr>
      <w:r w:rsidRPr="005C0201">
        <w:t>observando</w:t>
      </w:r>
    </w:p>
    <w:p w14:paraId="7B2FF4D7" w14:textId="77777777" w:rsidR="00F77B29" w:rsidRPr="005C0201" w:rsidRDefault="00F77B29" w:rsidP="00F77B29">
      <w:r w:rsidRPr="005C0201">
        <w:t>que en la Resolución 811 de la Conferencia Mundial de Radiocomunicaciones (Sharm el-Sheikh, 2019):</w:t>
      </w:r>
    </w:p>
    <w:p w14:paraId="79D0D63C" w14:textId="77777777" w:rsidR="00F77B29" w:rsidRPr="005C0201" w:rsidRDefault="00F77B29" w:rsidP="00F77B29">
      <w:r w:rsidRPr="005C0201">
        <w:rPr>
          <w:i/>
          <w:iCs/>
        </w:rPr>
        <w:t>a)</w:t>
      </w:r>
      <w:r w:rsidRPr="005C0201">
        <w:tab/>
        <w:t>se resuelve recomendar al Consejo la celebración de una Conferencia Mundial de Radiocomunicaciones en 2023 con una duración máxima de cuatro semanas;</w:t>
      </w:r>
    </w:p>
    <w:p w14:paraId="5BB7BEFF" w14:textId="77777777" w:rsidR="00F77B29" w:rsidRPr="005C0201" w:rsidRDefault="00F77B29" w:rsidP="00F77B29">
      <w:r w:rsidRPr="005C0201">
        <w:rPr>
          <w:i/>
          <w:iCs/>
        </w:rPr>
        <w:t>b)</w:t>
      </w:r>
      <w:r w:rsidRPr="005C0201">
        <w:tab/>
        <w:t>se formulan recomendaciones sobre su orden del día, y se invita al Consejo a finalizar el orden del día, a tomar las disposiciones oportunas para convocar la CMR-23, y a iniciar lo antes posible las correspondientes consultas con los Estados Miembros,</w:t>
      </w:r>
    </w:p>
    <w:p w14:paraId="33271893" w14:textId="77777777" w:rsidR="00F77B29" w:rsidRPr="005C0201" w:rsidRDefault="00F77B29" w:rsidP="0087146D">
      <w:pPr>
        <w:pStyle w:val="Call"/>
      </w:pPr>
      <w:r w:rsidRPr="005C0201">
        <w:t>resuelve</w:t>
      </w:r>
    </w:p>
    <w:p w14:paraId="7DE6945E" w14:textId="77777777" w:rsidR="00F77B29" w:rsidRPr="005C0201" w:rsidRDefault="00F77B29" w:rsidP="00F77B29">
      <w:r w:rsidRPr="005C0201">
        <w:t>convocar una Conferencia Mundial de Radiocomunicaciones (CMR-23) en 2023, precedida de una Asamblea de Radiocomunicaciones, con el siguiente orden del día:</w:t>
      </w:r>
    </w:p>
    <w:p w14:paraId="6C07A440" w14:textId="77777777" w:rsidR="00EA2CCB" w:rsidRDefault="00EA2CCB" w:rsidP="00EA2CCB">
      <w:pPr>
        <w:rPr>
          <w:rFonts w:ascii="Times New Roman" w:hAnsi="Times New Roman"/>
          <w:i/>
          <w:iCs/>
        </w:rPr>
      </w:pPr>
      <w:r>
        <w:t>1</w:t>
      </w:r>
      <w:r>
        <w:tab/>
        <w:t>sobre la base de las propuestas de las administraciones, teniendo en cuenta los resultados de la CMR-19 y del Informe de la Reunión Preparatoria de la Conferencia, y con la debida consideración a las necesidades de servicios existentes y futuros en las bandas de frecuencias, considerar y tomar las medidas adecuadas con respecto a los temas siguientes:</w:t>
      </w:r>
    </w:p>
    <w:p w14:paraId="7C352874" w14:textId="7F5119A4" w:rsidR="00EA2CCB" w:rsidRDefault="00EA2CCB" w:rsidP="00EA2CCB">
      <w:r>
        <w:t>1.1</w:t>
      </w:r>
      <w:r>
        <w:tab/>
        <w:t>considerar, basándose en los resultados de los estudios del UIT-R para la banda de frecuencias 4 800-4 990 MHz, posibles medidas de protección de las estaciones del servicio móvil aeronáutico y marítimo situadas en aguas internacionales y en el espacio aéreo internacional contra otras estaciones situadas en territorios nacionales, y revisar los criterios de densidad de flujo de potencia del número</w:t>
      </w:r>
      <w:r w:rsidR="00960527">
        <w:t> </w:t>
      </w:r>
      <w:r>
        <w:rPr>
          <w:b/>
          <w:bCs/>
        </w:rPr>
        <w:t>5.441B</w:t>
      </w:r>
      <w:r>
        <w:t xml:space="preserve">, de conformidad con la Resolución </w:t>
      </w:r>
      <w:r>
        <w:rPr>
          <w:b/>
          <w:bCs/>
        </w:rPr>
        <w:t>223</w:t>
      </w:r>
      <w:r>
        <w:rPr>
          <w:b/>
        </w:rPr>
        <w:t xml:space="preserve"> (Rev.CMR-19)</w:t>
      </w:r>
      <w:r>
        <w:t>;</w:t>
      </w:r>
    </w:p>
    <w:p w14:paraId="1E5DD810" w14:textId="77777777" w:rsidR="00EA2CCB" w:rsidRDefault="00EA2CCB" w:rsidP="00EA2CCB">
      <w:pPr>
        <w:rPr>
          <w:bCs/>
        </w:rPr>
      </w:pPr>
      <w:r>
        <w:rPr>
          <w:bCs/>
        </w:rPr>
        <w:t>1.2</w:t>
      </w:r>
      <w:r>
        <w:rPr>
          <w:bCs/>
        </w:rPr>
        <w:tab/>
        <w:t xml:space="preserve">considerar la identificación de las bandas de frecuencias 3 300-3 400 MHz, 3 600-3 800 MHz, 6 425-7 025 MHz, 7 025-7 125 MHz y 10,0-10,5 GHz para las Telecomunicaciones Móviles Internacionales (IMT), incluidas posibles atribuciones adicionales al servicio móvil a título primario, de conformidad con la Resolución </w:t>
      </w:r>
      <w:r>
        <w:rPr>
          <w:b/>
        </w:rPr>
        <w:t>245 (CMR-19)</w:t>
      </w:r>
      <w:r>
        <w:rPr>
          <w:bCs/>
        </w:rPr>
        <w:t>;</w:t>
      </w:r>
    </w:p>
    <w:p w14:paraId="1136A346" w14:textId="77777777" w:rsidR="00EA2CCB" w:rsidRDefault="00EA2CCB" w:rsidP="00EA2CCB">
      <w:pPr>
        <w:rPr>
          <w:bCs/>
        </w:rPr>
      </w:pPr>
      <w:r>
        <w:rPr>
          <w:bCs/>
        </w:rPr>
        <w:t>1.3</w:t>
      </w:r>
      <w:r>
        <w:rPr>
          <w:bCs/>
        </w:rPr>
        <w:tab/>
        <w:t xml:space="preserve">considerar la atribución a título primario de la banda de frecuencias 3 600-3 800 MHz al servicio móvil en la Región 1 y la adopción de las medidas reglamentarias convenientes, de conformidad con la Resolución </w:t>
      </w:r>
      <w:r>
        <w:rPr>
          <w:b/>
        </w:rPr>
        <w:t>246 (CMR-19)</w:t>
      </w:r>
      <w:r>
        <w:rPr>
          <w:bCs/>
        </w:rPr>
        <w:t>;</w:t>
      </w:r>
    </w:p>
    <w:p w14:paraId="5D2987BC" w14:textId="09600B6C" w:rsidR="00EA2CCB" w:rsidRDefault="00EA2CCB" w:rsidP="00EA2CCB">
      <w:r>
        <w:rPr>
          <w:bCs/>
        </w:rPr>
        <w:t>1.4</w:t>
      </w:r>
      <w:r>
        <w:rPr>
          <w:b/>
        </w:rPr>
        <w:tab/>
      </w:r>
      <w:r>
        <w:t>considerar, de conformidad con la Resolución </w:t>
      </w:r>
      <w:r>
        <w:rPr>
          <w:b/>
          <w:bCs/>
        </w:rPr>
        <w:t xml:space="preserve">247 </w:t>
      </w:r>
      <w:r>
        <w:rPr>
          <w:b/>
        </w:rPr>
        <w:t>(CMR-19)</w:t>
      </w:r>
      <w:r>
        <w:t xml:space="preserve">, la utilización de estaciones en plataformas a gran altitud como estaciones base IMT (HIBS) del servicio móvil en ciertas bandas </w:t>
      </w:r>
      <w:r>
        <w:rPr>
          <w:bCs/>
        </w:rPr>
        <w:t xml:space="preserve">de frecuencias </w:t>
      </w:r>
      <w:r>
        <w:t>por debajo de 2,7</w:t>
      </w:r>
      <w:r w:rsidR="00960527">
        <w:t> </w:t>
      </w:r>
      <w:r>
        <w:t>GHz ya identificadas para las IMT, a nivel mundial o regional;</w:t>
      </w:r>
    </w:p>
    <w:p w14:paraId="1D4912C9" w14:textId="77777777" w:rsidR="00EA2CCB" w:rsidRDefault="00EA2CCB" w:rsidP="00EA2CCB">
      <w:r>
        <w:rPr>
          <w:bCs/>
        </w:rPr>
        <w:t>1.5</w:t>
      </w:r>
      <w:r>
        <w:rPr>
          <w:b/>
        </w:rPr>
        <w:tab/>
      </w:r>
      <w:r>
        <w:t>examinar la utilización del espectro y las necesidades de espectro de los servicios existentes en la banda de frecuencias 470-960 MHz en la Región 1 y considerar posibles medidas reglamentarias para la banda de frecuencias 470</w:t>
      </w:r>
      <w:r>
        <w:noBreakHyphen/>
        <w:t>694 MHz en la Región 1 a partir del examen previsto en la Resolución </w:t>
      </w:r>
      <w:r>
        <w:rPr>
          <w:b/>
          <w:bCs/>
        </w:rPr>
        <w:t>235</w:t>
      </w:r>
      <w:r>
        <w:t xml:space="preserve"> </w:t>
      </w:r>
      <w:r>
        <w:rPr>
          <w:b/>
          <w:bCs/>
        </w:rPr>
        <w:t>(CMR</w:t>
      </w:r>
      <w:r>
        <w:rPr>
          <w:b/>
          <w:bCs/>
        </w:rPr>
        <w:noBreakHyphen/>
        <w:t>15)</w:t>
      </w:r>
      <w:r>
        <w:t>;</w:t>
      </w:r>
    </w:p>
    <w:p w14:paraId="17627A8B" w14:textId="77777777" w:rsidR="00EA2CCB" w:rsidRDefault="00EA2CCB" w:rsidP="00EA2CCB">
      <w:r>
        <w:t>1.6</w:t>
      </w:r>
      <w:r>
        <w:tab/>
        <w:t>considerar, de conformidad con la Resolución </w:t>
      </w:r>
      <w:r>
        <w:rPr>
          <w:b/>
        </w:rPr>
        <w:t>772</w:t>
      </w:r>
      <w:r>
        <w:rPr>
          <w:b/>
          <w:bCs/>
        </w:rPr>
        <w:t xml:space="preserve"> (CMR</w:t>
      </w:r>
      <w:r>
        <w:rPr>
          <w:b/>
          <w:bCs/>
        </w:rPr>
        <w:noBreakHyphen/>
        <w:t>19)</w:t>
      </w:r>
      <w:r>
        <w:t>, disposiciones reglamentarias destinadas a facilitar las radiocomunicaciones para vehículos suborbitales;</w:t>
      </w:r>
    </w:p>
    <w:p w14:paraId="3803F1F3" w14:textId="77777777" w:rsidR="00EA2CCB" w:rsidRDefault="00EA2CCB" w:rsidP="00EA2CCB">
      <w:r>
        <w:lastRenderedPageBreak/>
        <w:t>1.7</w:t>
      </w:r>
      <w:r>
        <w:tab/>
        <w:t>considerar la posibilidad de efectuar una nueva atribución al servicio móvil aeronáutico (R) por satélite de conformidad con la Resolución </w:t>
      </w:r>
      <w:r>
        <w:rPr>
          <w:b/>
        </w:rPr>
        <w:t>428</w:t>
      </w:r>
      <w:r>
        <w:t xml:space="preserve"> </w:t>
      </w:r>
      <w:r>
        <w:rPr>
          <w:b/>
          <w:bCs/>
        </w:rPr>
        <w:t>(CMR-19)</w:t>
      </w:r>
      <w:r>
        <w:t>, tanto para el sentido Tierra-espacio como espacio-Tierra, de las comunicaciones aeronáuticas en ondas métricas en toda la banda de frecuencias 117,975-137 MHz, o en parte de la misma, sin imponer restricciones indebidas a los sistemas en ondas métricas existentes del servicio móvil aeronáutico (R), el servicio de radionavegación aeronáutica y en bandas adyacentes;</w:t>
      </w:r>
    </w:p>
    <w:p w14:paraId="0A65CDC0" w14:textId="77777777" w:rsidR="00EA2CCB" w:rsidRDefault="00EA2CCB" w:rsidP="00EA2CCB">
      <w:r>
        <w:t>1.8</w:t>
      </w:r>
      <w:r>
        <w:tab/>
        <w:t>considerar, basándose en los estudios del UIT-R previstos en la Resolución </w:t>
      </w:r>
      <w:r>
        <w:rPr>
          <w:b/>
        </w:rPr>
        <w:t>171 (CMR</w:t>
      </w:r>
      <w:r>
        <w:rPr>
          <w:b/>
        </w:rPr>
        <w:noBreakHyphen/>
        <w:t>19)</w:t>
      </w:r>
      <w:r>
        <w:t>, medidas regulatorias adecuadas para examinar y, de ser necesario, enmendar la Resolución </w:t>
      </w:r>
      <w:r>
        <w:rPr>
          <w:b/>
        </w:rPr>
        <w:t>155 (Rev.CMR-19)</w:t>
      </w:r>
      <w:r>
        <w:t xml:space="preserve"> y el número </w:t>
      </w:r>
      <w:r>
        <w:rPr>
          <w:b/>
        </w:rPr>
        <w:t>5.484B</w:t>
      </w:r>
      <w:r>
        <w:t xml:space="preserve"> del RR con objeto de permitir la utilización de redes del servicio fijo por satélite para el control y las comunicaciones sin carga útil de sistemas de aeronaves no tripuladas;</w:t>
      </w:r>
    </w:p>
    <w:p w14:paraId="7E92E363" w14:textId="77777777" w:rsidR="00EA2CCB" w:rsidRDefault="00EA2CCB" w:rsidP="00EA2CCB">
      <w:r>
        <w:t>1.9</w:t>
      </w:r>
      <w:r>
        <w:tab/>
        <w:t>revisar el Apéndice </w:t>
      </w:r>
      <w:r>
        <w:rPr>
          <w:b/>
          <w:bCs/>
        </w:rPr>
        <w:t>27</w:t>
      </w:r>
      <w:r>
        <w:t xml:space="preserve"> del Reglamento de Radiocomunicaciones y considerar las medidas reglamentarias y actualizaciones adecuadas basadas en los estudios del UIT-R, a fin de incorporar las tecnologías digitales para aplicaciones relacionadas con la seguridad de la vida en la aviación comercial en las actuales bandas de ondas decamétricas atribuidas al servicio móvil aeronáutico (R) y garantizar la coexistencia de los actuales sistemas de ondas decamétricas con los sistemas de ondas decamétricas modernos, de conformidad con la Resolución</w:t>
      </w:r>
      <w:r>
        <w:rPr>
          <w:b/>
        </w:rPr>
        <w:t xml:space="preserve"> 429 (CMR</w:t>
      </w:r>
      <w:r>
        <w:rPr>
          <w:b/>
        </w:rPr>
        <w:noBreakHyphen/>
        <w:t>19)</w:t>
      </w:r>
      <w:r>
        <w:t>;</w:t>
      </w:r>
    </w:p>
    <w:p w14:paraId="642A4659" w14:textId="77777777" w:rsidR="00EA2CCB" w:rsidRDefault="00EA2CCB" w:rsidP="00EA2CCB">
      <w:r>
        <w:t>1.10</w:t>
      </w:r>
      <w:r>
        <w:tab/>
        <w:t>realizar estudios sobre las necesidades de espectro, la coexistencia con los servicios de radiocomunicaciones y las medidas reglamentarias para posibles nuevas atribuciones al servicio móvil aeronáutico para la utilización de aplicaciones móviles aeronáuticas no relacionadas con la seguridad, de conformidad con la Resolución </w:t>
      </w:r>
      <w:r>
        <w:rPr>
          <w:b/>
          <w:bCs/>
        </w:rPr>
        <w:t>430 (CMR-19)</w:t>
      </w:r>
      <w:r>
        <w:t>;</w:t>
      </w:r>
    </w:p>
    <w:p w14:paraId="44D9A810" w14:textId="77777777" w:rsidR="00EA2CCB" w:rsidRDefault="00EA2CCB" w:rsidP="00EA2CCB">
      <w:r>
        <w:rPr>
          <w:bCs/>
        </w:rPr>
        <w:t>1.11</w:t>
      </w:r>
      <w:r>
        <w:rPr>
          <w:b/>
        </w:rPr>
        <w:tab/>
      </w:r>
      <w:r>
        <w:t>considerar las posibles medidas reglamentarias para facilitar la modernización del Sistema Mundial de Socorro y Seguridad Marítimos y la implementación de la navegación electrónica, de conformidad con la Resolución </w:t>
      </w:r>
      <w:r>
        <w:rPr>
          <w:b/>
          <w:bCs/>
        </w:rPr>
        <w:t>361 (Rev.CMR-19)</w:t>
      </w:r>
      <w:r>
        <w:t>;</w:t>
      </w:r>
    </w:p>
    <w:p w14:paraId="6D113E95" w14:textId="77777777" w:rsidR="00EA2CCB" w:rsidRDefault="00EA2CCB" w:rsidP="00EA2CCB">
      <w:pPr>
        <w:rPr>
          <w:b/>
          <w:bCs/>
        </w:rPr>
      </w:pPr>
      <w:r>
        <w:t>1.12</w:t>
      </w:r>
      <w:r>
        <w:tab/>
        <w:t>realizar y completar, a tiempo para la CMR</w:t>
      </w:r>
      <w:r>
        <w:noBreakHyphen/>
        <w:t xml:space="preserve">23, estudios sobre una posible nueva atribución secundaria al servicio de exploración de la Tierra por satélite (activo) para sondas de radar aerotransportadas en la gama de frecuencias alrededor de 45 MHz, teniendo en cuenta la protección de los servicios existentes, incluidas las bandas </w:t>
      </w:r>
      <w:r>
        <w:rPr>
          <w:bCs/>
        </w:rPr>
        <w:t xml:space="preserve">de frecuencias </w:t>
      </w:r>
      <w:r>
        <w:t>adyacentes, de conformidad con la Resolución </w:t>
      </w:r>
      <w:r>
        <w:rPr>
          <w:b/>
          <w:bCs/>
        </w:rPr>
        <w:t>656 (Rev.CMR-19)</w:t>
      </w:r>
      <w:r>
        <w:t>;</w:t>
      </w:r>
    </w:p>
    <w:p w14:paraId="499AD2FD" w14:textId="77777777" w:rsidR="00EA2CCB" w:rsidRDefault="00EA2CCB" w:rsidP="00EA2CCB">
      <w:r>
        <w:t>1.13</w:t>
      </w:r>
      <w:r>
        <w:tab/>
        <w:t xml:space="preserve">considerar la posible elevación de la categoría de la atribución al servicio de investigación espacial en la banda </w:t>
      </w:r>
      <w:r>
        <w:rPr>
          <w:bCs/>
        </w:rPr>
        <w:t xml:space="preserve">de frecuencias </w:t>
      </w:r>
      <w:r>
        <w:t>14,8-15,35 GHz, de conformidad con la Resolución </w:t>
      </w:r>
      <w:r>
        <w:rPr>
          <w:b/>
          <w:bCs/>
        </w:rPr>
        <w:t>661 (CMR</w:t>
      </w:r>
      <w:r>
        <w:rPr>
          <w:b/>
          <w:bCs/>
        </w:rPr>
        <w:noBreakHyphen/>
        <w:t>19)</w:t>
      </w:r>
      <w:r>
        <w:t>;</w:t>
      </w:r>
    </w:p>
    <w:p w14:paraId="539D0D4C" w14:textId="77777777" w:rsidR="00EA2CCB" w:rsidRDefault="00EA2CCB" w:rsidP="00EA2CCB">
      <w:r>
        <w:t>1.14</w:t>
      </w:r>
      <w:r>
        <w:tab/>
        <w:t xml:space="preserve">examinar y considerar posibles ajustes de las atribuciones de frecuencias existentes o posibles nuevas atribuciones de frecuencias a título primario al servicio de exploración de la Tierra por satélite (pasivo) en la gama de frecuencias 231,5-252 GHz, con el fin de garantizar la armonización de los requisitos más recientes para la observación por teledetección, de conformidad con la Resolución </w:t>
      </w:r>
      <w:r>
        <w:rPr>
          <w:b/>
          <w:bCs/>
        </w:rPr>
        <w:t>662 (CMR-19)</w:t>
      </w:r>
      <w:r>
        <w:t>;</w:t>
      </w:r>
    </w:p>
    <w:p w14:paraId="5BE49D47" w14:textId="638B8FF9" w:rsidR="00EA2CCB" w:rsidRDefault="00EA2CCB" w:rsidP="00EA2CCB">
      <w:r>
        <w:t>1.15</w:t>
      </w:r>
      <w:r>
        <w:tab/>
        <w:t>armonizar a escala mundial la utilización de la banda de frecuencias 12,75</w:t>
      </w:r>
      <w:r>
        <w:noBreakHyphen/>
        <w:t>13,25 GHz (Tierra-espacio) por las estaciones terrenas a bordo de aeronaves y barcos que se comunican con estaciones espaciales geoestacionarias del servicio fijo por satélite, de conformidad con la Resolución </w:t>
      </w:r>
      <w:r>
        <w:rPr>
          <w:b/>
        </w:rPr>
        <w:t>172 (CMR-19)</w:t>
      </w:r>
      <w:r>
        <w:t>;</w:t>
      </w:r>
    </w:p>
    <w:p w14:paraId="6C729F22" w14:textId="180A5C81" w:rsidR="00EA2CCB" w:rsidRDefault="00EA2CCB" w:rsidP="00941B15">
      <w:pPr>
        <w:keepNext/>
        <w:keepLines/>
      </w:pPr>
      <w:r>
        <w:lastRenderedPageBreak/>
        <w:t>1.16</w:t>
      </w:r>
      <w:r>
        <w:tab/>
        <w:t>estudiar y desarrollar medidas técnicas, operativas y reglamentarias, según proceda, para facilitar la utilización de las bandas de frecuencias 17,7</w:t>
      </w:r>
      <w:r>
        <w:noBreakHyphen/>
        <w:t>18,6 GHz</w:t>
      </w:r>
      <w:r w:rsidR="00285052">
        <w:t>,</w:t>
      </w:r>
      <w:r>
        <w:t xml:space="preserve"> 18,8</w:t>
      </w:r>
      <w:r>
        <w:noBreakHyphen/>
        <w:t>19,3 GHz y 19,7</w:t>
      </w:r>
      <w:r>
        <w:noBreakHyphen/>
        <w:t>20,2 GHz (espacio</w:t>
      </w:r>
      <w:r>
        <w:noBreakHyphen/>
        <w:t xml:space="preserve">Tierra) y </w:t>
      </w:r>
      <w:r>
        <w:rPr>
          <w:rFonts w:eastAsia="SimSun"/>
        </w:rPr>
        <w:t>27,5</w:t>
      </w:r>
      <w:r>
        <w:rPr>
          <w:rFonts w:eastAsia="SimSun"/>
        </w:rPr>
        <w:noBreakHyphen/>
        <w:t>29,1 GHz y 29,5</w:t>
      </w:r>
      <w:r>
        <w:rPr>
          <w:rFonts w:eastAsia="SimSun"/>
        </w:rPr>
        <w:noBreakHyphen/>
        <w:t>30 GHz (Tierra-espacio)</w:t>
      </w:r>
      <w:r>
        <w:t xml:space="preserve"> por las estaciones terrenas en movimiento no geoestacionarias del servicio fijo por satélite, garantizando a su vez la debida protección de los servicios existentes en dichas bandas de frecuencias, de conformidad con la Resolución </w:t>
      </w:r>
      <w:r>
        <w:rPr>
          <w:b/>
          <w:bCs/>
        </w:rPr>
        <w:t>173 (CMR</w:t>
      </w:r>
      <w:r>
        <w:rPr>
          <w:b/>
          <w:bCs/>
        </w:rPr>
        <w:noBreakHyphen/>
        <w:t>19)</w:t>
      </w:r>
      <w:r>
        <w:t>;</w:t>
      </w:r>
    </w:p>
    <w:p w14:paraId="044FBC3D" w14:textId="77777777" w:rsidR="00EA2CCB" w:rsidRDefault="00EA2CCB" w:rsidP="00EA2CCB">
      <w:r>
        <w:t>1.17</w:t>
      </w:r>
      <w:r>
        <w:tab/>
        <w:t>determinar y tomar, basándose en los estudios del UIT-R previstos en la Resolución </w:t>
      </w:r>
      <w:r>
        <w:rPr>
          <w:b/>
        </w:rPr>
        <w:t>773 (CMR-19)</w:t>
      </w:r>
      <w:r>
        <w:t>,</w:t>
      </w:r>
      <w:r>
        <w:rPr>
          <w:b/>
        </w:rPr>
        <w:t xml:space="preserve"> </w:t>
      </w:r>
      <w:r>
        <w:t>las medidas reglamentarias apropiadas para el establecimiento de enlaces entre satélites en bandas de frecuencias específicas o partes de las mismas, mediante una nueva atribución al servicio entre satélites donde corresponda;</w:t>
      </w:r>
    </w:p>
    <w:p w14:paraId="01F51E65" w14:textId="77777777" w:rsidR="00EA2CCB" w:rsidRDefault="00EA2CCB" w:rsidP="00EA2CCB">
      <w:r>
        <w:rPr>
          <w:bCs/>
        </w:rPr>
        <w:t>1.18</w:t>
      </w:r>
      <w:r>
        <w:rPr>
          <w:bCs/>
        </w:rPr>
        <w:tab/>
        <w:t>considerar la posibilidad de realizar estudios relativos a las necesidades de espectro del servicio móvil por satélite, así como la posibilidad de otorgarle nuevas atribuciones, para el desarrollo futuro de sistemas móviles por satélite de banda estrecha, de conformidad con la Resolución </w:t>
      </w:r>
      <w:r>
        <w:rPr>
          <w:b/>
          <w:bCs/>
        </w:rPr>
        <w:t>248 (CMR-19)</w:t>
      </w:r>
      <w:r>
        <w:rPr>
          <w:bCs/>
        </w:rPr>
        <w:t>;</w:t>
      </w:r>
    </w:p>
    <w:p w14:paraId="339BBEF1" w14:textId="77777777" w:rsidR="00EA2CCB" w:rsidRDefault="00EA2CCB" w:rsidP="00EA2CCB">
      <w:r>
        <w:rPr>
          <w:bCs/>
        </w:rPr>
        <w:t>1.19</w:t>
      </w:r>
      <w:r>
        <w:rPr>
          <w:b/>
        </w:rPr>
        <w:tab/>
      </w:r>
      <w:r>
        <w:t>considerar una nueva atribución a título primario al servicio fijo por satélite en el sentido espacio-Tierra en la banda de frecuencias 17,3-17,7 GHz en la Región 2, protegiendo a su vez los servicios primarios existentes en la banda, de conformidad con la Resolución </w:t>
      </w:r>
      <w:r>
        <w:rPr>
          <w:b/>
          <w:bCs/>
        </w:rPr>
        <w:t>174 (CMR</w:t>
      </w:r>
      <w:r>
        <w:rPr>
          <w:b/>
          <w:bCs/>
        </w:rPr>
        <w:noBreakHyphen/>
        <w:t>19)</w:t>
      </w:r>
      <w:r>
        <w:t>;</w:t>
      </w:r>
    </w:p>
    <w:p w14:paraId="78F8EA82" w14:textId="77777777" w:rsidR="00EA2CCB" w:rsidRDefault="00EA2CCB" w:rsidP="00EA2CCB">
      <w:r>
        <w:t>2</w:t>
      </w:r>
      <w:r>
        <w:tab/>
        <w:t>examinar las Recomendaciones UIT</w:t>
      </w:r>
      <w:r>
        <w:noBreakHyphen/>
        <w:t xml:space="preserve">R revisadas e incorporadas por referencia en el Reglamento de Radiocomunicaciones, comunicadas por la Asamblea de Radiocomunicaciones de acuerdo con el </w:t>
      </w:r>
      <w:r>
        <w:rPr>
          <w:i/>
          <w:iCs/>
        </w:rPr>
        <w:t>resuelve además</w:t>
      </w:r>
      <w:r>
        <w:t xml:space="preserve"> de la Resolución </w:t>
      </w:r>
      <w:r>
        <w:rPr>
          <w:b/>
          <w:bCs/>
        </w:rPr>
        <w:t>27 (Rev.CMR-19</w:t>
      </w:r>
      <w:r>
        <w:t xml:space="preserve">), y decidir si se actualizan o no las referencias correspondientes en el Reglamento de Radiocomunicaciones, con arreglo a los principios contenidos en el </w:t>
      </w:r>
      <w:r>
        <w:rPr>
          <w:i/>
          <w:iCs/>
        </w:rPr>
        <w:t>resuelve</w:t>
      </w:r>
      <w:r>
        <w:t xml:space="preserve"> de esa Resolución;</w:t>
      </w:r>
    </w:p>
    <w:p w14:paraId="00496E99" w14:textId="77777777" w:rsidR="00EA2CCB" w:rsidRDefault="00EA2CCB" w:rsidP="00EA2CCB">
      <w:r>
        <w:t>3</w:t>
      </w:r>
      <w:r>
        <w:tab/>
        <w:t>examinar los cambios y las modificaciones consiguientes en el Reglamento de Radiocomunicaciones que requieran las decisiones de la Conferencia;</w:t>
      </w:r>
    </w:p>
    <w:p w14:paraId="1C249051" w14:textId="77777777" w:rsidR="00EA2CCB" w:rsidRDefault="00EA2CCB" w:rsidP="00EA2CCB">
      <w:pPr>
        <w:rPr>
          <w:rStyle w:val="BRNormal"/>
        </w:rPr>
      </w:pPr>
      <w:r>
        <w:t>4</w:t>
      </w:r>
      <w:r>
        <w:rPr>
          <w:rStyle w:val="BRNormal"/>
        </w:rPr>
        <w:tab/>
        <w:t>de conformidad con la Resolución </w:t>
      </w:r>
      <w:r>
        <w:rPr>
          <w:rStyle w:val="BRNormal"/>
          <w:b/>
          <w:bCs/>
        </w:rPr>
        <w:t>95 (Rev.CMR-19)</w:t>
      </w:r>
      <w:r>
        <w:rPr>
          <w:rStyle w:val="BRNormal"/>
        </w:rPr>
        <w:t>, considerar las Resoluciones y Recomendaciones de las conferencias anteriores para su posible revisión, sustitución o supresión;</w:t>
      </w:r>
    </w:p>
    <w:p w14:paraId="41C137C3" w14:textId="77777777" w:rsidR="00EA2CCB" w:rsidRDefault="00EA2CCB" w:rsidP="00EA2CCB">
      <w:pPr>
        <w:rPr>
          <w:rStyle w:val="BRNormal"/>
        </w:rPr>
      </w:pPr>
      <w:r>
        <w:rPr>
          <w:rStyle w:val="BRNormal"/>
        </w:rPr>
        <w:t>5</w:t>
      </w:r>
      <w:r>
        <w:rPr>
          <w:rStyle w:val="BRNormal"/>
        </w:rPr>
        <w:tab/>
        <w:t>examinar el Informe de la Asamblea de Radiocomunicaciones presentado con arreglo a los números 135 y 136 del Convenio de la UIT, y tomar las medidas adecuadas al respecto;</w:t>
      </w:r>
    </w:p>
    <w:p w14:paraId="2C850EE1" w14:textId="77777777" w:rsidR="00EA2CCB" w:rsidRDefault="00EA2CCB" w:rsidP="00EA2CCB">
      <w:pPr>
        <w:rPr>
          <w:rStyle w:val="BRNormal"/>
        </w:rPr>
      </w:pPr>
      <w:r>
        <w:rPr>
          <w:rStyle w:val="BRNormal"/>
        </w:rPr>
        <w:t>6</w:t>
      </w:r>
      <w:r>
        <w:rPr>
          <w:rStyle w:val="BRNormal"/>
        </w:rPr>
        <w:tab/>
        <w:t>identificar los temas que exigen medidas urgentes de las Comisiones de Estudio de Radiocomunicaciones para la preparación de la próxima Conferencia Mundial de Radiocomunicaciones;</w:t>
      </w:r>
    </w:p>
    <w:p w14:paraId="07989BD1" w14:textId="77777777" w:rsidR="00EA2CCB" w:rsidRDefault="00EA2CCB" w:rsidP="00EA2CCB">
      <w:r>
        <w:rPr>
          <w:rStyle w:val="BRNormal"/>
        </w:rPr>
        <w:t>7</w:t>
      </w:r>
      <w:r>
        <w:rPr>
          <w:rStyle w:val="BRNormal"/>
        </w:rPr>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Pr>
          <w:rStyle w:val="BRNormal"/>
          <w:b/>
          <w:bCs/>
        </w:rPr>
        <w:t>86 (Rev.CMR-07</w:t>
      </w:r>
      <w:r>
        <w:rPr>
          <w:rStyle w:val="Artdef"/>
        </w:rPr>
        <w:t>)</w:t>
      </w:r>
      <w:r>
        <w:rPr>
          <w:rStyle w:val="Artdef"/>
          <w:bCs/>
        </w:rPr>
        <w:t xml:space="preserve">, </w:t>
      </w:r>
      <w:r>
        <w:t>para facilitar el uso</w:t>
      </w:r>
      <w:r>
        <w:rPr>
          <w:rStyle w:val="Artdef"/>
          <w:bCs/>
        </w:rPr>
        <w:t xml:space="preserve"> </w:t>
      </w:r>
      <w:r>
        <w:t>racional, eficiente y económico de las radiofrecuencias y órbitas asociadas, incluida la órbita de los satélites geoestacionarios;</w:t>
      </w:r>
    </w:p>
    <w:p w14:paraId="049E5EBF" w14:textId="77777777" w:rsidR="00EA2CCB" w:rsidRDefault="00EA2CCB" w:rsidP="00EA2CCB">
      <w:r>
        <w:t>8</w:t>
      </w:r>
      <w:r>
        <w:tab/>
        <w:t xml:space="preserve">examinar las peticiones de las administraciones de suprimir las notas de sus países o de que se suprima el nombre de sus países de las notas, cuando ya no sea necesario, teniendo en cuenta la Resolución </w:t>
      </w:r>
      <w:r>
        <w:rPr>
          <w:b/>
          <w:bCs/>
        </w:rPr>
        <w:t>26 (</w:t>
      </w:r>
      <w:r>
        <w:rPr>
          <w:rStyle w:val="BRNormal"/>
          <w:b/>
          <w:bCs/>
        </w:rPr>
        <w:t>Rev.CMR-19</w:t>
      </w:r>
      <w:r>
        <w:rPr>
          <w:b/>
          <w:bCs/>
        </w:rPr>
        <w:t>)</w:t>
      </w:r>
      <w:r>
        <w:t>, y adoptar las medidas oportunas al respecto;</w:t>
      </w:r>
    </w:p>
    <w:p w14:paraId="4842F1A8" w14:textId="39D574C9" w:rsidR="00EA2CCB" w:rsidRDefault="00EA2CCB" w:rsidP="00941B15">
      <w:pPr>
        <w:keepNext/>
        <w:keepLines/>
      </w:pPr>
      <w:r>
        <w:lastRenderedPageBreak/>
        <w:t>9</w:t>
      </w:r>
      <w:r>
        <w:tab/>
        <w:t>examinar y aprobar el Informe del Director de la Oficina de Radiocomunicaciones, de conformidad con el Artículo 7 del Convenio de la UIT:</w:t>
      </w:r>
    </w:p>
    <w:p w14:paraId="4B3D9598" w14:textId="77777777" w:rsidR="00EA2CCB" w:rsidRDefault="00EA2CCB" w:rsidP="00941B15">
      <w:pPr>
        <w:keepNext/>
        <w:keepLines/>
      </w:pPr>
      <w:r>
        <w:t>9.1</w:t>
      </w:r>
      <w:r>
        <w:tab/>
        <w:t>sobre las actividades del Sector de Radiocomunicaciones de la UIT desde la CMR</w:t>
      </w:r>
      <w:r>
        <w:noBreakHyphen/>
        <w:t>19;</w:t>
      </w:r>
    </w:p>
    <w:p w14:paraId="14A0C0B6" w14:textId="77777777" w:rsidR="00EA2CCB" w:rsidRDefault="00EA2CCB" w:rsidP="00EA2CCB">
      <w:pPr>
        <w:pStyle w:val="enumlev1"/>
      </w:pPr>
      <w:r>
        <w:t>–</w:t>
      </w:r>
      <w:r>
        <w:tab/>
        <w:t>examinar, de conformidad con la Resolución </w:t>
      </w:r>
      <w:r>
        <w:rPr>
          <w:b/>
          <w:bCs/>
        </w:rPr>
        <w:t>657 (Rev.CMR-19)</w:t>
      </w:r>
      <w:r>
        <w:t>, los resultados de los estudios relativos a las características técnicas y operativas, las necesidades de espectro y las adecuadas designaciones de servicio radioeléctrico para los sensores meteorológicos espaciales, con el fin de proporcionar el reconocimiento y protección adecuados en el Reglamento de Radiocomunicaciones, sin imponer restricciones adicionales a los servicios existentes;</w:t>
      </w:r>
    </w:p>
    <w:p w14:paraId="760DCD72" w14:textId="067D6F86" w:rsidR="00EA2CCB" w:rsidRDefault="00EA2CCB" w:rsidP="00EA2CCB">
      <w:pPr>
        <w:pStyle w:val="enumlev1"/>
        <w:rPr>
          <w:bCs/>
        </w:rPr>
      </w:pPr>
      <w:r>
        <w:t>–</w:t>
      </w:r>
      <w:r>
        <w:tab/>
        <w:t>revisar las atribuciones al servicio de aficionados y al servicio de aficionados por satélite en la banda de frecuencias 1 240</w:t>
      </w:r>
      <w:r>
        <w:noBreakHyphen/>
        <w:t>1 300</w:t>
      </w:r>
      <w:r w:rsidR="00941B15">
        <w:t> </w:t>
      </w:r>
      <w:r>
        <w:t>MHz con el fin de determinar si son necesarias medidas adicionales para garantizar la protección del servicio de radionavegación por satélite (espacio-Tierra) que funciona en la misma banda, de conformidad con la Resolución</w:t>
      </w:r>
      <w:r w:rsidR="00941B15">
        <w:t> </w:t>
      </w:r>
      <w:r>
        <w:rPr>
          <w:b/>
        </w:rPr>
        <w:t>774 (CMR-19)</w:t>
      </w:r>
      <w:r>
        <w:rPr>
          <w:bCs/>
        </w:rPr>
        <w:t>;</w:t>
      </w:r>
    </w:p>
    <w:p w14:paraId="0A8F8B9F" w14:textId="77777777" w:rsidR="00EA2CCB" w:rsidRDefault="00EA2CCB" w:rsidP="00EA2CCB">
      <w:pPr>
        <w:pStyle w:val="enumlev1"/>
      </w:pPr>
      <w:r>
        <w:rPr>
          <w:bCs/>
        </w:rPr>
        <w:t>–</w:t>
      </w:r>
      <w:r>
        <w:rPr>
          <w:bCs/>
        </w:rPr>
        <w:tab/>
        <w:t xml:space="preserve">estudiar la utilización de los sistemas de telecomunicaciones móviles internacionales para la banda ancha inalámbrica fija en las bandas de frecuencias atribuidas al servicio fijo a título primario, de conformidad con la Resolución </w:t>
      </w:r>
      <w:r>
        <w:rPr>
          <w:b/>
          <w:bCs/>
        </w:rPr>
        <w:t>175 (CMR-19)</w:t>
      </w:r>
      <w:r>
        <w:rPr>
          <w:bCs/>
        </w:rPr>
        <w:t>;</w:t>
      </w:r>
    </w:p>
    <w:p w14:paraId="3FEC1A52" w14:textId="77777777" w:rsidR="00EA2CCB" w:rsidRDefault="00EA2CCB" w:rsidP="00EA2CCB">
      <w:r>
        <w:t>9.2</w:t>
      </w:r>
      <w:r>
        <w:tab/>
        <w:t>sobre las dificultades o incoherencias observadas en la aplicación del Reglamento de Radiocomunicaciones;</w:t>
      </w:r>
      <w:r>
        <w:rPr>
          <w:rStyle w:val="FootnoteReference"/>
        </w:rPr>
        <w:footnoteReference w:customMarkFollows="1" w:id="1"/>
        <w:t>1</w:t>
      </w:r>
      <w:r>
        <w:t xml:space="preserve"> y</w:t>
      </w:r>
    </w:p>
    <w:p w14:paraId="5FBA812C" w14:textId="77777777" w:rsidR="00EA2CCB" w:rsidRDefault="00EA2CCB" w:rsidP="00EA2CCB">
      <w:pPr>
        <w:rPr>
          <w:rStyle w:val="BRNormal"/>
        </w:rPr>
      </w:pPr>
      <w:r>
        <w:t>9.3</w:t>
      </w:r>
      <w:r>
        <w:tab/>
        <w:t xml:space="preserve">sobre acciones en respuesta a la Resolución </w:t>
      </w:r>
      <w:r>
        <w:rPr>
          <w:b/>
          <w:bCs/>
        </w:rPr>
        <w:t>80 (</w:t>
      </w:r>
      <w:r>
        <w:rPr>
          <w:rStyle w:val="BRNormal"/>
          <w:b/>
          <w:bCs/>
        </w:rPr>
        <w:t>Rev.CMR-07</w:t>
      </w:r>
      <w:r>
        <w:t>);</w:t>
      </w:r>
    </w:p>
    <w:p w14:paraId="10FA5678" w14:textId="1BD45580" w:rsidR="00EA2CCB" w:rsidRDefault="00EA2CCB" w:rsidP="00EA2CCB">
      <w:r>
        <w:t>10</w:t>
      </w:r>
      <w:r>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Pr>
          <w:b/>
          <w:bCs/>
        </w:rPr>
        <w:t>804 (Rev.CMR-19)</w:t>
      </w:r>
      <w:r>
        <w:t>.</w:t>
      </w:r>
    </w:p>
    <w:p w14:paraId="14C253D3" w14:textId="77777777" w:rsidR="0087146D" w:rsidRPr="005C0201" w:rsidRDefault="0087146D" w:rsidP="00941B15"/>
    <w:p w14:paraId="7E169227" w14:textId="77777777" w:rsidR="0087146D" w:rsidRPr="005C0201" w:rsidRDefault="0087146D" w:rsidP="0087146D">
      <w:pPr>
        <w:jc w:val="center"/>
      </w:pPr>
      <w:r w:rsidRPr="005C0201">
        <w:t>______________</w:t>
      </w:r>
    </w:p>
    <w:sectPr w:rsidR="0087146D" w:rsidRPr="005C0201"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B2D4" w14:textId="77777777" w:rsidR="006E429B" w:rsidRDefault="006E429B">
      <w:r>
        <w:separator/>
      </w:r>
    </w:p>
  </w:endnote>
  <w:endnote w:type="continuationSeparator" w:id="0">
    <w:p w14:paraId="599E479C" w14:textId="77777777" w:rsidR="006E429B" w:rsidRDefault="006E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F62C" w14:textId="7A7621B5" w:rsidR="00C1709F" w:rsidRDefault="00C1709F">
    <w:pPr>
      <w:pStyle w:val="Footer"/>
    </w:pPr>
    <w:r w:rsidRPr="00985C81">
      <w:rPr>
        <w:color w:val="D9D9D9" w:themeColor="background1" w:themeShade="D9"/>
      </w:rPr>
      <w:fldChar w:fldCharType="begin"/>
    </w:r>
    <w:r w:rsidRPr="00985C81">
      <w:rPr>
        <w:color w:val="D9D9D9" w:themeColor="background1" w:themeShade="D9"/>
        <w:lang w:val="fr-CH"/>
      </w:rPr>
      <w:instrText xml:space="preserve"> FILENAME \p \* MERGEFORMAT </w:instrText>
    </w:r>
    <w:r w:rsidRPr="00985C81">
      <w:rPr>
        <w:color w:val="D9D9D9" w:themeColor="background1" w:themeShade="D9"/>
      </w:rPr>
      <w:fldChar w:fldCharType="separate"/>
    </w:r>
    <w:r w:rsidRPr="00985C81">
      <w:rPr>
        <w:color w:val="D9D9D9" w:themeColor="background1" w:themeShade="D9"/>
        <w:lang w:val="fr-CH"/>
      </w:rPr>
      <w:t>P:\ESP\ITU-T\COM-T\COM03\C\078S.docx</w:t>
    </w:r>
    <w:r w:rsidRPr="00985C81">
      <w:rPr>
        <w:color w:val="D9D9D9" w:themeColor="background1" w:themeShade="D9"/>
      </w:rPr>
      <w:fldChar w:fldCharType="end"/>
    </w:r>
    <w:r w:rsidRPr="00985C81">
      <w:rPr>
        <w:color w:val="D9D9D9" w:themeColor="background1" w:themeShade="D9"/>
      </w:rPr>
      <w:t xml:space="preserve"> (518997)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46FD"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EC83A" w14:textId="77777777" w:rsidR="006E429B" w:rsidRDefault="006E429B">
      <w:r>
        <w:t>____________________</w:t>
      </w:r>
    </w:p>
  </w:footnote>
  <w:footnote w:type="continuationSeparator" w:id="0">
    <w:p w14:paraId="7FC69084" w14:textId="77777777" w:rsidR="006E429B" w:rsidRDefault="006E429B">
      <w:r>
        <w:continuationSeparator/>
      </w:r>
    </w:p>
  </w:footnote>
  <w:footnote w:id="1">
    <w:p w14:paraId="6ED3F921" w14:textId="77777777" w:rsidR="00EA2CCB" w:rsidRDefault="00EA2CCB" w:rsidP="00EA2CCB">
      <w:pPr>
        <w:pStyle w:val="FootnoteText"/>
        <w:rPr>
          <w:lang w:val="es-ES"/>
        </w:rPr>
      </w:pPr>
      <w:r>
        <w:rPr>
          <w:rStyle w:val="FootnoteReference"/>
        </w:rPr>
        <w:t>1</w:t>
      </w:r>
      <w:r>
        <w:tab/>
        <w:t>Este punto del orden del día se limita estrictamente al Informe del Director, en relación con las dificultades o incoherencias observadas en la aplicación del Reglamento de Radiocomunicaciones y las observaciones de las administraciones. Se invita a las administraciones a que informen al Director de la Oficina de Radiocomunicaciones de las dificultades o incoherencias observadas en el Reglamento de Radiocomunicaciones.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5018" w14:textId="77777777" w:rsidR="00760F1C" w:rsidRDefault="000B7C15" w:rsidP="007657F0">
    <w:pPr>
      <w:pStyle w:val="Header"/>
    </w:pPr>
    <w:r>
      <w:fldChar w:fldCharType="begin"/>
    </w:r>
    <w:r>
      <w:instrText>PAGE</w:instrText>
    </w:r>
    <w:r>
      <w:fldChar w:fldCharType="separate"/>
    </w:r>
    <w:r w:rsidR="005C0201">
      <w:rPr>
        <w:noProof/>
      </w:rPr>
      <w:t>9</w:t>
    </w:r>
    <w:r>
      <w:rPr>
        <w:noProof/>
      </w:rPr>
      <w:fldChar w:fldCharType="end"/>
    </w:r>
  </w:p>
  <w:p w14:paraId="0CAC4891" w14:textId="49AA58D1" w:rsidR="00760F1C" w:rsidRDefault="00760F1C" w:rsidP="00C2727F">
    <w:pPr>
      <w:pStyle w:val="Header"/>
    </w:pPr>
    <w:r>
      <w:t>C</w:t>
    </w:r>
    <w:r w:rsidR="007955DA">
      <w:t>20</w:t>
    </w:r>
    <w:r>
      <w:t>/</w:t>
    </w:r>
    <w:r w:rsidR="00B72AC9">
      <w:t>69</w:t>
    </w:r>
    <w:r w:rsidR="00941B15">
      <w:rPr>
        <w:bCs/>
      </w:rPr>
      <w:t>(Corr.1)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29"/>
    <w:rsid w:val="000542B6"/>
    <w:rsid w:val="00093EEB"/>
    <w:rsid w:val="000B0D00"/>
    <w:rsid w:val="000B17A8"/>
    <w:rsid w:val="000B7C15"/>
    <w:rsid w:val="000D1D0F"/>
    <w:rsid w:val="000F5290"/>
    <w:rsid w:val="0010165C"/>
    <w:rsid w:val="00146BFB"/>
    <w:rsid w:val="001D4791"/>
    <w:rsid w:val="001F14A2"/>
    <w:rsid w:val="002801AA"/>
    <w:rsid w:val="00285052"/>
    <w:rsid w:val="002C4676"/>
    <w:rsid w:val="002C70B0"/>
    <w:rsid w:val="002F3CC4"/>
    <w:rsid w:val="00375350"/>
    <w:rsid w:val="00415473"/>
    <w:rsid w:val="004E440F"/>
    <w:rsid w:val="00513630"/>
    <w:rsid w:val="00560125"/>
    <w:rsid w:val="00585553"/>
    <w:rsid w:val="005B34D9"/>
    <w:rsid w:val="005C0201"/>
    <w:rsid w:val="005D0CCF"/>
    <w:rsid w:val="005F3BCB"/>
    <w:rsid w:val="005F410F"/>
    <w:rsid w:val="005F5961"/>
    <w:rsid w:val="0060149A"/>
    <w:rsid w:val="00601924"/>
    <w:rsid w:val="006217AF"/>
    <w:rsid w:val="006447EA"/>
    <w:rsid w:val="0064731F"/>
    <w:rsid w:val="00664572"/>
    <w:rsid w:val="006710F6"/>
    <w:rsid w:val="006C1B56"/>
    <w:rsid w:val="006D4761"/>
    <w:rsid w:val="006E429B"/>
    <w:rsid w:val="00726872"/>
    <w:rsid w:val="00760F1C"/>
    <w:rsid w:val="007657F0"/>
    <w:rsid w:val="0077252D"/>
    <w:rsid w:val="0078693F"/>
    <w:rsid w:val="00791673"/>
    <w:rsid w:val="007955DA"/>
    <w:rsid w:val="007E5DD3"/>
    <w:rsid w:val="007F350B"/>
    <w:rsid w:val="00817AAE"/>
    <w:rsid w:val="00820BE4"/>
    <w:rsid w:val="008451E8"/>
    <w:rsid w:val="0087146D"/>
    <w:rsid w:val="008E6914"/>
    <w:rsid w:val="00913B9C"/>
    <w:rsid w:val="00914715"/>
    <w:rsid w:val="00941B15"/>
    <w:rsid w:val="00956E77"/>
    <w:rsid w:val="00960527"/>
    <w:rsid w:val="00985C81"/>
    <w:rsid w:val="009F4811"/>
    <w:rsid w:val="00AA390C"/>
    <w:rsid w:val="00B0200A"/>
    <w:rsid w:val="00B574DB"/>
    <w:rsid w:val="00B72AC9"/>
    <w:rsid w:val="00B826C2"/>
    <w:rsid w:val="00B8298E"/>
    <w:rsid w:val="00B87497"/>
    <w:rsid w:val="00BD0723"/>
    <w:rsid w:val="00BD2518"/>
    <w:rsid w:val="00BF1D1C"/>
    <w:rsid w:val="00C1709F"/>
    <w:rsid w:val="00C20C59"/>
    <w:rsid w:val="00C2727F"/>
    <w:rsid w:val="00C55B1F"/>
    <w:rsid w:val="00CF1A67"/>
    <w:rsid w:val="00D23B33"/>
    <w:rsid w:val="00D2521F"/>
    <w:rsid w:val="00D2750E"/>
    <w:rsid w:val="00D62446"/>
    <w:rsid w:val="00D72D6F"/>
    <w:rsid w:val="00DA4EA2"/>
    <w:rsid w:val="00DB69D9"/>
    <w:rsid w:val="00DC3D3E"/>
    <w:rsid w:val="00DE2C90"/>
    <w:rsid w:val="00DE3B24"/>
    <w:rsid w:val="00E06947"/>
    <w:rsid w:val="00E3592D"/>
    <w:rsid w:val="00E4355E"/>
    <w:rsid w:val="00E92DE8"/>
    <w:rsid w:val="00EA2CCB"/>
    <w:rsid w:val="00EB1212"/>
    <w:rsid w:val="00ED65AB"/>
    <w:rsid w:val="00F12850"/>
    <w:rsid w:val="00F13626"/>
    <w:rsid w:val="00F33BF4"/>
    <w:rsid w:val="00F7105E"/>
    <w:rsid w:val="00F75F57"/>
    <w:rsid w:val="00F77B29"/>
    <w:rsid w:val="00F82FEE"/>
    <w:rsid w:val="00FD57D3"/>
    <w:rsid w:val="00FF11BD"/>
    <w:rsid w:val="00FF5D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A34AA"/>
  <w15:docId w15:val="{75E6AAB3-A869-4231-9E25-38B886D8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Reference/ + Text 1"/>
    <w:basedOn w:val="DefaultParagraphFont"/>
    <w:rsid w:val="000B0D00"/>
    <w:rPr>
      <w:position w:val="6"/>
      <w:sz w:val="16"/>
    </w:rPr>
  </w:style>
  <w:style w:type="paragraph" w:styleId="FootnoteText">
    <w:name w:val="footnote text"/>
    <w:aliases w:val="footnote text,ALTS FOOTNOTE,Footnote Text Char1... + Black,Footnote Text Char Char1,Footnote Text Char4 Char Char,Footnote Text Char1 Char1 Char1 Char,Footnote Text Char Char1 Char1 Char Char,DNV-F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F77B29"/>
    <w:rPr>
      <w:color w:val="605E5C"/>
      <w:shd w:val="clear" w:color="auto" w:fill="E1DFDD"/>
    </w:rPr>
  </w:style>
  <w:style w:type="character" w:customStyle="1" w:styleId="RestitleChar">
    <w:name w:val="Res_title Char"/>
    <w:link w:val="Restitle"/>
    <w:locked/>
    <w:rsid w:val="00F77B29"/>
    <w:rPr>
      <w:rFonts w:ascii="Calibri" w:hAnsi="Calibri"/>
      <w:b/>
      <w:sz w:val="28"/>
      <w:lang w:val="es-ES_tradnl" w:eastAsia="en-US"/>
    </w:rPr>
  </w:style>
  <w:style w:type="character" w:customStyle="1" w:styleId="enumlev1Char">
    <w:name w:val="enumlev1 Char"/>
    <w:basedOn w:val="DefaultParagraphFont"/>
    <w:link w:val="enumlev1"/>
    <w:locked/>
    <w:rsid w:val="00F77B29"/>
    <w:rPr>
      <w:rFonts w:ascii="Calibri" w:hAnsi="Calibri"/>
      <w:sz w:val="24"/>
      <w:lang w:val="es-ES_tradnl" w:eastAsia="en-US"/>
    </w:rPr>
  </w:style>
  <w:style w:type="character" w:customStyle="1" w:styleId="FootnoteTextChar">
    <w:name w:val="Footnote Text Char"/>
    <w:aliases w:val="footnote text Char,ALTS FOOTNOTE Char,Footnote Text Char1... + Black Char,Footnote Text Char Char1 Char,Footnote Text Char4 Char Char Char,Footnote Text Char1 Char1 Char1 Char Char,Footnote Text Char Char1 Char1 Char Char Char"/>
    <w:basedOn w:val="DefaultParagraphFont"/>
    <w:link w:val="FootnoteText"/>
    <w:qFormat/>
    <w:locked/>
    <w:rsid w:val="00EA2CCB"/>
    <w:rPr>
      <w:rFonts w:ascii="Calibri" w:hAnsi="Calibri"/>
      <w:sz w:val="24"/>
      <w:lang w:val="es-ES_tradnl" w:eastAsia="en-US"/>
    </w:rPr>
  </w:style>
  <w:style w:type="character" w:customStyle="1" w:styleId="Artdef">
    <w:name w:val="Art_def"/>
    <w:basedOn w:val="DefaultParagraphFont"/>
    <w:rsid w:val="00EA2CCB"/>
    <w:rPr>
      <w:rFonts w:ascii="Times New Roman" w:hAnsi="Times New Roman" w:cs="Times New Roman" w:hint="default"/>
      <w:b/>
      <w:bCs w:val="0"/>
    </w:rPr>
  </w:style>
  <w:style w:type="character" w:customStyle="1" w:styleId="BRNormal">
    <w:name w:val="BR_Normal"/>
    <w:basedOn w:val="DefaultParagraphFont"/>
    <w:uiPriority w:val="1"/>
    <w:qFormat/>
    <w:rsid w:val="00EA2CCB"/>
  </w:style>
  <w:style w:type="character" w:customStyle="1" w:styleId="FooterChar">
    <w:name w:val="Footer Char"/>
    <w:basedOn w:val="DefaultParagraphFont"/>
    <w:link w:val="Footer"/>
    <w:rsid w:val="00C1709F"/>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9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E52CE-0E8F-41D1-8E02-9A43588D33A4}">
  <ds:schemaRefs>
    <ds:schemaRef ds:uri="http://schemas.microsoft.com/sharepoint/v3/contenttype/forms"/>
  </ds:schemaRefs>
</ds:datastoreItem>
</file>

<file path=customXml/itemProps2.xml><?xml version="1.0" encoding="utf-8"?>
<ds:datastoreItem xmlns:ds="http://schemas.openxmlformats.org/officeDocument/2006/customXml" ds:itemID="{9CD95909-85D4-46E0-B30E-61A5651F6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9AB6C-ABF3-40F7-A620-C449933E21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0CDD85-C60F-4D9D-9138-96EB82B8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1</TotalTime>
  <Pages>5</Pages>
  <Words>1792</Words>
  <Characters>10221</Characters>
  <Application>Microsoft Office Word</Application>
  <DocSecurity>0</DocSecurity>
  <Lines>85</Lines>
  <Paragraphs>23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Conferencia Mundial de Radiocomunicaciones (CMR-23)</vt:lpstr>
    </vt:vector>
  </TitlesOfParts>
  <Manager>Secretaría General - Pool</Manager>
  <Company>Unión Internacional de Telecomunicaciones (UIT)</Company>
  <LinksUpToDate>false</LinksUpToDate>
  <CharactersWithSpaces>11990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Conferencia Mundial de Radiocomunicaciones (CMR-23)</dc:title>
  <dc:subject>Consejo 2020</dc:subject>
  <dc:creator>Casellas, Mercedes</dc:creator>
  <cp:keywords>C2020, C20</cp:keywords>
  <dc:description/>
  <cp:lastModifiedBy>Brouard, Ricarda</cp:lastModifiedBy>
  <cp:revision>3</cp:revision>
  <cp:lastPrinted>2006-03-24T09:51:00Z</cp:lastPrinted>
  <dcterms:created xsi:type="dcterms:W3CDTF">2023-02-24T10:02:00Z</dcterms:created>
  <dcterms:modified xsi:type="dcterms:W3CDTF">2023-02-24T10:02:00Z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