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3A37112" w14:textId="77777777" w:rsidTr="006C7CC0">
        <w:trPr>
          <w:cantSplit/>
          <w:trHeight w:val="20"/>
        </w:trPr>
        <w:tc>
          <w:tcPr>
            <w:tcW w:w="6620" w:type="dxa"/>
          </w:tcPr>
          <w:p w14:paraId="1220709C" w14:textId="3947B94D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D927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مشاورة عن طريق المراسلة</w:t>
            </w:r>
            <w:r w:rsidR="00FF00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(31 يوليو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FF00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18CDA68" w14:textId="77777777" w:rsidR="00290728" w:rsidRPr="00290728" w:rsidRDefault="006A793B" w:rsidP="00FC60DE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7B5329" wp14:editId="4B321F4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13ED476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035763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E05D81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7759AC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69A00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92BFC2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A9ADCAA" w14:textId="77777777" w:rsidTr="009F66A8">
        <w:trPr>
          <w:cantSplit/>
        </w:trPr>
        <w:tc>
          <w:tcPr>
            <w:tcW w:w="6620" w:type="dxa"/>
          </w:tcPr>
          <w:p w14:paraId="55BF444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5ABCB16" w14:textId="6F6599DC" w:rsidR="00290728" w:rsidRPr="007C1451" w:rsidRDefault="00837A00" w:rsidP="00BD71E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 w:rsidRPr="007C1451">
              <w:rPr>
                <w:rFonts w:hint="cs"/>
                <w:b/>
                <w:bCs/>
                <w:rtl/>
                <w:lang w:bidi="ar-EG"/>
              </w:rPr>
              <w:t>التصويب</w:t>
            </w:r>
            <w:r w:rsidR="00BD71EF" w:rsidRPr="007C145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D71EF" w:rsidRPr="007C1451">
              <w:rPr>
                <w:b/>
                <w:bCs/>
                <w:lang w:bidi="ar-EG"/>
              </w:rPr>
              <w:t>1</w:t>
            </w:r>
            <w:r w:rsidR="00BD71EF" w:rsidRPr="007C1451">
              <w:rPr>
                <w:b/>
                <w:bCs/>
                <w:rtl/>
                <w:lang w:bidi="ar-EG"/>
              </w:rPr>
              <w:br/>
            </w:r>
            <w:r w:rsidR="00BD71EF" w:rsidRPr="007C1451"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7C145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7C1451">
              <w:rPr>
                <w:b/>
                <w:bCs/>
                <w:lang w:bidi="ar-SY"/>
              </w:rPr>
              <w:t>C</w:t>
            </w:r>
            <w:r w:rsidR="0026373E" w:rsidRPr="007C1451">
              <w:rPr>
                <w:b/>
                <w:bCs/>
                <w:lang w:bidi="ar-SY"/>
              </w:rPr>
              <w:t>20</w:t>
            </w:r>
            <w:r w:rsidR="00290728" w:rsidRPr="007C1451">
              <w:rPr>
                <w:b/>
                <w:bCs/>
                <w:lang w:bidi="ar-SY"/>
              </w:rPr>
              <w:t>/</w:t>
            </w:r>
            <w:r w:rsidR="00FE08D5" w:rsidRPr="007C1451">
              <w:rPr>
                <w:b/>
                <w:bCs/>
                <w:lang w:bidi="ar-SY"/>
              </w:rPr>
              <w:t>69</w:t>
            </w:r>
            <w:r w:rsidR="00290728" w:rsidRPr="007C1451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7E0AF5A8" w14:textId="77777777" w:rsidTr="009F66A8">
        <w:trPr>
          <w:cantSplit/>
        </w:trPr>
        <w:tc>
          <w:tcPr>
            <w:tcW w:w="6620" w:type="dxa"/>
          </w:tcPr>
          <w:p w14:paraId="32103F2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4536308" w14:textId="0978E8E9" w:rsidR="00290728" w:rsidRPr="002F71D8" w:rsidRDefault="00BD71E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FF00D5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فبراير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F7629">
              <w:rPr>
                <w:b/>
                <w:bCs/>
                <w:lang w:bidi="ar-SY"/>
              </w:rPr>
              <w:t>2023</w:t>
            </w:r>
          </w:p>
        </w:tc>
      </w:tr>
      <w:tr w:rsidR="00290728" w:rsidRPr="00290728" w14:paraId="05B95FF5" w14:textId="77777777" w:rsidTr="009F66A8">
        <w:trPr>
          <w:cantSplit/>
        </w:trPr>
        <w:tc>
          <w:tcPr>
            <w:tcW w:w="6620" w:type="dxa"/>
          </w:tcPr>
          <w:p w14:paraId="057F2060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909BD8A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FF00D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82A50C9" w14:textId="0247A612" w:rsidR="00E74065" w:rsidRDefault="00E74065" w:rsidP="00026916">
      <w:pPr>
        <w:pStyle w:val="ResNo"/>
        <w:spacing w:before="720"/>
        <w:rPr>
          <w:rtl/>
        </w:rPr>
      </w:pPr>
      <w:r>
        <w:rPr>
          <w:rFonts w:hint="cs"/>
          <w:rtl/>
        </w:rPr>
        <w:t>القرار 1399</w:t>
      </w:r>
    </w:p>
    <w:p w14:paraId="11BABCC9" w14:textId="30B29F7E" w:rsidR="00E74065" w:rsidRDefault="00E74065" w:rsidP="00E74065">
      <w:pPr>
        <w:jc w:val="center"/>
      </w:pPr>
      <w:r w:rsidRPr="00E74065">
        <w:rPr>
          <w:rFonts w:hint="cs"/>
          <w:sz w:val="26"/>
          <w:szCs w:val="26"/>
          <w:rtl/>
        </w:rPr>
        <w:t>(</w:t>
      </w:r>
      <w:r w:rsidR="00CF47AD">
        <w:rPr>
          <w:rFonts w:hint="cs"/>
          <w:sz w:val="26"/>
          <w:szCs w:val="26"/>
          <w:rtl/>
        </w:rPr>
        <w:t>تم</w:t>
      </w:r>
      <w:r w:rsidR="00D92749">
        <w:rPr>
          <w:rFonts w:hint="cs"/>
          <w:sz w:val="26"/>
          <w:szCs w:val="26"/>
          <w:rtl/>
        </w:rPr>
        <w:t xml:space="preserve"> اعتماده عن طريق المراسلة</w:t>
      </w:r>
      <w:r w:rsidRPr="00E74065">
        <w:rPr>
          <w:rFonts w:hint="cs"/>
          <w:sz w:val="26"/>
          <w:szCs w:val="26"/>
          <w:rtl/>
        </w:rPr>
        <w:t>)</w:t>
      </w:r>
    </w:p>
    <w:p w14:paraId="1A6A184C" w14:textId="77777777" w:rsidR="00E74065" w:rsidRPr="0093078C" w:rsidRDefault="00E74065" w:rsidP="00E74065">
      <w:pPr>
        <w:pStyle w:val="Restitle"/>
        <w:rPr>
          <w:rFonts w:ascii="Calibri" w:hAnsi="Calibri" w:cs="Traditional Arabic"/>
        </w:rPr>
      </w:pPr>
      <w:r>
        <w:rPr>
          <w:rtl/>
        </w:rPr>
        <w:t>جدول أعمال المؤتمر العالمي للاتصالات الراديوية</w:t>
      </w:r>
      <w:r>
        <w:rPr>
          <w:rtl/>
          <w:lang w:bidi="ar-EG"/>
        </w:rPr>
        <w:t xml:space="preserve"> </w:t>
      </w:r>
      <w:r>
        <w:rPr>
          <w:rtl/>
        </w:rPr>
        <w:t>لعام </w:t>
      </w:r>
      <w:r>
        <w:t>2023</w:t>
      </w:r>
      <w:r>
        <w:rPr>
          <w:rtl/>
        </w:rPr>
        <w:t xml:space="preserve"> </w:t>
      </w:r>
      <w:r>
        <w:t>(WRC-23)</w:t>
      </w:r>
    </w:p>
    <w:p w14:paraId="26509110" w14:textId="25D5810A" w:rsidR="00BD71EF" w:rsidRPr="00DB7626" w:rsidRDefault="007C1451" w:rsidP="00E42DEF">
      <w:pPr>
        <w:pStyle w:val="Normalaftertitle"/>
        <w:rPr>
          <w:lang w:val="en-GB"/>
        </w:rPr>
      </w:pPr>
      <w:r>
        <w:rPr>
          <w:rFonts w:hint="cs"/>
          <w:rtl/>
        </w:rPr>
        <w:t xml:space="preserve">لم تتضمن الوثيقة </w:t>
      </w:r>
      <w:r w:rsidR="00DB7626" w:rsidRPr="00431A14">
        <w:rPr>
          <w:bCs/>
          <w:szCs w:val="24"/>
        </w:rPr>
        <w:t>C20/69</w:t>
      </w:r>
      <w:r>
        <w:rPr>
          <w:rFonts w:hint="cs"/>
          <w:rtl/>
        </w:rPr>
        <w:t xml:space="preserve"> التصويبات النهائية التي أدخلتها لجنة الصياغة </w:t>
      </w:r>
      <w:r w:rsidR="00DB7626">
        <w:rPr>
          <w:rFonts w:hint="cs"/>
          <w:rtl/>
        </w:rPr>
        <w:t>على</w:t>
      </w:r>
      <w:r>
        <w:rPr>
          <w:rFonts w:hint="cs"/>
          <w:rtl/>
        </w:rPr>
        <w:t xml:space="preserve"> القرار </w:t>
      </w:r>
      <w:r w:rsidR="00DB7626" w:rsidRPr="00431A14">
        <w:rPr>
          <w:bCs/>
          <w:szCs w:val="24"/>
        </w:rPr>
        <w:t>811</w:t>
      </w:r>
      <w:r w:rsidR="004238FA">
        <w:rPr>
          <w:bCs/>
          <w:szCs w:val="24"/>
        </w:rPr>
        <w:t> </w:t>
      </w:r>
      <w:r w:rsidR="00DB7626" w:rsidRPr="00431A14">
        <w:rPr>
          <w:bCs/>
          <w:szCs w:val="24"/>
        </w:rPr>
        <w:t>(WRC-19)</w:t>
      </w:r>
      <w:r>
        <w:rPr>
          <w:rFonts w:hint="cs"/>
          <w:rtl/>
        </w:rPr>
        <w:t xml:space="preserve"> </w:t>
      </w:r>
      <w:r w:rsidR="00DB7626">
        <w:rPr>
          <w:rFonts w:hint="cs"/>
          <w:rtl/>
        </w:rPr>
        <w:t xml:space="preserve">عند وضع الصيغة النهائية للوثائق الختامية للمؤتمر العالمي للاتصالات الراديوية لعام 2019 </w:t>
      </w:r>
      <w:r w:rsidR="00DB7626" w:rsidRPr="00431A14">
        <w:rPr>
          <w:bCs/>
          <w:szCs w:val="24"/>
        </w:rPr>
        <w:t>(WRC-19)</w:t>
      </w:r>
      <w:r w:rsidR="00DB7626">
        <w:rPr>
          <w:rFonts w:hint="cs"/>
          <w:rtl/>
        </w:rPr>
        <w:t>. ولذلك، تجدون بالطي الصيغة المحدَّثة للقرار 1399 الصادر عن المجلس والتي تتضمن التعديلات.</w:t>
      </w:r>
    </w:p>
    <w:p w14:paraId="77617F09" w14:textId="08E6539B" w:rsidR="00BD71EF" w:rsidRDefault="00BD71EF" w:rsidP="00BD71EF">
      <w:r>
        <w:br w:type="page"/>
      </w:r>
    </w:p>
    <w:p w14:paraId="072214CA" w14:textId="178C0233" w:rsidR="00BD71EF" w:rsidRDefault="00BD71EF" w:rsidP="0099486C">
      <w:pPr>
        <w:pStyle w:val="ResNo"/>
      </w:pPr>
      <w:r>
        <w:rPr>
          <w:rFonts w:hint="cs"/>
          <w:rtl/>
        </w:rPr>
        <w:lastRenderedPageBreak/>
        <w:t>القرار 1399</w:t>
      </w:r>
      <w:r w:rsidR="00934FFF">
        <w:rPr>
          <w:rFonts w:hint="cs"/>
          <w:rtl/>
        </w:rPr>
        <w:t xml:space="preserve"> </w:t>
      </w:r>
      <w:r w:rsidR="00934FFF">
        <w:t>(C20)</w:t>
      </w:r>
    </w:p>
    <w:p w14:paraId="2915733A" w14:textId="320722A3" w:rsidR="00BD71EF" w:rsidRDefault="0099486C" w:rsidP="0099486C">
      <w:pPr>
        <w:pStyle w:val="Restitle"/>
      </w:pPr>
      <w:r>
        <w:rPr>
          <w:rtl/>
        </w:rPr>
        <w:t>جدول أعمال المؤتمر العالمي للاتصالات الراديوية</w:t>
      </w:r>
      <w:r>
        <w:rPr>
          <w:rtl/>
          <w:lang w:bidi="ar-EG"/>
        </w:rPr>
        <w:t xml:space="preserve"> </w:t>
      </w:r>
      <w:r>
        <w:rPr>
          <w:rtl/>
        </w:rPr>
        <w:t>لعام </w:t>
      </w:r>
      <w:r>
        <w:t>2023</w:t>
      </w:r>
      <w:r>
        <w:rPr>
          <w:rtl/>
        </w:rPr>
        <w:t xml:space="preserve"> </w:t>
      </w:r>
      <w:r>
        <w:t>(WRC-23)</w:t>
      </w:r>
    </w:p>
    <w:p w14:paraId="7332D6F3" w14:textId="0EFC101D" w:rsidR="00E74065" w:rsidRDefault="00E74065" w:rsidP="00E74065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006D2317" w14:textId="77777777" w:rsidR="00E74065" w:rsidRDefault="00E74065" w:rsidP="00E74065">
      <w:pPr>
        <w:pStyle w:val="Call"/>
        <w:rPr>
          <w:rtl/>
          <w:lang w:bidi="ar-EG"/>
        </w:rPr>
      </w:pPr>
      <w:r>
        <w:rPr>
          <w:rtl/>
          <w:lang w:bidi="ar-EG"/>
        </w:rPr>
        <w:t>إذ يلاحظ</w:t>
      </w:r>
    </w:p>
    <w:p w14:paraId="75E7D1BD" w14:textId="77777777" w:rsidR="00E74065" w:rsidRDefault="00E74065" w:rsidP="00E74065">
      <w:pPr>
        <w:rPr>
          <w:rtl/>
          <w:lang w:bidi="ar-EG"/>
        </w:rPr>
      </w:pPr>
      <w:r>
        <w:rPr>
          <w:rtl/>
          <w:lang w:bidi="ar-EG"/>
        </w:rPr>
        <w:t>أن المؤتمر العالمي للاتصالات الراديوية (</w:t>
      </w:r>
      <w:r>
        <w:rPr>
          <w:rFonts w:hint="cs"/>
          <w:rtl/>
          <w:lang w:bidi="ar-EG"/>
        </w:rPr>
        <w:t>شرم الشيخ</w:t>
      </w:r>
      <w:r>
        <w:rPr>
          <w:rtl/>
          <w:lang w:bidi="ar-EG"/>
        </w:rPr>
        <w:t xml:space="preserve">، </w:t>
      </w:r>
      <w:r>
        <w:rPr>
          <w:lang w:bidi="ar-SY"/>
        </w:rPr>
        <w:t>2019</w:t>
      </w:r>
      <w:r>
        <w:rPr>
          <w:rtl/>
          <w:lang w:bidi="ar-EG"/>
        </w:rPr>
        <w:t xml:space="preserve">) في قراره </w:t>
      </w:r>
      <w:r>
        <w:rPr>
          <w:lang w:bidi="ar-SY"/>
        </w:rPr>
        <w:t>811</w:t>
      </w:r>
      <w:r>
        <w:rPr>
          <w:rtl/>
          <w:lang w:bidi="ar-EG"/>
        </w:rPr>
        <w:t>:</w:t>
      </w:r>
    </w:p>
    <w:p w14:paraId="59663C31" w14:textId="77777777" w:rsidR="00E74065" w:rsidRDefault="00E74065" w:rsidP="00E74065">
      <w:pPr>
        <w:rPr>
          <w:rtl/>
          <w:lang w:bidi="ar-EG"/>
        </w:rPr>
      </w:pPr>
      <w:r>
        <w:rPr>
          <w:i/>
          <w:iCs/>
          <w:rtl/>
          <w:lang w:bidi="ar-EG"/>
        </w:rPr>
        <w:t> أ )</w:t>
      </w:r>
      <w:r>
        <w:rPr>
          <w:rtl/>
          <w:lang w:bidi="ar-EG"/>
        </w:rPr>
        <w:tab/>
        <w:t xml:space="preserve">قرر أن يوصي المجلس بعقد مؤتمر عالمي للاتصالات الراديوية في عام </w:t>
      </w:r>
      <w:r>
        <w:rPr>
          <w:lang w:bidi="ar-SY"/>
        </w:rPr>
        <w:t>2023</w:t>
      </w:r>
      <w:r>
        <w:rPr>
          <w:rtl/>
          <w:lang w:bidi="ar-EG"/>
        </w:rPr>
        <w:t xml:space="preserve"> لمدة أقصاها أربعة أسابيع؛</w:t>
      </w:r>
    </w:p>
    <w:p w14:paraId="422004D5" w14:textId="77777777" w:rsidR="00E74065" w:rsidRDefault="00E74065" w:rsidP="00E74065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أوصى بجدول أعمال هذا المؤتمر، ودعا المجلس إلى وضع الصيغة النهائية لجدول أعمال المؤتمر واتخاذ الترتيبات لعقده والشروع بأسرع ما يمكن في المشاورات اللازمة مع الدول الأعضاء،</w:t>
      </w:r>
    </w:p>
    <w:p w14:paraId="616641D5" w14:textId="77777777" w:rsidR="00E74065" w:rsidRDefault="00E74065" w:rsidP="00E74065">
      <w:pPr>
        <w:pStyle w:val="Call"/>
        <w:rPr>
          <w:rtl/>
          <w:lang w:bidi="ar-EG"/>
        </w:rPr>
      </w:pPr>
      <w:r>
        <w:rPr>
          <w:rtl/>
          <w:lang w:bidi="ar-EG"/>
        </w:rPr>
        <w:t>يقـرر</w:t>
      </w:r>
    </w:p>
    <w:p w14:paraId="2AF87C25" w14:textId="53168644" w:rsidR="00E74065" w:rsidRDefault="00E74065" w:rsidP="00E74065">
      <w:pPr>
        <w:rPr>
          <w:spacing w:val="-6"/>
          <w:lang w:bidi="ar-EG"/>
        </w:rPr>
      </w:pPr>
      <w:r w:rsidRPr="005C645B">
        <w:rPr>
          <w:spacing w:val="-6"/>
          <w:rtl/>
          <w:lang w:bidi="ar-EG"/>
        </w:rPr>
        <w:t>عقد المؤتمر العالمي للاتصالات الراديوية</w:t>
      </w:r>
      <w:r w:rsidRPr="005C645B">
        <w:rPr>
          <w:rFonts w:hint="cs"/>
          <w:spacing w:val="-6"/>
          <w:rtl/>
          <w:lang w:bidi="ar-EG"/>
        </w:rPr>
        <w:t xml:space="preserve"> </w:t>
      </w:r>
      <w:r w:rsidRPr="005C645B">
        <w:rPr>
          <w:spacing w:val="-6"/>
          <w:lang w:bidi="ar-SY"/>
        </w:rPr>
        <w:t>(WRC-23)</w:t>
      </w:r>
      <w:r w:rsidRPr="005C645B">
        <w:rPr>
          <w:rFonts w:hint="cs"/>
          <w:spacing w:val="-6"/>
          <w:rtl/>
          <w:lang w:bidi="ar-EG"/>
        </w:rPr>
        <w:t xml:space="preserve"> في عام </w:t>
      </w:r>
      <w:r w:rsidRPr="005C645B">
        <w:rPr>
          <w:spacing w:val="-6"/>
          <w:lang w:val="fr-FR" w:bidi="ar-EG"/>
        </w:rPr>
        <w:t>2023</w:t>
      </w:r>
      <w:r w:rsidRPr="005C645B">
        <w:rPr>
          <w:spacing w:val="-6"/>
          <w:rtl/>
          <w:lang w:bidi="ar-EG"/>
        </w:rPr>
        <w:t xml:space="preserve">، </w:t>
      </w:r>
      <w:r w:rsidR="001826BB">
        <w:rPr>
          <w:rFonts w:hint="cs"/>
          <w:spacing w:val="-6"/>
          <w:rtl/>
          <w:lang w:bidi="ar-EG"/>
        </w:rPr>
        <w:t>و</w:t>
      </w:r>
      <w:r w:rsidRPr="005C645B">
        <w:rPr>
          <w:spacing w:val="-6"/>
          <w:rtl/>
          <w:lang w:bidi="ar-EG"/>
        </w:rPr>
        <w:t>تسبقه جمعية الاتصالات الراديوية، ويكون له جدول الأعمال التالي:</w:t>
      </w:r>
    </w:p>
    <w:p w14:paraId="08AAAD5E" w14:textId="77777777" w:rsidR="00FC7323" w:rsidRPr="00FE2CFF" w:rsidRDefault="00FC7323" w:rsidP="00FC7323">
      <w:pPr>
        <w:spacing w:line="185" w:lineRule="auto"/>
      </w:pPr>
      <w:r w:rsidRPr="00FE2CFF">
        <w:t>1</w:t>
      </w:r>
      <w:r w:rsidRPr="00FE2CFF">
        <w:rPr>
          <w:rtl/>
        </w:rPr>
        <w:tab/>
        <w:t xml:space="preserve">النظر في البنود التالية واتخاذ التدابير اللازمة بشأنها، </w:t>
      </w:r>
      <w:r w:rsidRPr="00FE2CFF">
        <w:rPr>
          <w:rFonts w:hint="cs"/>
          <w:rtl/>
        </w:rPr>
        <w:t xml:space="preserve">وذلك </w:t>
      </w:r>
      <w:r w:rsidRPr="00FE2CFF">
        <w:rPr>
          <w:rtl/>
        </w:rPr>
        <w:t>على أساس المقترحات المقدمة من الإدارات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مع</w:t>
      </w:r>
      <w:r w:rsidRPr="00FE2CFF">
        <w:rPr>
          <w:rFonts w:hint="cs"/>
          <w:rtl/>
        </w:rPr>
        <w:t> </w:t>
      </w:r>
      <w:r w:rsidRPr="00FE2CFF">
        <w:rPr>
          <w:rtl/>
        </w:rPr>
        <w:t xml:space="preserve">مراعاة نتائج المؤتمر العالمي للاتصالات الراديوية لعام </w:t>
      </w:r>
      <w:r w:rsidRPr="00FE2CFF">
        <w:t>2019</w:t>
      </w:r>
      <w:r w:rsidRPr="00FE2CFF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FE2CFF">
        <w:rPr>
          <w:rFonts w:hint="cs"/>
          <w:rtl/>
        </w:rPr>
        <w:t>قيد النظر</w:t>
      </w:r>
      <w:r w:rsidRPr="00FE2CFF">
        <w:rPr>
          <w:rtl/>
        </w:rPr>
        <w:t>:</w:t>
      </w:r>
    </w:p>
    <w:p w14:paraId="16C99630" w14:textId="77777777" w:rsidR="00FC7323" w:rsidRPr="00570410" w:rsidRDefault="00FC7323" w:rsidP="00FC7323">
      <w:pPr>
        <w:spacing w:line="185" w:lineRule="auto"/>
        <w:rPr>
          <w:lang w:val="es-ES" w:bidi="ar-EG"/>
        </w:rPr>
      </w:pPr>
      <w:r w:rsidRPr="00570410">
        <w:t>1.1</w:t>
      </w:r>
      <w:r w:rsidRPr="00570410">
        <w:tab/>
      </w:r>
      <w:r w:rsidRPr="00570410">
        <w:rPr>
          <w:rFonts w:eastAsia="SimSun"/>
          <w:rtl/>
        </w:rPr>
        <w:t xml:space="preserve">النظر، استناداً إلى نتائج دراسات قطاع الاتصالات الراديوية، في التدابير الممكنة لتوفير حماية محطات الخدمة المتنقلة للطيران والخدمة المتنقلة البحرية، العاملة في نطاق التردد </w:t>
      </w:r>
      <w:r w:rsidRPr="00570410">
        <w:rPr>
          <w:rFonts w:eastAsia="SimSun"/>
          <w:lang w:val="en-GB"/>
        </w:rPr>
        <w:t>MHz 4 990-4 800</w:t>
      </w:r>
      <w:r w:rsidRPr="00570410">
        <w:rPr>
          <w:rFonts w:eastAsia="SimSun"/>
          <w:rtl/>
        </w:rPr>
        <w:t xml:space="preserve"> والواقعة في المجال الجوي الدولي وفي المياه الدولية، من محطات أخرى واقعة داخل أراض وطنية، واستعراض معيار كثافة تدفق القدرة</w:t>
      </w:r>
      <w:r w:rsidRPr="00570410">
        <w:rPr>
          <w:rtl/>
        </w:rPr>
        <w:t xml:space="preserve"> </w:t>
      </w:r>
      <w:r w:rsidRPr="00570410">
        <w:t>(pfd)</w:t>
      </w:r>
      <w:r w:rsidRPr="00570410">
        <w:rPr>
          <w:rtl/>
        </w:rPr>
        <w:t xml:space="preserve"> الوارد في الرقم </w:t>
      </w:r>
      <w:r w:rsidRPr="00570410">
        <w:rPr>
          <w:rStyle w:val="Artref"/>
          <w:rFonts w:ascii="Dubai" w:hAnsi="Dubai" w:cs="Dubai"/>
          <w:b/>
          <w:bCs/>
        </w:rPr>
        <w:t>441B.5</w:t>
      </w:r>
      <w:r w:rsidRPr="00570410">
        <w:rPr>
          <w:rtl/>
        </w:rPr>
        <w:t xml:space="preserve"> وفقاً للقرار </w:t>
      </w:r>
      <w:r w:rsidRPr="00570410">
        <w:rPr>
          <w:b/>
          <w:bCs/>
          <w:iCs/>
          <w:lang w:val="en-GB" w:bidi="ar-EG"/>
        </w:rPr>
        <w:t>223 (Rev.WRC</w:t>
      </w:r>
      <w:r w:rsidRPr="00570410">
        <w:rPr>
          <w:b/>
          <w:bCs/>
          <w:iCs/>
          <w:lang w:val="en-GB" w:bidi="ar-EG"/>
        </w:rPr>
        <w:noBreakHyphen/>
        <w:t>19)</w:t>
      </w:r>
      <w:r w:rsidRPr="00570410">
        <w:rPr>
          <w:rtl/>
          <w:lang w:val="es-ES" w:bidi="ar-EG"/>
        </w:rPr>
        <w:t>؛</w:t>
      </w:r>
    </w:p>
    <w:p w14:paraId="4E937B44" w14:textId="77777777" w:rsidR="00FC7323" w:rsidRPr="004B486D" w:rsidRDefault="00FC7323" w:rsidP="00FC7323">
      <w:pPr>
        <w:spacing w:line="185" w:lineRule="auto"/>
        <w:rPr>
          <w:rtl/>
          <w:lang w:val="en-GB" w:bidi="ar-EG"/>
        </w:rPr>
      </w:pPr>
      <w:r w:rsidRPr="00FE2CFF">
        <w:rPr>
          <w:spacing w:val="-6"/>
          <w:lang w:val="es-ES" w:bidi="ar-EG"/>
        </w:rPr>
        <w:t>2.1</w:t>
      </w:r>
      <w:r w:rsidRPr="00FE2CFF">
        <w:rPr>
          <w:spacing w:val="-6"/>
          <w:lang w:val="es-ES" w:bidi="ar-EG"/>
        </w:rPr>
        <w:tab/>
      </w:r>
      <w:r w:rsidRPr="00FE2CFF">
        <w:rPr>
          <w:spacing w:val="-6"/>
          <w:rtl/>
          <w:lang w:val="es-ES"/>
        </w:rPr>
        <w:t>النظر في </w:t>
      </w:r>
      <w:r w:rsidRPr="00FE2CFF">
        <w:rPr>
          <w:rFonts w:hint="cs"/>
          <w:spacing w:val="-6"/>
          <w:rtl/>
          <w:lang w:val="es-ES"/>
        </w:rPr>
        <w:t>تحديد</w:t>
      </w:r>
      <w:r w:rsidRPr="00FE2CFF">
        <w:rPr>
          <w:spacing w:val="-6"/>
          <w:rtl/>
          <w:lang w:val="es-ES"/>
        </w:rPr>
        <w:t xml:space="preserve"> </w:t>
      </w:r>
      <w:r w:rsidRPr="00FE2CFF">
        <w:rPr>
          <w:rFonts w:hint="cs"/>
          <w:spacing w:val="-6"/>
          <w:rtl/>
          <w:lang w:val="es-ES"/>
        </w:rPr>
        <w:t>نطاقات</w:t>
      </w:r>
      <w:r w:rsidRPr="00FE2CFF">
        <w:rPr>
          <w:spacing w:val="-6"/>
          <w:rtl/>
          <w:lang w:val="es-ES"/>
        </w:rPr>
        <w:t xml:space="preserve"> </w:t>
      </w:r>
      <w:r w:rsidRPr="00FE2CFF">
        <w:rPr>
          <w:rFonts w:hint="cs"/>
          <w:spacing w:val="-6"/>
          <w:rtl/>
          <w:lang w:val="es-ES"/>
        </w:rPr>
        <w:t>ال</w:t>
      </w:r>
      <w:r w:rsidRPr="00FE2CFF">
        <w:rPr>
          <w:spacing w:val="-6"/>
          <w:rtl/>
          <w:lang w:val="es-ES"/>
        </w:rPr>
        <w:t>تردد</w:t>
      </w:r>
      <w:r w:rsidRPr="00FE2CFF">
        <w:rPr>
          <w:rFonts w:hint="cs"/>
          <w:spacing w:val="-6"/>
          <w:rtl/>
          <w:lang w:val="es-ES" w:bidi="ar-EG"/>
        </w:rPr>
        <w:t xml:space="preserve"> </w:t>
      </w:r>
      <w:r w:rsidRPr="00BC75B4">
        <w:rPr>
          <w:spacing w:val="-6"/>
          <w:lang w:val="es-ES" w:bidi="ar-EG"/>
        </w:rPr>
        <w:t>MHz 3 400-3 300</w:t>
      </w:r>
      <w:r w:rsidRPr="00FE2CFF">
        <w:rPr>
          <w:rFonts w:hint="cs"/>
          <w:spacing w:val="-6"/>
          <w:rtl/>
          <w:lang w:bidi="ar-SY"/>
        </w:rPr>
        <w:t xml:space="preserve"> و</w:t>
      </w:r>
      <w:r w:rsidRPr="00BC75B4">
        <w:rPr>
          <w:spacing w:val="-6"/>
          <w:lang w:val="es-ES" w:bidi="ar-SY"/>
        </w:rPr>
        <w:t>MHz 3 800-3 600</w:t>
      </w:r>
      <w:r w:rsidRPr="00FE2CFF">
        <w:rPr>
          <w:rFonts w:hint="cs"/>
          <w:spacing w:val="-6"/>
          <w:rtl/>
          <w:lang w:bidi="ar-SY"/>
        </w:rPr>
        <w:t xml:space="preserve"> و</w:t>
      </w:r>
      <w:r w:rsidRPr="00BC75B4">
        <w:rPr>
          <w:spacing w:val="-6"/>
          <w:lang w:val="es-ES" w:bidi="ar-SY"/>
        </w:rPr>
        <w:t>MHz 7 025-6 425</w:t>
      </w:r>
      <w:r w:rsidRPr="00FE2CFF">
        <w:rPr>
          <w:rFonts w:hint="cs"/>
          <w:spacing w:val="-6"/>
          <w:rtl/>
          <w:lang w:bidi="ar-EG"/>
        </w:rPr>
        <w:t xml:space="preserve"> </w:t>
      </w:r>
      <w:r w:rsidRPr="00FE2CFF">
        <w:rPr>
          <w:rFonts w:hint="cs"/>
          <w:spacing w:val="-6"/>
          <w:rtl/>
          <w:lang w:bidi="ar-SY"/>
        </w:rPr>
        <w:t>و</w:t>
      </w:r>
      <w:r w:rsidRPr="00BC75B4">
        <w:rPr>
          <w:spacing w:val="-6"/>
          <w:lang w:val="es-ES" w:bidi="ar-SY"/>
        </w:rPr>
        <w:t>MHz 7 125-7 025</w:t>
      </w:r>
      <w:r w:rsidRPr="00FE2CFF">
        <w:rPr>
          <w:rFonts w:hint="cs"/>
          <w:spacing w:val="-6"/>
          <w:rtl/>
          <w:lang w:bidi="ar-SY"/>
        </w:rPr>
        <w:t xml:space="preserve"> </w:t>
      </w:r>
      <w:r w:rsidRPr="004B486D">
        <w:rPr>
          <w:rFonts w:hint="cs"/>
          <w:rtl/>
          <w:lang w:bidi="ar-SY"/>
        </w:rPr>
        <w:t>و</w:t>
      </w:r>
      <w:r w:rsidRPr="00BC75B4">
        <w:rPr>
          <w:lang w:val="es-ES" w:bidi="ar-SY"/>
        </w:rPr>
        <w:t>GHz 10,5-10,0</w:t>
      </w:r>
      <w:r w:rsidRPr="004B486D">
        <w:rPr>
          <w:rFonts w:hint="cs"/>
          <w:rtl/>
          <w:lang w:bidi="ar-SY"/>
        </w:rPr>
        <w:t xml:space="preserve"> </w:t>
      </w:r>
      <w:r w:rsidRPr="004B486D">
        <w:rPr>
          <w:rFonts w:hint="cs"/>
          <w:rtl/>
          <w:lang w:val="es-ES" w:bidi="ar-EG"/>
        </w:rPr>
        <w:t xml:space="preserve">من أجل </w:t>
      </w:r>
      <w:r w:rsidRPr="004B486D">
        <w:rPr>
          <w:rFonts w:hint="cs"/>
          <w:rtl/>
          <w:lang w:val="es-ES"/>
        </w:rPr>
        <w:t xml:space="preserve">الاتصالات المتنقلة الدولية </w:t>
      </w:r>
      <w:r w:rsidRPr="00BC75B4">
        <w:rPr>
          <w:lang w:val="es-ES" w:bidi="ar-EG"/>
        </w:rPr>
        <w:t>(IMT)</w:t>
      </w:r>
      <w:r w:rsidRPr="004B486D">
        <w:rPr>
          <w:rFonts w:hint="cs"/>
          <w:rtl/>
          <w:lang w:val="es-ES" w:bidi="ar-EG"/>
        </w:rPr>
        <w:t>،</w:t>
      </w:r>
      <w:r w:rsidRPr="004B486D">
        <w:rPr>
          <w:rFonts w:hint="eastAsia"/>
          <w:rtl/>
          <w:lang w:val="es-ES" w:bidi="ar-EG"/>
        </w:rPr>
        <w:t> </w:t>
      </w:r>
      <w:r w:rsidRPr="004B486D">
        <w:rPr>
          <w:rFonts w:hint="cs"/>
          <w:rtl/>
          <w:lang w:val="es-ES" w:bidi="ar-EG"/>
        </w:rPr>
        <w:t>بما</w:t>
      </w:r>
      <w:r w:rsidRPr="004B486D">
        <w:rPr>
          <w:rFonts w:hint="eastAsia"/>
          <w:rtl/>
          <w:lang w:val="es-ES" w:bidi="ar-EG"/>
        </w:rPr>
        <w:t> </w:t>
      </w:r>
      <w:r w:rsidRPr="004B486D">
        <w:rPr>
          <w:rFonts w:hint="cs"/>
          <w:rtl/>
          <w:lang w:val="es-ES" w:bidi="ar-EG"/>
        </w:rPr>
        <w:t>في</w:t>
      </w:r>
      <w:r w:rsidRPr="004B486D">
        <w:rPr>
          <w:rFonts w:hint="eastAsia"/>
          <w:rtl/>
          <w:lang w:val="es-ES" w:bidi="ar-EG"/>
        </w:rPr>
        <w:t> </w:t>
      </w:r>
      <w:r w:rsidRPr="004B486D">
        <w:rPr>
          <w:rFonts w:hint="cs"/>
          <w:rtl/>
          <w:lang w:val="es-ES" w:bidi="ar-EG"/>
        </w:rPr>
        <w:t>ذلك إمكانية</w:t>
      </w:r>
      <w:r w:rsidRPr="004B486D">
        <w:rPr>
          <w:rtl/>
          <w:lang w:val="es-ES" w:bidi="ar-EG"/>
        </w:rPr>
        <w:t xml:space="preserve"> </w:t>
      </w:r>
      <w:r w:rsidRPr="004B486D">
        <w:rPr>
          <w:rFonts w:hint="cs"/>
          <w:rtl/>
          <w:lang w:val="es-ES" w:bidi="ar-EG"/>
        </w:rPr>
        <w:t>منح توزيعات</w:t>
      </w:r>
      <w:r w:rsidRPr="004B486D">
        <w:rPr>
          <w:rtl/>
          <w:lang w:val="es-ES" w:bidi="ar-EG"/>
        </w:rPr>
        <w:t xml:space="preserve"> إضافية للخدمة المتنقلة</w:t>
      </w:r>
      <w:r w:rsidRPr="004B486D">
        <w:rPr>
          <w:rFonts w:hint="cs"/>
          <w:rtl/>
          <w:lang w:val="es-ES" w:bidi="ar-EG"/>
        </w:rPr>
        <w:t xml:space="preserve"> على أساس أولي</w:t>
      </w:r>
      <w:r w:rsidRPr="004B486D">
        <w:rPr>
          <w:rtl/>
          <w:lang w:val="es-ES" w:bidi="ar-EG"/>
        </w:rPr>
        <w:t>،</w:t>
      </w:r>
      <w:r w:rsidRPr="004B486D">
        <w:rPr>
          <w:rtl/>
          <w:lang w:val="es-ES"/>
        </w:rPr>
        <w:t xml:space="preserve"> وفقاً للقرار</w:t>
      </w:r>
      <w:r w:rsidRPr="004B486D">
        <w:rPr>
          <w:rFonts w:hint="cs"/>
          <w:rtl/>
          <w:lang w:val="es-ES"/>
        </w:rPr>
        <w:t xml:space="preserve"> </w:t>
      </w:r>
      <w:r w:rsidRPr="00BC75B4">
        <w:rPr>
          <w:b/>
          <w:bCs/>
          <w:iCs/>
          <w:lang w:val="es-ES" w:bidi="ar-EG"/>
        </w:rPr>
        <w:t>245 (WRC</w:t>
      </w:r>
      <w:r w:rsidRPr="00BC75B4">
        <w:rPr>
          <w:b/>
          <w:bCs/>
          <w:iCs/>
          <w:lang w:val="es-ES" w:bidi="ar-EG"/>
        </w:rPr>
        <w:noBreakHyphen/>
        <w:t>19)</w:t>
      </w:r>
      <w:r w:rsidRPr="004B486D">
        <w:rPr>
          <w:rFonts w:hint="cs"/>
          <w:rtl/>
          <w:lang w:val="es-ES" w:bidi="ar-EG"/>
        </w:rPr>
        <w:t>؛</w:t>
      </w:r>
    </w:p>
    <w:p w14:paraId="0AECB2A7" w14:textId="34DC9E0B" w:rsidR="00FC7323" w:rsidRDefault="00FC7323" w:rsidP="00FC7323">
      <w:pPr>
        <w:spacing w:line="185" w:lineRule="auto"/>
        <w:rPr>
          <w:b/>
          <w:rtl/>
          <w:lang w:val="es-ES" w:bidi="ar-EG"/>
        </w:rPr>
      </w:pPr>
      <w:r w:rsidRPr="00FE2CFF">
        <w:t>3.1</w:t>
      </w:r>
      <w:r w:rsidRPr="00FE2CFF"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(WRC-19)</w:t>
      </w:r>
      <w:r w:rsidRPr="00FE2CFF">
        <w:rPr>
          <w:rFonts w:hint="cs"/>
          <w:b/>
          <w:rtl/>
          <w:lang w:val="es-ES" w:bidi="ar-EG"/>
        </w:rPr>
        <w:t>؛</w:t>
      </w:r>
    </w:p>
    <w:p w14:paraId="345AB17B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rPr>
          <w:bCs/>
          <w:lang w:bidi="ar-EG"/>
        </w:rPr>
        <w:t>4.1</w:t>
      </w:r>
      <w:r w:rsidRPr="00FE2CFF">
        <w:rPr>
          <w:b/>
          <w:lang w:bidi="ar-EG"/>
        </w:rPr>
        <w:tab/>
      </w:r>
      <w:r w:rsidRPr="00FE2CFF">
        <w:rPr>
          <w:rFonts w:hint="cs"/>
          <w:rtl/>
          <w:lang w:val="es-ES" w:bidi="ar-EG"/>
        </w:rPr>
        <w:t>أن ينظر</w:t>
      </w:r>
      <w:r w:rsidRPr="00FE2CFF">
        <w:rPr>
          <w:rFonts w:hint="cs"/>
          <w:b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247 (WRC-19)</w:t>
      </w:r>
      <w:r w:rsidRPr="00F4298B">
        <w:rPr>
          <w:rFonts w:hint="cs"/>
          <w:rtl/>
          <w:lang w:bidi="ar-EG"/>
        </w:rPr>
        <w:t xml:space="preserve"> </w:t>
      </w:r>
      <w:r w:rsidRPr="00FE2CFF">
        <w:rPr>
          <w:rFonts w:hint="cs"/>
          <w:b/>
          <w:rtl/>
          <w:lang w:val="es-ES" w:bidi="ar-EG"/>
        </w:rPr>
        <w:t xml:space="preserve">في استعمال محطات المنصات عالية الارتفاع كمحطات قاعدة </w:t>
      </w:r>
      <w:r w:rsidRPr="00FE2CFF">
        <w:rPr>
          <w:rFonts w:hint="cs"/>
          <w:rtl/>
          <w:lang w:val="es-ES"/>
        </w:rPr>
        <w:t xml:space="preserve">للاتصالات المتنقلة الدولية </w:t>
      </w:r>
      <w:r w:rsidRPr="00FE2CFF">
        <w:rPr>
          <w:lang w:bidi="ar-EG"/>
        </w:rPr>
        <w:t>(HIBS)</w:t>
      </w:r>
      <w:r w:rsidRPr="00FE2CFF">
        <w:rPr>
          <w:rFonts w:hint="cs"/>
          <w:rtl/>
          <w:lang w:val="es-ES"/>
        </w:rPr>
        <w:t xml:space="preserve"> في الخدمة المتنقلة في بعض نطاقات التردد دون </w:t>
      </w:r>
      <w:r w:rsidRPr="00FE2CFF">
        <w:rPr>
          <w:lang w:bidi="ar-EG"/>
        </w:rPr>
        <w:t>GHz 2,7</w:t>
      </w:r>
      <w:r w:rsidRPr="00FE2CFF">
        <w:rPr>
          <w:rFonts w:hint="cs"/>
          <w:rtl/>
          <w:lang w:val="es-ES"/>
        </w:rPr>
        <w:t xml:space="preserve"> المحددة بالفعل للاتصالات المتنقلة الدولية، على الصعيد العالمي أو</w:t>
      </w:r>
      <w:r w:rsidRPr="00FE2CFF">
        <w:rPr>
          <w:rFonts w:hint="eastAsia"/>
          <w:rtl/>
          <w:lang w:val="es-ES"/>
        </w:rPr>
        <w:t> </w:t>
      </w:r>
      <w:r w:rsidRPr="00FE2CFF">
        <w:rPr>
          <w:rFonts w:hint="cs"/>
          <w:b/>
          <w:rtl/>
          <w:lang w:val="es-ES" w:bidi="ar-EG"/>
        </w:rPr>
        <w:t>الإقليمي؛</w:t>
      </w:r>
    </w:p>
    <w:p w14:paraId="165794A0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t>5.1</w:t>
      </w:r>
      <w:r w:rsidRPr="00FE2CFF">
        <w:tab/>
      </w:r>
      <w:r w:rsidRPr="00FE2CFF">
        <w:rPr>
          <w:rFonts w:hint="cs"/>
          <w:rtl/>
          <w:lang w:val="es-ES"/>
        </w:rPr>
        <w:t>استعراض استعمال الطيف والاحتياجات من الطيف للخدمات القائمة في نطاق التردد</w:t>
      </w:r>
      <w:r w:rsidRPr="00FE2CFF">
        <w:rPr>
          <w:rFonts w:hint="eastAsia"/>
          <w:rtl/>
          <w:lang w:val="es-ES"/>
        </w:rPr>
        <w:t> </w:t>
      </w:r>
      <w:r w:rsidRPr="00FE2CFF">
        <w:rPr>
          <w:lang w:bidi="ar-EG"/>
        </w:rPr>
        <w:t>MHz 960</w:t>
      </w:r>
      <w:r w:rsidRPr="00FE2CFF">
        <w:rPr>
          <w:lang w:bidi="ar-EG"/>
        </w:rPr>
        <w:noBreakHyphen/>
        <w:t>470</w:t>
      </w:r>
      <w:r w:rsidRPr="00FE2CFF">
        <w:rPr>
          <w:rFonts w:hint="cs"/>
          <w:rtl/>
          <w:lang w:val="es-ES"/>
        </w:rPr>
        <w:t xml:space="preserve"> في الإقليم</w:t>
      </w:r>
      <w:r w:rsidRPr="00FE2CFF">
        <w:rPr>
          <w:rFonts w:hint="eastAsia"/>
          <w:rtl/>
          <w:lang w:val="es-ES"/>
        </w:rPr>
        <w:t> </w:t>
      </w:r>
      <w:r w:rsidRPr="00FE2CFF">
        <w:rPr>
          <w:lang w:bidi="ar-EG"/>
        </w:rPr>
        <w:t>1</w:t>
      </w:r>
      <w:r w:rsidRPr="00FE2CFF">
        <w:rPr>
          <w:rFonts w:hint="cs"/>
          <w:rtl/>
          <w:lang w:val="es-ES"/>
        </w:rPr>
        <w:t xml:space="preserve"> والنظر في التدابير التنظيمية الممكنة في نطاق التردد </w:t>
      </w:r>
      <w:r w:rsidRPr="00FE2CFF">
        <w:rPr>
          <w:lang w:bidi="ar-EG"/>
        </w:rPr>
        <w:t>MHz 694</w:t>
      </w:r>
      <w:r w:rsidRPr="00FE2CFF">
        <w:rPr>
          <w:lang w:bidi="ar-EG"/>
        </w:rPr>
        <w:noBreakHyphen/>
        <w:t>470</w:t>
      </w:r>
      <w:r w:rsidRPr="00FE2CFF">
        <w:rPr>
          <w:rFonts w:hint="cs"/>
          <w:rtl/>
          <w:lang w:val="es-ES"/>
        </w:rPr>
        <w:t xml:space="preserve"> في الإقليم</w:t>
      </w:r>
      <w:r w:rsidRPr="00FE2CFF">
        <w:rPr>
          <w:rFonts w:hint="eastAsia"/>
          <w:rtl/>
          <w:lang w:val="es-ES"/>
        </w:rPr>
        <w:t> </w:t>
      </w:r>
      <w:r w:rsidRPr="00FE2CFF">
        <w:rPr>
          <w:lang w:bidi="ar-EG"/>
        </w:rPr>
        <w:t>1</w:t>
      </w:r>
      <w:r w:rsidRPr="00FE2CFF">
        <w:rPr>
          <w:rFonts w:hint="cs"/>
          <w:rtl/>
          <w:lang w:val="es-ES"/>
        </w:rPr>
        <w:t xml:space="preserve"> على أساس الاستعراض، وفقاً للقرار </w:t>
      </w:r>
      <w:r w:rsidRPr="00FE2CFF">
        <w:rPr>
          <w:b/>
          <w:bCs/>
          <w:lang w:bidi="ar-EG"/>
        </w:rPr>
        <w:t>235 (WRC</w:t>
      </w:r>
      <w:r w:rsidRPr="00FE2CFF">
        <w:rPr>
          <w:b/>
          <w:bCs/>
          <w:lang w:bidi="ar-EG"/>
        </w:rPr>
        <w:noBreakHyphen/>
        <w:t>15)</w:t>
      </w:r>
      <w:r w:rsidRPr="00FE2CFF">
        <w:rPr>
          <w:rtl/>
          <w:lang w:val="es-ES"/>
        </w:rPr>
        <w:t>؛</w:t>
      </w:r>
    </w:p>
    <w:p w14:paraId="38ED88E7" w14:textId="77777777" w:rsidR="00FC7323" w:rsidRPr="00355552" w:rsidRDefault="00FC7323" w:rsidP="00FC7323">
      <w:pPr>
        <w:spacing w:line="185" w:lineRule="auto"/>
        <w:rPr>
          <w:rtl/>
          <w:lang w:val="en-GB"/>
        </w:rPr>
      </w:pPr>
      <w:r w:rsidRPr="00355552">
        <w:t>6.1</w:t>
      </w:r>
      <w:r w:rsidRPr="00355552">
        <w:tab/>
      </w:r>
      <w:r w:rsidRPr="00355552">
        <w:rPr>
          <w:rFonts w:hint="cs"/>
          <w:rtl/>
          <w:lang w:val="es-ES"/>
        </w:rPr>
        <w:t>النظر، وفقاً</w:t>
      </w:r>
      <w:r w:rsidRPr="00355552">
        <w:rPr>
          <w:rFonts w:hint="cs"/>
          <w:rtl/>
          <w:lang w:val="es-ES" w:bidi="ar-EG"/>
        </w:rPr>
        <w:t xml:space="preserve"> للقرار </w:t>
      </w:r>
      <w:r w:rsidRPr="00355552">
        <w:rPr>
          <w:b/>
          <w:bCs/>
          <w:lang w:bidi="ar-EG"/>
        </w:rPr>
        <w:t>772 (WRC-19)</w:t>
      </w:r>
      <w:r w:rsidRPr="00355552">
        <w:rPr>
          <w:rFonts w:hint="cs"/>
          <w:rtl/>
          <w:lang w:val="es-ES" w:bidi="ar-EG"/>
        </w:rPr>
        <w:t>،</w:t>
      </w:r>
      <w:r w:rsidRPr="00355552">
        <w:rPr>
          <w:rFonts w:hint="cs"/>
          <w:rtl/>
          <w:lang w:val="es-ES"/>
        </w:rPr>
        <w:t xml:space="preserve"> في أحكام تنظيمية لتيسير الاتصالات الراديوية المتعلقة بالمركبات دون المدارية؛</w:t>
      </w:r>
    </w:p>
    <w:p w14:paraId="0BA9EA66" w14:textId="40B28AA0" w:rsidR="00FC7323" w:rsidRPr="00FE2CFF" w:rsidRDefault="00FC7323" w:rsidP="00FC7323">
      <w:pPr>
        <w:rPr>
          <w:rtl/>
        </w:rPr>
      </w:pPr>
      <w:r w:rsidRPr="00FE2CFF">
        <w:t>7.1</w:t>
      </w:r>
      <w:r w:rsidRPr="00FE2CFF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  <w:t>19)</w:t>
      </w:r>
      <w:r w:rsidRPr="0033546E">
        <w:rPr>
          <w:rFonts w:hint="cs"/>
          <w:rtl/>
          <w:lang w:val="en-GB"/>
        </w:rPr>
        <w:t>،</w:t>
      </w:r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</w:t>
      </w:r>
      <w:r w:rsidR="00176125">
        <w:rPr>
          <w:rFonts w:hint="eastAsia"/>
          <w:rtl/>
          <w:lang w:bidi="ar-EG"/>
        </w:rPr>
        <w:t> 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109214CA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t>8.1</w:t>
      </w:r>
      <w:r w:rsidRPr="00FE2CFF">
        <w:tab/>
      </w:r>
      <w:r w:rsidRPr="00FE2CFF">
        <w:rPr>
          <w:rFonts w:hint="cs"/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FE2CFF">
        <w:rPr>
          <w:b/>
          <w:lang w:bidi="ar-EG"/>
        </w:rPr>
        <w:t>171 (WRC-19)</w:t>
      </w:r>
      <w:r w:rsidRPr="00FE2CFF">
        <w:rPr>
          <w:rFonts w:hint="cs"/>
          <w:b/>
          <w:rtl/>
          <w:lang w:val="es-ES" w:bidi="ar-EG"/>
        </w:rPr>
        <w:t>، في</w:t>
      </w:r>
      <w:r w:rsidRPr="00FE2CFF">
        <w:rPr>
          <w:rFonts w:hint="eastAsia"/>
          <w:b/>
          <w:rtl/>
          <w:lang w:val="es-ES" w:bidi="ar-EG"/>
        </w:rPr>
        <w:t> </w:t>
      </w:r>
      <w:r w:rsidRPr="00FE2CFF">
        <w:rPr>
          <w:rFonts w:hint="cs"/>
          <w:b/>
          <w:rtl/>
          <w:lang w:val="es-ES" w:bidi="ar-EG"/>
        </w:rPr>
        <w:t>التدابير التنظيمية المناسبة بغية استعراض، و</w:t>
      </w:r>
      <w:r w:rsidRPr="00FE2CFF">
        <w:rPr>
          <w:rFonts w:hint="cs"/>
          <w:b/>
          <w:rtl/>
          <w:lang w:val="es-ES"/>
        </w:rPr>
        <w:t xml:space="preserve">إذا استدعى الأمر، </w:t>
      </w:r>
      <w:r w:rsidRPr="00FE2CFF">
        <w:rPr>
          <w:rFonts w:hint="cs"/>
          <w:b/>
          <w:rtl/>
          <w:lang w:val="es-ES" w:bidi="ar-EG"/>
        </w:rPr>
        <w:t xml:space="preserve">مراجَعة القرار </w:t>
      </w:r>
      <w:r w:rsidRPr="00FE2CFF">
        <w:rPr>
          <w:b/>
          <w:lang w:bidi="ar-EG"/>
        </w:rPr>
        <w:t>155 (Rev.WRC-19)</w:t>
      </w:r>
      <w:r w:rsidRPr="00FE2CFF">
        <w:rPr>
          <w:rFonts w:hint="cs"/>
          <w:b/>
          <w:rtl/>
          <w:lang w:val="es-ES"/>
        </w:rPr>
        <w:t xml:space="preserve"> </w:t>
      </w:r>
      <w:r w:rsidRPr="00FE2CFF">
        <w:rPr>
          <w:rFonts w:hint="cs"/>
          <w:b/>
          <w:rtl/>
          <w:lang w:val="es-ES" w:bidi="ar-EG"/>
        </w:rPr>
        <w:t>و</w:t>
      </w:r>
      <w:r w:rsidRPr="00FE2CFF">
        <w:rPr>
          <w:rFonts w:hint="cs"/>
          <w:b/>
          <w:rtl/>
          <w:lang w:val="es-ES"/>
        </w:rPr>
        <w:t xml:space="preserve">الرقم </w:t>
      </w:r>
      <w:r w:rsidRPr="0033546E">
        <w:rPr>
          <w:rStyle w:val="Artref"/>
          <w:rFonts w:ascii="Dubai" w:hAnsi="Dubai" w:cs="Dubai"/>
          <w:b/>
          <w:bCs/>
        </w:rPr>
        <w:t>484B.5</w:t>
      </w:r>
      <w:r w:rsidRPr="00FE2CFF">
        <w:rPr>
          <w:rFonts w:hint="cs"/>
          <w:b/>
          <w:rtl/>
          <w:lang w:val="es-ES"/>
        </w:rPr>
        <w:t xml:space="preserve"> لتضمينهما استعمال شبكات الخدمة الثابتة الساتلية من أجل اتصالات التحكم والاتصالات خارج الحمولة النافعة لأنظمة الطائرات بدون</w:t>
      </w:r>
      <w:r w:rsidRPr="00FE2CFF">
        <w:rPr>
          <w:rFonts w:hint="eastAsia"/>
          <w:b/>
          <w:rtl/>
          <w:lang w:val="es-ES"/>
        </w:rPr>
        <w:t> </w:t>
      </w:r>
      <w:r w:rsidRPr="00FE2CFF">
        <w:rPr>
          <w:rFonts w:hint="cs"/>
          <w:b/>
          <w:rtl/>
          <w:lang w:val="es-ES"/>
        </w:rPr>
        <w:t>طيار؛</w:t>
      </w:r>
    </w:p>
    <w:p w14:paraId="4F3432AB" w14:textId="77777777" w:rsidR="00FC7323" w:rsidRPr="00FE2CFF" w:rsidRDefault="00FC7323" w:rsidP="003F7629">
      <w:pPr>
        <w:keepNext/>
        <w:keepLines/>
        <w:spacing w:line="185" w:lineRule="auto"/>
        <w:rPr>
          <w:rtl/>
          <w:lang w:val="en-GB"/>
        </w:rPr>
      </w:pPr>
      <w:r w:rsidRPr="00FE2CFF">
        <w:lastRenderedPageBreak/>
        <w:t>9.1</w:t>
      </w:r>
      <w:r w:rsidRPr="00FE2CFF">
        <w:tab/>
      </w:r>
      <w:r w:rsidRPr="00FE2CFF">
        <w:rPr>
          <w:rFonts w:hint="cs"/>
          <w:rtl/>
          <w:lang w:val="es-ES" w:bidi="ar-EG"/>
        </w:rPr>
        <w:t xml:space="preserve">استعراض التذييل </w:t>
      </w:r>
      <w:r w:rsidRPr="0033546E">
        <w:rPr>
          <w:rStyle w:val="Appref"/>
          <w:rFonts w:ascii="Dubai" w:hAnsi="Dubai" w:cs="Dubai"/>
        </w:rPr>
        <w:t>27</w:t>
      </w:r>
      <w:r w:rsidRPr="00FE2CFF">
        <w:rPr>
          <w:rFonts w:hint="cs"/>
          <w:rtl/>
          <w:lang w:val="es-ES" w:bidi="ar-EG"/>
        </w:rPr>
        <w:t xml:space="preserve"> للوائح الراديو والنظر في التدابير التنظيمية والتحديثات الملائمة استناداً إلى دراسات قطاع الاتصالات الراديوية، لمراعاة التكنولوجيات الرقمية لتطبيقات سلامة الأرواح في الطيران التجاري في</w:t>
      </w:r>
      <w:r w:rsidRPr="00FE2CFF">
        <w:rPr>
          <w:rFonts w:hint="eastAsia"/>
          <w:rtl/>
          <w:lang w:val="es-ES" w:bidi="ar-EG"/>
        </w:rPr>
        <w:t> </w:t>
      </w:r>
      <w:r w:rsidRPr="00FE2CFF">
        <w:rPr>
          <w:rFonts w:hint="cs"/>
          <w:rtl/>
          <w:lang w:val="es-ES" w:bidi="ar-EG"/>
        </w:rPr>
        <w:t>نطاقات الموجات الديكامترية</w:t>
      </w:r>
      <w:r w:rsidRPr="00FE2CFF">
        <w:rPr>
          <w:rFonts w:hint="eastAsia"/>
          <w:rtl/>
          <w:lang w:val="es-ES" w:bidi="ar-EG"/>
        </w:rPr>
        <w:t> </w:t>
      </w:r>
      <w:r w:rsidRPr="00FE2CFF">
        <w:rPr>
          <w:lang w:bidi="ar-EG"/>
        </w:rPr>
        <w:t>(HF)</w:t>
      </w:r>
      <w:r w:rsidRPr="00FE2CFF">
        <w:rPr>
          <w:rFonts w:hint="cs"/>
          <w:rtl/>
          <w:lang w:val="es-ES" w:bidi="ar-EG"/>
        </w:rPr>
        <w:t xml:space="preserve"> الموزعة حالياً للخدمة المتنقلة للطيران </w:t>
      </w:r>
      <w:r w:rsidRPr="00FE2CFF">
        <w:rPr>
          <w:lang w:bidi="ar-EG"/>
        </w:rPr>
        <w:t>(R)</w:t>
      </w:r>
      <w:r w:rsidRPr="00FE2CFF">
        <w:rPr>
          <w:rFonts w:hint="cs"/>
          <w:rtl/>
          <w:lang w:val="es-ES" w:bidi="ar-EG"/>
        </w:rPr>
        <w:t xml:space="preserve"> وضمان تعايش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الحالية مع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المحدّثة، وفقاً للقرار </w:t>
      </w:r>
      <w:r w:rsidRPr="00FE2CFF">
        <w:rPr>
          <w:b/>
          <w:lang w:val="en-GB" w:bidi="ar-EG"/>
        </w:rPr>
        <w:t>429 (WRC-19)</w:t>
      </w:r>
      <w:r w:rsidRPr="00FE2CFF">
        <w:rPr>
          <w:rFonts w:hint="cs"/>
          <w:b/>
          <w:rtl/>
          <w:lang w:val="es-ES" w:bidi="ar-EG"/>
        </w:rPr>
        <w:t>؛</w:t>
      </w:r>
    </w:p>
    <w:p w14:paraId="2088A72F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t>10.1</w:t>
      </w:r>
      <w:r w:rsidRPr="00FE2CFF">
        <w:tab/>
      </w:r>
      <w:r w:rsidRPr="00FE2CFF">
        <w:rPr>
          <w:color w:val="000000"/>
          <w:rtl/>
        </w:rPr>
        <w:t>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</w:t>
      </w:r>
      <w:r w:rsidRPr="00FE2CFF">
        <w:rPr>
          <w:rFonts w:hint="cs"/>
          <w:color w:val="000000"/>
          <w:rtl/>
        </w:rPr>
        <w:t>،</w:t>
      </w:r>
      <w:r w:rsidRPr="00FE2CFF">
        <w:rPr>
          <w:color w:val="000000"/>
          <w:rtl/>
        </w:rPr>
        <w:t xml:space="preserve"> </w:t>
      </w:r>
      <w:r w:rsidRPr="00FE2CFF">
        <w:rPr>
          <w:rFonts w:hint="cs"/>
          <w:color w:val="000000"/>
          <w:rtl/>
        </w:rPr>
        <w:t>وفقاً</w:t>
      </w:r>
      <w:r w:rsidRPr="00FE2CFF">
        <w:rPr>
          <w:color w:val="000000"/>
          <w:rtl/>
        </w:rPr>
        <w:t xml:space="preserve"> </w:t>
      </w:r>
      <w:r w:rsidRPr="00FE2CFF">
        <w:rPr>
          <w:rFonts w:hint="cs"/>
          <w:color w:val="000000"/>
          <w:rtl/>
        </w:rPr>
        <w:t xml:space="preserve">للقرار </w:t>
      </w:r>
      <w:r w:rsidRPr="00FE2CFF">
        <w:rPr>
          <w:b/>
          <w:bCs/>
          <w:color w:val="000000"/>
        </w:rPr>
        <w:t>430 (WRC-19)</w:t>
      </w:r>
      <w:r w:rsidRPr="00FE2CFF">
        <w:rPr>
          <w:rFonts w:hint="eastAsia"/>
          <w:rtl/>
          <w:lang w:val="en-GB"/>
        </w:rPr>
        <w:t>؛</w:t>
      </w:r>
    </w:p>
    <w:p w14:paraId="3582807B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t>11.1</w:t>
      </w:r>
      <w:r w:rsidRPr="00FE2CFF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(Rev.WRC-19)</w:t>
      </w:r>
      <w:r w:rsidRPr="00FE2CFF">
        <w:rPr>
          <w:rFonts w:hint="cs"/>
          <w:rtl/>
          <w:lang w:val="es-ES"/>
        </w:rPr>
        <w:t>؛</w:t>
      </w:r>
    </w:p>
    <w:p w14:paraId="6A87B052" w14:textId="77777777" w:rsidR="00FC7323" w:rsidRPr="00FE2CFF" w:rsidRDefault="00FC7323" w:rsidP="00FC7323">
      <w:pPr>
        <w:spacing w:line="185" w:lineRule="auto"/>
        <w:rPr>
          <w:rtl/>
          <w:lang w:val="en-GB"/>
        </w:rPr>
      </w:pPr>
      <w:r w:rsidRPr="00FE2CFF">
        <w:t>12.1</w:t>
      </w:r>
      <w:r w:rsidRPr="00FE2CFF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(Rev.WRC</w:t>
      </w:r>
      <w:r w:rsidRPr="00FE2CFF">
        <w:rPr>
          <w:b/>
          <w:lang w:val="en-GB" w:bidi="ar-EG"/>
        </w:rPr>
        <w:noBreakHyphen/>
      </w:r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</w:p>
    <w:p w14:paraId="7284181F" w14:textId="77777777" w:rsidR="00FC7323" w:rsidRPr="00FE2CFF" w:rsidRDefault="00FC7323" w:rsidP="00FC7323">
      <w:pPr>
        <w:spacing w:line="185" w:lineRule="auto"/>
        <w:rPr>
          <w:spacing w:val="-6"/>
          <w:rtl/>
          <w:lang w:val="en-GB"/>
        </w:rPr>
      </w:pPr>
      <w:r w:rsidRPr="00FE2CFF">
        <w:rPr>
          <w:spacing w:val="-6"/>
        </w:rPr>
        <w:t>13.1</w:t>
      </w:r>
      <w:r w:rsidRPr="00FE2CFF">
        <w:rPr>
          <w:spacing w:val="-6"/>
        </w:rPr>
        <w:tab/>
      </w:r>
      <w:r w:rsidRPr="00FE2CFF">
        <w:rPr>
          <w:rFonts w:hint="eastAsia"/>
          <w:spacing w:val="-6"/>
          <w:rtl/>
          <w:lang w:val="es-ES"/>
        </w:rPr>
        <w:t>النظر</w:t>
      </w:r>
      <w:r w:rsidRPr="00FE2CFF">
        <w:rPr>
          <w:spacing w:val="-6"/>
          <w:rtl/>
          <w:lang w:val="es-ES"/>
        </w:rPr>
        <w:t xml:space="preserve"> في إمكانية رفع</w:t>
      </w:r>
      <w:r w:rsidRPr="00FE2CFF">
        <w:rPr>
          <w:rFonts w:hint="cs"/>
          <w:spacing w:val="-6"/>
          <w:rtl/>
          <w:lang w:val="es-ES"/>
        </w:rPr>
        <w:t xml:space="preserve"> وضع</w:t>
      </w:r>
      <w:r w:rsidRPr="00FE2CFF">
        <w:rPr>
          <w:spacing w:val="-6"/>
          <w:rtl/>
          <w:lang w:val="es-ES"/>
        </w:rPr>
        <w:t xml:space="preserve"> توزيع نطاق التردد </w:t>
      </w:r>
      <w:r w:rsidRPr="00FE2CFF">
        <w:rPr>
          <w:spacing w:val="-6"/>
          <w:lang w:bidi="ar-EG"/>
        </w:rPr>
        <w:t>GHz 15,35-14,8</w:t>
      </w:r>
      <w:r w:rsidRPr="00FE2CFF">
        <w:rPr>
          <w:spacing w:val="-6"/>
          <w:rtl/>
          <w:lang w:val="es-ES"/>
        </w:rPr>
        <w:t xml:space="preserve"> لخدمة الأبحاث الفضائية</w:t>
      </w:r>
      <w:r w:rsidRPr="00FE2CFF">
        <w:rPr>
          <w:rFonts w:hint="cs"/>
          <w:spacing w:val="-6"/>
          <w:rtl/>
          <w:lang w:val="es-ES"/>
        </w:rPr>
        <w:t xml:space="preserve"> وفقاً للقرار </w:t>
      </w:r>
      <w:r w:rsidRPr="00FE2CFF">
        <w:rPr>
          <w:b/>
          <w:bCs/>
          <w:spacing w:val="-6"/>
          <w:lang w:val="en-GB" w:bidi="ar-EG"/>
        </w:rPr>
        <w:t>661 (WRC-19)</w:t>
      </w:r>
      <w:r w:rsidRPr="00FE2CFF">
        <w:rPr>
          <w:spacing w:val="-6"/>
          <w:rtl/>
          <w:lang w:val="es-ES"/>
        </w:rPr>
        <w:t>؛</w:t>
      </w:r>
    </w:p>
    <w:p w14:paraId="509E5166" w14:textId="77777777" w:rsidR="00FC7323" w:rsidRDefault="00FC7323" w:rsidP="00FC7323">
      <w:pPr>
        <w:spacing w:line="185" w:lineRule="auto"/>
        <w:rPr>
          <w:rtl/>
          <w:lang w:val="es-ES" w:bidi="ar-EG"/>
        </w:rPr>
      </w:pPr>
      <w:r w:rsidRPr="00FE2CFF">
        <w:t>14.1</w:t>
      </w:r>
      <w:r w:rsidRPr="00FE2CFF">
        <w:tab/>
      </w:r>
      <w:r w:rsidRPr="00FE2CFF">
        <w:rPr>
          <w:rFonts w:hint="cs"/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(WRC-19)</w:t>
      </w:r>
      <w:r w:rsidRPr="00FE2CFF">
        <w:rPr>
          <w:rFonts w:hint="cs"/>
          <w:rtl/>
          <w:lang w:val="es-ES" w:bidi="ar-EG"/>
        </w:rPr>
        <w:t>؛</w:t>
      </w:r>
    </w:p>
    <w:p w14:paraId="41B2F1A7" w14:textId="071C4025" w:rsidR="00FC7323" w:rsidRPr="00FE2CFF" w:rsidRDefault="00FC7323" w:rsidP="00FC7323">
      <w:pPr>
        <w:spacing w:line="185" w:lineRule="auto"/>
        <w:rPr>
          <w:spacing w:val="-5"/>
          <w:rtl/>
          <w:lang w:val="en-GB"/>
        </w:rPr>
      </w:pPr>
      <w:r w:rsidRPr="00FE2CFF">
        <w:rPr>
          <w:spacing w:val="-5"/>
        </w:rPr>
        <w:t>15.1</w:t>
      </w:r>
      <w:r w:rsidRPr="00FE2CFF">
        <w:rPr>
          <w:spacing w:val="-5"/>
        </w:rPr>
        <w:tab/>
      </w:r>
      <w:r w:rsidRPr="00FE2CFF">
        <w:rPr>
          <w:rFonts w:hint="eastAsia"/>
          <w:spacing w:val="-5"/>
          <w:rtl/>
        </w:rPr>
        <w:t>تنسيق</w:t>
      </w:r>
      <w:r w:rsidRPr="00FE2CFF">
        <w:rPr>
          <w:spacing w:val="-5"/>
          <w:rtl/>
        </w:rPr>
        <w:t xml:space="preserve"> استعمال </w:t>
      </w:r>
      <w:r w:rsidRPr="00FE2CFF">
        <w:rPr>
          <w:color w:val="000000"/>
          <w:spacing w:val="-5"/>
          <w:rtl/>
        </w:rPr>
        <w:t>نطاق التردد</w:t>
      </w:r>
      <w:r w:rsidRPr="00FE2CFF">
        <w:rPr>
          <w:rFonts w:hint="cs"/>
          <w:color w:val="000000"/>
          <w:spacing w:val="-5"/>
          <w:rtl/>
        </w:rPr>
        <w:t xml:space="preserve"> </w:t>
      </w:r>
      <w:r w:rsidRPr="00FE2CFF">
        <w:rPr>
          <w:color w:val="000000"/>
          <w:spacing w:val="-5"/>
        </w:rPr>
        <w:t>GHz 13,25-12,75</w:t>
      </w:r>
      <w:r w:rsidRPr="00FE2CFF">
        <w:rPr>
          <w:rFonts w:hint="cs"/>
          <w:color w:val="000000"/>
          <w:spacing w:val="-5"/>
          <w:rtl/>
        </w:rPr>
        <w:t xml:space="preserve"> </w:t>
      </w:r>
      <w:r w:rsidRPr="00FE2CFF">
        <w:rPr>
          <w:color w:val="000000"/>
          <w:spacing w:val="-5"/>
          <w:rtl/>
        </w:rPr>
        <w:t>(أرض-فضاء) من جانب المحطات الأرضية على متن الطائرات والسفن التي تتواصل مع محطات فضائية مستقرة بالنسبة إلى الأرض في الخدمة الثابتة الساتلية</w:t>
      </w:r>
      <w:r w:rsidRPr="00FE2CFF">
        <w:rPr>
          <w:rFonts w:hint="cs"/>
          <w:color w:val="000000"/>
          <w:spacing w:val="-5"/>
          <w:rtl/>
        </w:rPr>
        <w:t xml:space="preserve"> على الصعيد العالمي</w:t>
      </w:r>
      <w:r w:rsidRPr="00FE2CFF">
        <w:rPr>
          <w:color w:val="000000"/>
          <w:spacing w:val="-5"/>
          <w:rtl/>
        </w:rPr>
        <w:t xml:space="preserve">، </w:t>
      </w:r>
      <w:r w:rsidRPr="00FE2CFF">
        <w:rPr>
          <w:rFonts w:hint="cs"/>
          <w:color w:val="000000"/>
          <w:spacing w:val="-5"/>
          <w:rtl/>
        </w:rPr>
        <w:t xml:space="preserve">وفقاً </w:t>
      </w:r>
      <w:r w:rsidRPr="00FE2CFF">
        <w:rPr>
          <w:color w:val="000000"/>
          <w:spacing w:val="-5"/>
          <w:rtl/>
        </w:rPr>
        <w:t>للقرار</w:t>
      </w:r>
      <w:r w:rsidRPr="00FE2CFF">
        <w:rPr>
          <w:rFonts w:hint="eastAsia"/>
          <w:color w:val="000000"/>
          <w:spacing w:val="-5"/>
          <w:rtl/>
        </w:rPr>
        <w:t> </w:t>
      </w:r>
      <w:r w:rsidRPr="00FE2CFF">
        <w:rPr>
          <w:b/>
          <w:bCs/>
          <w:color w:val="000000"/>
          <w:spacing w:val="-5"/>
        </w:rPr>
        <w:t>172 (WRC</w:t>
      </w:r>
      <w:r w:rsidR="0033546E">
        <w:rPr>
          <w:b/>
          <w:bCs/>
          <w:color w:val="000000"/>
          <w:spacing w:val="-5"/>
        </w:rPr>
        <w:noBreakHyphen/>
      </w:r>
      <w:r w:rsidRPr="00FE2CFF">
        <w:rPr>
          <w:b/>
          <w:bCs/>
          <w:color w:val="000000"/>
          <w:spacing w:val="-5"/>
        </w:rPr>
        <w:t>19)</w:t>
      </w:r>
      <w:r w:rsidRPr="00FE2CFF">
        <w:rPr>
          <w:rFonts w:hint="eastAsia"/>
          <w:spacing w:val="-5"/>
          <w:rtl/>
          <w:lang w:val="en-GB"/>
        </w:rPr>
        <w:t>؛</w:t>
      </w:r>
    </w:p>
    <w:p w14:paraId="08ED6A10" w14:textId="77777777" w:rsidR="00FC7323" w:rsidRPr="00FE2CFF" w:rsidRDefault="00FC7323" w:rsidP="00540ECE">
      <w:pPr>
        <w:spacing w:line="185" w:lineRule="auto"/>
        <w:rPr>
          <w:rtl/>
          <w:lang w:val="en-GB" w:bidi="ar-EG"/>
        </w:rPr>
      </w:pPr>
      <w:r w:rsidRPr="00FE2CFF">
        <w:t>16.1</w:t>
      </w:r>
      <w:r w:rsidRPr="00FE2CFF">
        <w:tab/>
      </w:r>
      <w:r w:rsidRPr="00FE2CFF">
        <w:rPr>
          <w:rFonts w:hint="cs"/>
          <w:rtl/>
          <w:lang w:val="es-ES"/>
        </w:rPr>
        <w:t xml:space="preserve">دراسة ووضع تدابير تقنية وتشغيلية وتنظيمية، حسب الاقتضاء، لتيسير استعمال نطاقات </w:t>
      </w:r>
      <w:r w:rsidRPr="00FE2CFF">
        <w:rPr>
          <w:rFonts w:hint="cs"/>
          <w:spacing w:val="-2"/>
          <w:rtl/>
          <w:lang w:val="es-ES"/>
        </w:rPr>
        <w:t>التردد </w:t>
      </w:r>
      <w:r w:rsidRPr="00FE2CFF">
        <w:rPr>
          <w:spacing w:val="-2"/>
          <w:lang w:bidi="ar-EG"/>
        </w:rPr>
        <w:t>GHz 18,6</w:t>
      </w:r>
      <w:r w:rsidRPr="00FE2CFF">
        <w:rPr>
          <w:spacing w:val="-2"/>
          <w:lang w:bidi="ar-EG"/>
        </w:rPr>
        <w:noBreakHyphen/>
        <w:t>17,7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bidi="ar-EG"/>
        </w:rPr>
        <w:t>GHz 19,3-18,8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 20,2-19,7</w:t>
      </w:r>
      <w:r w:rsidRPr="00FE2CFF">
        <w:rPr>
          <w:rFonts w:hint="cs"/>
          <w:spacing w:val="-2"/>
          <w:rtl/>
          <w:lang w:val="es-ES" w:bidi="ar-EG"/>
        </w:rPr>
        <w:t xml:space="preserve"> (فضاء-أرض) و</w:t>
      </w:r>
      <w:r w:rsidRPr="00FE2CFF">
        <w:rPr>
          <w:spacing w:val="-2"/>
          <w:lang w:bidi="ar-EG"/>
        </w:rPr>
        <w:t>GHz 29,1-27,5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 30-29,5</w:t>
      </w:r>
      <w:r w:rsidRPr="00FE2CFF">
        <w:rPr>
          <w:rFonts w:hint="cs"/>
          <w:spacing w:val="-2"/>
          <w:rtl/>
          <w:lang w:val="es-ES" w:bidi="ar-EG"/>
        </w:rPr>
        <w:t xml:space="preserve"> (أرض-فضاء)</w:t>
      </w:r>
      <w:r w:rsidRPr="00FE2CFF">
        <w:rPr>
          <w:rFonts w:hint="cs"/>
          <w:rtl/>
          <w:lang w:val="es-ES" w:bidi="ar-EG"/>
        </w:rPr>
        <w:t xml:space="preserve"> من جانب المحطات الأرضية المتحركة للخدمة الثابتة الساتلية غير المستقرة بالنسبة إلى الأرض، مع ضمان توفير الحماية للخدمات القائمة في نطاقات التردد هذه، وفقاً للقرار </w:t>
      </w:r>
      <w:r w:rsidRPr="00FE2CFF">
        <w:rPr>
          <w:b/>
          <w:lang w:val="en-GB" w:bidi="ar-EG"/>
        </w:rPr>
        <w:t>173 (WRC-19)</w:t>
      </w:r>
      <w:r w:rsidRPr="00FE2CFF">
        <w:rPr>
          <w:rFonts w:hint="cs"/>
          <w:b/>
          <w:rtl/>
          <w:lang w:val="es-ES" w:bidi="ar-EG"/>
        </w:rPr>
        <w:t>؛</w:t>
      </w:r>
    </w:p>
    <w:p w14:paraId="170AABDA" w14:textId="7CBDE123" w:rsidR="00FC7323" w:rsidRPr="00A369C3" w:rsidRDefault="00FC7323" w:rsidP="00FC7323">
      <w:pPr>
        <w:spacing w:line="185" w:lineRule="auto"/>
        <w:rPr>
          <w:b/>
          <w:lang w:val="es-ES" w:bidi="ar-EG"/>
        </w:rPr>
      </w:pPr>
      <w:r w:rsidRPr="00A369C3">
        <w:t>17.1</w:t>
      </w:r>
      <w:r w:rsidRPr="00A369C3">
        <w:tab/>
      </w:r>
      <w:r w:rsidRPr="00A369C3">
        <w:rPr>
          <w:rFonts w:hint="cs"/>
          <w:rtl/>
          <w:lang w:val="es-ES"/>
        </w:rPr>
        <w:t>تحديد وتنفيذ التدابير التنظيمية المناسبة، استناداً إلى الدراسات التي يُجريها قطاع الاتصالات الراديوية وفقاً للقرار</w:t>
      </w:r>
      <w:r w:rsidRPr="00A369C3">
        <w:rPr>
          <w:rFonts w:hint="eastAsia"/>
          <w:rtl/>
          <w:lang w:val="es-ES"/>
        </w:rPr>
        <w:t> </w:t>
      </w:r>
      <w:r w:rsidRPr="00A369C3">
        <w:rPr>
          <w:b/>
          <w:lang w:bidi="ar-EG"/>
        </w:rPr>
        <w:t>773 (WRC-19)</w:t>
      </w:r>
      <w:r w:rsidRPr="00A369C3">
        <w:rPr>
          <w:rFonts w:hint="cs"/>
          <w:b/>
          <w:rtl/>
          <w:lang w:val="es-ES"/>
        </w:rPr>
        <w:t>، لتوفير وصلات فيما بين السواتل في نطاقات تردد محددة، أو</w:t>
      </w:r>
      <w:r w:rsidRPr="00A369C3">
        <w:rPr>
          <w:rFonts w:hint="eastAsia"/>
          <w:b/>
          <w:rtl/>
          <w:lang w:val="es-ES"/>
        </w:rPr>
        <w:t> </w:t>
      </w:r>
      <w:r w:rsidRPr="00A369C3">
        <w:rPr>
          <w:rFonts w:hint="cs"/>
          <w:b/>
          <w:rtl/>
          <w:lang w:val="es-ES"/>
        </w:rPr>
        <w:t>أجزاء منها، بإضافة توزيع لخدمة ما</w:t>
      </w:r>
      <w:r w:rsidR="00A17D5E" w:rsidRPr="00A369C3">
        <w:rPr>
          <w:rFonts w:hint="eastAsia"/>
          <w:b/>
          <w:rtl/>
          <w:lang w:val="es-ES"/>
        </w:rPr>
        <w:t> </w:t>
      </w:r>
      <w:r w:rsidRPr="00A369C3">
        <w:rPr>
          <w:rFonts w:hint="cs"/>
          <w:b/>
          <w:rtl/>
          <w:lang w:val="es-ES"/>
        </w:rPr>
        <w:t>بين السواتل عند الاقتضاء</w:t>
      </w:r>
      <w:r w:rsidRPr="00A369C3">
        <w:rPr>
          <w:rFonts w:hint="cs"/>
          <w:b/>
          <w:rtl/>
          <w:lang w:val="es-ES" w:bidi="ar-EG"/>
        </w:rPr>
        <w:t>؛</w:t>
      </w:r>
    </w:p>
    <w:p w14:paraId="0F6F7AFA" w14:textId="77777777" w:rsidR="00FC7323" w:rsidRPr="00DE08AC" w:rsidRDefault="00FC7323" w:rsidP="00FC7323">
      <w:pPr>
        <w:spacing w:line="185" w:lineRule="auto"/>
        <w:rPr>
          <w:rtl/>
          <w:lang w:val="en-GB"/>
        </w:rPr>
      </w:pPr>
      <w:r w:rsidRPr="00DE08AC">
        <w:rPr>
          <w:bCs/>
          <w:lang w:val="es-ES" w:bidi="ar-EG"/>
        </w:rPr>
        <w:t>18.1</w:t>
      </w:r>
      <w:r w:rsidRPr="00DE08AC">
        <w:rPr>
          <w:b/>
          <w:lang w:val="es-ES" w:bidi="ar-EG"/>
        </w:rPr>
        <w:tab/>
      </w:r>
      <w:r w:rsidRPr="00DE08AC">
        <w:rPr>
          <w:rFonts w:hint="cs"/>
          <w:b/>
          <w:rtl/>
          <w:lang w:val="es-ES" w:bidi="ar-EG"/>
        </w:rPr>
        <w:t xml:space="preserve">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النطاق، وفقاً للقرار </w:t>
      </w:r>
      <w:r w:rsidRPr="00BC75B4">
        <w:rPr>
          <w:b/>
          <w:bCs/>
          <w:lang w:val="es-ES"/>
        </w:rPr>
        <w:t>248 (WRC-19)</w:t>
      </w:r>
      <w:r w:rsidRPr="00DE08AC">
        <w:rPr>
          <w:rFonts w:hint="cs"/>
          <w:b/>
          <w:rtl/>
          <w:lang w:val="es-ES" w:bidi="ar-EG"/>
        </w:rPr>
        <w:t>؛</w:t>
      </w:r>
    </w:p>
    <w:p w14:paraId="42CD85D0" w14:textId="77777777" w:rsidR="00FC7323" w:rsidRPr="0067305E" w:rsidRDefault="00FC7323" w:rsidP="00FC7323">
      <w:pPr>
        <w:spacing w:line="185" w:lineRule="auto"/>
        <w:rPr>
          <w:rtl/>
          <w:lang w:val="en-GB"/>
        </w:rPr>
      </w:pPr>
      <w:r w:rsidRPr="0067305E">
        <w:t>19.1</w:t>
      </w:r>
      <w:r w:rsidRPr="0067305E">
        <w:tab/>
      </w:r>
      <w:r w:rsidRPr="0067305E">
        <w:rPr>
          <w:rFonts w:hint="cs"/>
          <w:rtl/>
          <w:lang w:val="es-ES" w:bidi="ar-EG"/>
        </w:rPr>
        <w:t xml:space="preserve">النظر في توزيع جديد على أساس أولي للخدمة الثابتة الساتلية في الاتجاه فضاء-أرض في نطاق التردد </w:t>
      </w:r>
      <w:bookmarkStart w:id="1" w:name="_Hlk20395376"/>
      <w:r w:rsidRPr="0067305E">
        <w:rPr>
          <w:lang w:bidi="ar-EG"/>
        </w:rPr>
        <w:t>GHz 17,7-17,3</w:t>
      </w:r>
      <w:r w:rsidRPr="0067305E">
        <w:rPr>
          <w:rFonts w:hint="cs"/>
          <w:rtl/>
          <w:lang w:val="es-ES"/>
        </w:rPr>
        <w:t xml:space="preserve"> </w:t>
      </w:r>
      <w:bookmarkEnd w:id="1"/>
      <w:r w:rsidRPr="0067305E">
        <w:rPr>
          <w:rFonts w:hint="cs"/>
          <w:rtl/>
          <w:lang w:val="es-ES"/>
        </w:rPr>
        <w:t>في</w:t>
      </w:r>
      <w:r w:rsidRPr="0067305E">
        <w:rPr>
          <w:rFonts w:hint="eastAsia"/>
          <w:rtl/>
          <w:lang w:val="es-ES"/>
        </w:rPr>
        <w:t> </w:t>
      </w:r>
      <w:r w:rsidRPr="0067305E">
        <w:rPr>
          <w:rFonts w:hint="cs"/>
          <w:rtl/>
          <w:lang w:val="es-ES"/>
        </w:rPr>
        <w:t>الإقليم</w:t>
      </w:r>
      <w:r w:rsidRPr="0067305E">
        <w:rPr>
          <w:rFonts w:hint="eastAsia"/>
          <w:rtl/>
          <w:lang w:val="es-ES"/>
        </w:rPr>
        <w:t> </w:t>
      </w:r>
      <w:r w:rsidRPr="0067305E">
        <w:rPr>
          <w:lang w:bidi="ar-EG"/>
        </w:rPr>
        <w:t>2</w:t>
      </w:r>
      <w:r w:rsidRPr="0067305E">
        <w:rPr>
          <w:rFonts w:hint="cs"/>
          <w:rtl/>
          <w:lang w:val="es-ES"/>
        </w:rPr>
        <w:t xml:space="preserve">، مع حماية الخدمات الأولية القائمة في </w:t>
      </w:r>
      <w:r w:rsidRPr="0067305E">
        <w:rPr>
          <w:rFonts w:hint="cs"/>
          <w:rtl/>
          <w:lang w:val="es-ES" w:bidi="ar-EG"/>
        </w:rPr>
        <w:t>نطاق التردد</w:t>
      </w:r>
      <w:r w:rsidRPr="0067305E">
        <w:rPr>
          <w:rFonts w:hint="cs"/>
          <w:rtl/>
          <w:lang w:val="es-ES"/>
        </w:rPr>
        <w:t xml:space="preserve">، وفقاً للقرار </w:t>
      </w:r>
      <w:r w:rsidRPr="0067305E">
        <w:rPr>
          <w:b/>
          <w:bCs/>
        </w:rPr>
        <w:t>174 </w:t>
      </w:r>
      <w:r w:rsidRPr="0067305E">
        <w:rPr>
          <w:b/>
          <w:bCs/>
          <w:lang w:val="en-GB" w:bidi="ar-EG"/>
        </w:rPr>
        <w:t>(WRC-19)</w:t>
      </w:r>
      <w:r w:rsidRPr="0067305E">
        <w:rPr>
          <w:rFonts w:hint="cs"/>
          <w:rtl/>
          <w:lang w:val="es-ES"/>
        </w:rPr>
        <w:t>؛</w:t>
      </w:r>
    </w:p>
    <w:p w14:paraId="619350DB" w14:textId="33B5FF44" w:rsidR="00FC7323" w:rsidRPr="00FE2CFF" w:rsidRDefault="00FC7323" w:rsidP="00FC7323">
      <w:pPr>
        <w:spacing w:line="185" w:lineRule="auto"/>
      </w:pPr>
      <w:r w:rsidRPr="00FE2CFF">
        <w:t>2</w:t>
      </w:r>
      <w:r w:rsidRPr="00FE2CFF">
        <w:rPr>
          <w:rtl/>
        </w:rPr>
        <w:tab/>
      </w:r>
      <w:r w:rsidRPr="00FE2CFF">
        <w:rPr>
          <w:rFonts w:hint="cs"/>
          <w:rtl/>
        </w:rPr>
        <w:t>ت</w:t>
      </w:r>
      <w:r w:rsidRPr="00FE2CFF">
        <w:rPr>
          <w:rFonts w:hint="eastAsia"/>
          <w:rtl/>
        </w:rPr>
        <w:t>فحص</w:t>
      </w:r>
      <w:r w:rsidRPr="00FE2CFF">
        <w:rPr>
          <w:rtl/>
        </w:rPr>
        <w:t xml:space="preserve"> توصيات قطاع الاتصالات الراديوية </w:t>
      </w:r>
      <w:r w:rsidRPr="00FE2CFF">
        <w:t>(ITU-R)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tl/>
        </w:rPr>
        <w:t>المراج</w:t>
      </w:r>
      <w:r w:rsidRPr="00FE2CFF">
        <w:rPr>
          <w:rFonts w:hint="cs"/>
          <w:rtl/>
        </w:rPr>
        <w:t>َ</w:t>
      </w:r>
      <w:r w:rsidRPr="00FE2CFF">
        <w:rPr>
          <w:rtl/>
        </w:rPr>
        <w:t xml:space="preserve">عة والمضمّنة بالإحالة في لوائح الراديو، والتي تقدمت بها جمعية الاتصالات الراديوية، وفقاً </w:t>
      </w:r>
      <w:r w:rsidRPr="00FE2CFF">
        <w:rPr>
          <w:rFonts w:hint="cs"/>
          <w:rtl/>
        </w:rPr>
        <w:t xml:space="preserve">للفقرة </w:t>
      </w:r>
      <w:r w:rsidRPr="00FE2CFF">
        <w:rPr>
          <w:i/>
          <w:iCs/>
          <w:rtl/>
        </w:rPr>
        <w:t xml:space="preserve">"يقرر كذلك" </w:t>
      </w:r>
      <w:r w:rsidRPr="00FE2CFF">
        <w:rPr>
          <w:rFonts w:hint="cs"/>
          <w:rtl/>
        </w:rPr>
        <w:t>من القرار</w:t>
      </w:r>
      <w:r w:rsidRPr="00FE2CFF">
        <w:rPr>
          <w:rtl/>
        </w:rPr>
        <w:t xml:space="preserve"> </w:t>
      </w:r>
      <w:r w:rsidRPr="00FE2CFF">
        <w:rPr>
          <w:b/>
          <w:bCs/>
        </w:rPr>
        <w:t>27 (Rev.WRC</w:t>
      </w:r>
      <w:r w:rsidRPr="00FE2CFF">
        <w:rPr>
          <w:b/>
          <w:bCs/>
          <w:lang w:val="en-GB"/>
        </w:rPr>
        <w:noBreakHyphen/>
        <w:t>19</w:t>
      </w:r>
      <w:r w:rsidRPr="00FE2CFF">
        <w:rPr>
          <w:b/>
          <w:bCs/>
        </w:rPr>
        <w:t>)</w:t>
      </w:r>
      <w:r w:rsidRPr="00FE2CFF">
        <w:rPr>
          <w:rFonts w:hint="eastAsia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والبت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ضرورة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تحديث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الإحالات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ذات</w:t>
      </w:r>
      <w:r w:rsidR="00344BE3">
        <w:rPr>
          <w:rFonts w:hint="cs"/>
          <w:rtl/>
        </w:rPr>
        <w:t> </w:t>
      </w:r>
      <w:r w:rsidRPr="00FE2CFF">
        <w:rPr>
          <w:rFonts w:hint="eastAsia"/>
          <w:rtl/>
        </w:rPr>
        <w:t>الصلة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لوائح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الراديو،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وفقاً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للمبادئ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الواردة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تحت </w:t>
      </w:r>
      <w:r w:rsidRPr="00FE2CFF">
        <w:rPr>
          <w:i/>
          <w:iCs/>
          <w:rtl/>
        </w:rPr>
        <w:t xml:space="preserve">"يقرر" </w:t>
      </w:r>
      <w:r w:rsidRPr="00FE2CFF">
        <w:rPr>
          <w:rFonts w:hint="cs"/>
          <w:rtl/>
        </w:rPr>
        <w:t>من ذلك القرار</w:t>
      </w:r>
      <w:r w:rsidRPr="00FE2CFF">
        <w:rPr>
          <w:rFonts w:hint="eastAsia"/>
          <w:rtl/>
        </w:rPr>
        <w:t>؛</w:t>
      </w:r>
    </w:p>
    <w:p w14:paraId="6B91C8A8" w14:textId="77777777" w:rsidR="00FC7323" w:rsidRPr="00FE2CFF" w:rsidRDefault="00FC7323" w:rsidP="00FC7323">
      <w:pPr>
        <w:spacing w:line="180" w:lineRule="auto"/>
      </w:pPr>
      <w:r w:rsidRPr="00FE2CFF">
        <w:t>3</w:t>
      </w:r>
      <w:r w:rsidRPr="00FE2CFF">
        <w:rPr>
          <w:rFonts w:hint="cs"/>
          <w:rtl/>
        </w:rPr>
        <w:tab/>
        <w:t>النظر فيما قد يترتب من تغييرات أو تعديلات ضرورية في لوائح الراديو نتيجة للقرارات التي يتخذها المؤتمر؛</w:t>
      </w:r>
    </w:p>
    <w:p w14:paraId="52CBD2D6" w14:textId="77777777" w:rsidR="00FC7323" w:rsidRPr="00FE2CFF" w:rsidRDefault="00FC7323" w:rsidP="00FC7323">
      <w:pPr>
        <w:spacing w:line="180" w:lineRule="auto"/>
      </w:pPr>
      <w:r w:rsidRPr="00FE2CFF">
        <w:t>4</w:t>
      </w:r>
      <w:r w:rsidRPr="00FE2CFF">
        <w:rPr>
          <w:rFonts w:hint="cs"/>
          <w:rtl/>
        </w:rPr>
        <w:tab/>
        <w:t xml:space="preserve">استعراض القرارات والتوصيات الصادرة عن المؤتمرات السابقة، وفقاً للقرار </w:t>
      </w:r>
      <w:r w:rsidRPr="00FE2CFF">
        <w:rPr>
          <w:b/>
          <w:bCs/>
        </w:rPr>
        <w:t>95 (Rev.WRC</w:t>
      </w:r>
      <w:r w:rsidRPr="00FE2CFF">
        <w:rPr>
          <w:b/>
          <w:bCs/>
          <w:lang w:val="en-GB"/>
        </w:rPr>
        <w:noBreakHyphen/>
        <w:t>19</w:t>
      </w:r>
      <w:r w:rsidRPr="00FE2CFF">
        <w:rPr>
          <w:b/>
          <w:bCs/>
        </w:rPr>
        <w:t>)</w:t>
      </w:r>
      <w:r w:rsidRPr="00FE2CFF">
        <w:rPr>
          <w:rFonts w:hint="cs"/>
          <w:rtl/>
        </w:rPr>
        <w:t xml:space="preserve">، للنظر في إمكانية مراجعتها أو استبدالها أو إلغائها؛ </w:t>
      </w:r>
    </w:p>
    <w:p w14:paraId="706434AE" w14:textId="77777777" w:rsidR="00FC7323" w:rsidRPr="00FE2CFF" w:rsidRDefault="00FC7323" w:rsidP="00FC7323">
      <w:pPr>
        <w:spacing w:line="180" w:lineRule="auto"/>
        <w:rPr>
          <w:spacing w:val="-4"/>
        </w:rPr>
      </w:pPr>
      <w:r w:rsidRPr="00FE2CFF">
        <w:rPr>
          <w:spacing w:val="-4"/>
        </w:rPr>
        <w:t>5</w:t>
      </w:r>
      <w:r w:rsidRPr="00FE2CFF">
        <w:rPr>
          <w:rFonts w:hint="cs"/>
          <w:spacing w:val="-4"/>
          <w:rtl/>
        </w:rPr>
        <w:tab/>
        <w:t xml:space="preserve">استعراض تقرير جمعية الاتصالات الراديوية المقدم وفقاً للرقمين </w:t>
      </w:r>
      <w:r w:rsidRPr="00FE2CFF">
        <w:rPr>
          <w:spacing w:val="-4"/>
        </w:rPr>
        <w:t>135</w:t>
      </w:r>
      <w:r w:rsidRPr="00FE2CFF">
        <w:rPr>
          <w:rFonts w:hint="cs"/>
          <w:spacing w:val="-4"/>
          <w:rtl/>
        </w:rPr>
        <w:t xml:space="preserve"> و</w:t>
      </w:r>
      <w:r w:rsidRPr="00FE2CFF">
        <w:rPr>
          <w:spacing w:val="-4"/>
        </w:rPr>
        <w:t>136</w:t>
      </w:r>
      <w:r w:rsidRPr="00FE2CFF">
        <w:rPr>
          <w:rFonts w:hint="cs"/>
          <w:spacing w:val="-4"/>
          <w:rtl/>
        </w:rPr>
        <w:t xml:space="preserve"> من اتفاقية الاتحاد واتخاذ التدابير المناسبة</w:t>
      </w:r>
      <w:r w:rsidRPr="00FE2CFF">
        <w:rPr>
          <w:rFonts w:hint="eastAsia"/>
          <w:spacing w:val="-4"/>
          <w:rtl/>
        </w:rPr>
        <w:t> </w:t>
      </w:r>
      <w:r w:rsidRPr="00FE2CFF">
        <w:rPr>
          <w:rFonts w:hint="cs"/>
          <w:spacing w:val="-4"/>
          <w:rtl/>
        </w:rPr>
        <w:t>بشأنه؛</w:t>
      </w:r>
    </w:p>
    <w:p w14:paraId="4F45E85A" w14:textId="77777777" w:rsidR="00FC7323" w:rsidRPr="00FE2CFF" w:rsidRDefault="00FC7323" w:rsidP="00FC7323">
      <w:pPr>
        <w:spacing w:line="180" w:lineRule="auto"/>
        <w:rPr>
          <w:rtl/>
        </w:rPr>
      </w:pPr>
      <w:r w:rsidRPr="00FE2CFF">
        <w:t>6</w:t>
      </w:r>
      <w:r w:rsidRPr="00FE2CFF">
        <w:rPr>
          <w:rFonts w:hint="cs"/>
          <w:rtl/>
        </w:rPr>
        <w:tab/>
        <w:t>تحديد البنود التي تتطلب من لجان دراسات الاتصالات الراديوية اتخاذ تدابير عاجلة بشأنها تحضيراً للمؤتمر العالمي التالي للاتصالات الراديوية؛</w:t>
      </w:r>
    </w:p>
    <w:p w14:paraId="47EFA953" w14:textId="253B037C" w:rsidR="00FC7323" w:rsidRPr="00F348E3" w:rsidRDefault="00FC7323" w:rsidP="00FC7323">
      <w:pPr>
        <w:rPr>
          <w:rtl/>
        </w:rPr>
      </w:pPr>
      <w:r w:rsidRPr="00F348E3">
        <w:lastRenderedPageBreak/>
        <w:t>7</w:t>
      </w:r>
      <w:r w:rsidRPr="00F348E3">
        <w:rPr>
          <w:rFonts w:hint="cs"/>
          <w:rtl/>
        </w:rPr>
        <w:tab/>
      </w:r>
      <w:r w:rsidRPr="00F348E3">
        <w:rPr>
          <w:rFonts w:hint="eastAsia"/>
          <w:rtl/>
        </w:rPr>
        <w:t>النظر</w:t>
      </w:r>
      <w:r w:rsidRPr="00F348E3">
        <w:rPr>
          <w:rtl/>
        </w:rPr>
        <w:t xml:space="preserve"> في أي تغييرات قد يلزم إجراؤها، </w:t>
      </w:r>
      <w:r w:rsidRPr="00F348E3">
        <w:rPr>
          <w:rFonts w:hint="eastAsia"/>
          <w:rtl/>
        </w:rPr>
        <w:t>تطبيقاً</w:t>
      </w:r>
      <w:r w:rsidRPr="00F348E3">
        <w:rPr>
          <w:rtl/>
        </w:rPr>
        <w:t xml:space="preserve"> للقرار </w:t>
      </w:r>
      <w:r w:rsidRPr="00F348E3">
        <w:t>86</w:t>
      </w:r>
      <w:r w:rsidRPr="00F348E3">
        <w:rPr>
          <w:rtl/>
        </w:rPr>
        <w:t xml:space="preserve"> (المراج</w:t>
      </w:r>
      <w:r w:rsidRPr="00F348E3">
        <w:rPr>
          <w:rFonts w:hint="cs"/>
          <w:rtl/>
        </w:rPr>
        <w:t>َ</w:t>
      </w:r>
      <w:r w:rsidRPr="00F348E3">
        <w:rPr>
          <w:rtl/>
        </w:rPr>
        <w:t xml:space="preserve">ع في مراكش، </w:t>
      </w:r>
      <w:r w:rsidRPr="00F348E3">
        <w:t>(2002</w:t>
      </w:r>
      <w:r w:rsidRPr="00F348E3">
        <w:rPr>
          <w:rtl/>
        </w:rPr>
        <w:t xml:space="preserve"> لمؤتمر</w:t>
      </w:r>
      <w:r w:rsidRPr="00F348E3">
        <w:rPr>
          <w:rFonts w:hint="eastAsia"/>
          <w:rtl/>
        </w:rPr>
        <w:t> المندوبين</w:t>
      </w:r>
      <w:r w:rsidRPr="00F348E3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F348E3">
        <w:rPr>
          <w:rFonts w:hint="eastAsia"/>
          <w:rtl/>
        </w:rPr>
        <w:t>الساتلية</w:t>
      </w:r>
      <w:r w:rsidRPr="00F348E3">
        <w:rPr>
          <w:rtl/>
        </w:rPr>
        <w:t>"، وفقاً للقرار</w:t>
      </w:r>
      <w:r w:rsidR="002B3AC7">
        <w:rPr>
          <w:rFonts w:hint="cs"/>
          <w:rtl/>
        </w:rPr>
        <w:t> </w:t>
      </w:r>
      <w:r w:rsidRPr="00F348E3">
        <w:rPr>
          <w:b/>
          <w:bCs/>
        </w:rPr>
        <w:t>86 (Rev.WRC</w:t>
      </w:r>
      <w:r w:rsidRPr="00F348E3">
        <w:rPr>
          <w:b/>
          <w:bCs/>
          <w:lang w:val="en-GB"/>
        </w:rPr>
        <w:noBreakHyphen/>
        <w:t>07</w:t>
      </w:r>
      <w:r w:rsidRPr="00F348E3">
        <w:rPr>
          <w:b/>
          <w:bCs/>
        </w:rPr>
        <w:t>)</w:t>
      </w:r>
      <w:r w:rsidRPr="00F348E3">
        <w:rPr>
          <w:rFonts w:hint="cs"/>
          <w:rtl/>
        </w:rPr>
        <w:t>،</w:t>
      </w:r>
      <w:r w:rsidRPr="00F348E3">
        <w:rPr>
          <w:rtl/>
        </w:rPr>
        <w:t xml:space="preserve"> تيسيراً للاستخدام الرشيد والفع</w:t>
      </w:r>
      <w:r w:rsidRPr="00F348E3">
        <w:rPr>
          <w:rFonts w:hint="cs"/>
          <w:rtl/>
        </w:rPr>
        <w:t>ّ</w:t>
      </w:r>
      <w:r w:rsidRPr="00F348E3">
        <w:rPr>
          <w:rtl/>
        </w:rPr>
        <w:t xml:space="preserve">ال والاقتصادي للترددات الراديوية وأي مدارات مرتبطة بها، بما فيها مدار </w:t>
      </w:r>
      <w:r w:rsidRPr="00F348E3">
        <w:rPr>
          <w:rFonts w:hint="eastAsia"/>
          <w:rtl/>
        </w:rPr>
        <w:t>السواتل</w:t>
      </w:r>
      <w:r w:rsidRPr="00F348E3">
        <w:rPr>
          <w:rtl/>
        </w:rPr>
        <w:t xml:space="preserve"> المستقرة بالنسبة للأرض؛</w:t>
      </w:r>
    </w:p>
    <w:p w14:paraId="503FACD1" w14:textId="77777777" w:rsidR="00FC7323" w:rsidRDefault="00FC7323" w:rsidP="00FC7323">
      <w:pPr>
        <w:spacing w:line="180" w:lineRule="auto"/>
        <w:rPr>
          <w:rtl/>
        </w:rPr>
      </w:pPr>
      <w:r w:rsidRPr="00FE2CFF">
        <w:t>8</w:t>
      </w:r>
      <w:r w:rsidRPr="00FE2CFF">
        <w:rPr>
          <w:rFonts w:hint="cs"/>
          <w:rtl/>
        </w:rPr>
        <w:tab/>
      </w:r>
      <w:r w:rsidRPr="00FE2CFF">
        <w:rPr>
          <w:rFonts w:hint="eastAsia"/>
          <w:rtl/>
        </w:rPr>
        <w:t>النظر</w:t>
      </w:r>
      <w:r w:rsidRPr="00FE2CFF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FE2CFF">
        <w:rPr>
          <w:rFonts w:hint="cs"/>
          <w:rtl/>
        </w:rPr>
        <w:t> </w:t>
      </w:r>
      <w:r w:rsidRPr="00FE2CFF">
        <w:rPr>
          <w:rtl/>
        </w:rPr>
        <w:t>لم ت</w:t>
      </w:r>
      <w:r w:rsidRPr="00FE2CFF">
        <w:rPr>
          <w:rFonts w:hint="cs"/>
          <w:rtl/>
        </w:rPr>
        <w:t>َ</w:t>
      </w:r>
      <w:r w:rsidRPr="00FE2CFF">
        <w:rPr>
          <w:rtl/>
        </w:rPr>
        <w:t xml:space="preserve">عد مطلوبة، </w:t>
      </w:r>
      <w:r w:rsidRPr="00FE2CFF">
        <w:rPr>
          <w:rFonts w:hint="cs"/>
          <w:rtl/>
        </w:rPr>
        <w:t>مع مراعاة ال</w:t>
      </w:r>
      <w:r w:rsidRPr="00FE2CFF">
        <w:rPr>
          <w:rtl/>
        </w:rPr>
        <w:t xml:space="preserve">قرار </w:t>
      </w:r>
      <w:r w:rsidRPr="00FE2CFF">
        <w:rPr>
          <w:b/>
          <w:bCs/>
        </w:rPr>
        <w:t>26 (Rev.WRC</w:t>
      </w:r>
      <w:r w:rsidRPr="00FE2CFF">
        <w:rPr>
          <w:b/>
          <w:bCs/>
          <w:lang w:val="en-GB"/>
        </w:rPr>
        <w:noBreakHyphen/>
        <w:t>19</w:t>
      </w:r>
      <w:r w:rsidRPr="00FE2CFF">
        <w:rPr>
          <w:b/>
          <w:bCs/>
        </w:rPr>
        <w:t>)</w:t>
      </w:r>
      <w:r w:rsidRPr="00FE2CFF">
        <w:rPr>
          <w:rFonts w:hint="eastAsia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واتخاذ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التدابير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المناسبة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بشأنها؛</w:t>
      </w:r>
    </w:p>
    <w:p w14:paraId="638E7979" w14:textId="77777777" w:rsidR="00FC7323" w:rsidRPr="00FE2CFF" w:rsidRDefault="00FC7323" w:rsidP="00FC7323">
      <w:pPr>
        <w:spacing w:line="180" w:lineRule="auto"/>
        <w:rPr>
          <w:rtl/>
        </w:rPr>
      </w:pPr>
      <w:r w:rsidRPr="00FE2CFF">
        <w:t>9</w:t>
      </w:r>
      <w:r w:rsidRPr="00FE2CFF">
        <w:rPr>
          <w:rFonts w:hint="cs"/>
          <w:rtl/>
        </w:rPr>
        <w:tab/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الاتحاد؛</w:t>
      </w:r>
    </w:p>
    <w:p w14:paraId="6BD700AE" w14:textId="77777777" w:rsidR="00FC7323" w:rsidRPr="00FE2CFF" w:rsidRDefault="00FC7323" w:rsidP="00FC7323">
      <w:pPr>
        <w:spacing w:line="180" w:lineRule="auto"/>
      </w:pPr>
      <w:r w:rsidRPr="00FE2CFF">
        <w:t>1.9</w:t>
      </w:r>
      <w:r w:rsidRPr="00FE2CFF">
        <w:rPr>
          <w:rFonts w:hint="cs"/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3241F85E" w14:textId="77777777" w:rsidR="00FC7323" w:rsidRPr="00FE2CFF" w:rsidRDefault="00FC7323" w:rsidP="00E92CA4">
      <w:pPr>
        <w:pStyle w:val="enumlev1"/>
        <w:rPr>
          <w:rtl/>
          <w:lang w:val="es-ES"/>
        </w:rPr>
      </w:pPr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r w:rsidRPr="00FE2CFF">
        <w:rPr>
          <w:rtl/>
          <w:lang w:val="es-ES"/>
        </w:rPr>
        <w:t xml:space="preserve">استعراض نتائج الدراسات المتعلقة بالخصائص التقنية والتشغيلية لأجهزة استشعار الأحوال الجوية الفضائية </w:t>
      </w:r>
      <w:r w:rsidRPr="00FE2CFF">
        <w:rPr>
          <w:rFonts w:hint="cs"/>
          <w:rtl/>
          <w:lang w:val="es-ES"/>
        </w:rPr>
        <w:t>ومتطلباتها</w:t>
      </w:r>
      <w:r w:rsidRPr="00FE2CFF">
        <w:rPr>
          <w:rtl/>
          <w:lang w:val="es-ES"/>
        </w:rPr>
        <w:t xml:space="preserve"> من الطيف وتسمي</w:t>
      </w:r>
      <w:r w:rsidRPr="00FE2CFF">
        <w:rPr>
          <w:rFonts w:hint="cs"/>
          <w:rtl/>
          <w:lang w:val="es-ES"/>
        </w:rPr>
        <w:t>ات</w:t>
      </w:r>
      <w:r w:rsidRPr="00FE2CFF">
        <w:rPr>
          <w:rtl/>
          <w:lang w:val="es-ES"/>
        </w:rPr>
        <w:t xml:space="preserve"> الخدمات الراديوية المناسبة لها، وفقاً للقرار </w:t>
      </w:r>
      <w:r w:rsidRPr="00FE2CFF">
        <w:rPr>
          <w:b/>
          <w:bCs/>
          <w:lang w:bidi="ar-EG"/>
        </w:rPr>
        <w:t>657</w:t>
      </w:r>
      <w:r w:rsidRPr="00FE2CFF">
        <w:rPr>
          <w:b/>
          <w:bCs/>
          <w:lang w:val="en-GB" w:bidi="ar-EG"/>
        </w:rPr>
        <w:t xml:space="preserve"> (Rev.WRC-19)</w:t>
      </w:r>
      <w:r w:rsidRPr="00FE2CFF">
        <w:rPr>
          <w:rtl/>
          <w:lang w:val="es-ES"/>
        </w:rPr>
        <w:t>، بُغية منحها الاعتراف والحماية على النحو المناسب في لوائح الراديو دون فرض قيود إضافية على الخدمات القائمة؛</w:t>
      </w:r>
    </w:p>
    <w:p w14:paraId="27E1EA05" w14:textId="77777777" w:rsidR="00FC7323" w:rsidRPr="00FE2CFF" w:rsidRDefault="00FC7323" w:rsidP="00E92CA4">
      <w:pPr>
        <w:pStyle w:val="enumlev1"/>
        <w:rPr>
          <w:b/>
          <w:rtl/>
          <w:lang w:val="es-ES"/>
        </w:rPr>
      </w:pPr>
      <w:r w:rsidRPr="00FE2CFF">
        <w:rPr>
          <w:rFonts w:hint="cs"/>
          <w:rtl/>
          <w:lang w:val="es-ES"/>
        </w:rPr>
        <w:t>-</w:t>
      </w:r>
      <w:r w:rsidRPr="00FE2CFF">
        <w:rPr>
          <w:rtl/>
          <w:lang w:val="es-ES"/>
        </w:rPr>
        <w:tab/>
      </w:r>
      <w:r w:rsidRPr="00FE2CFF">
        <w:rPr>
          <w:rFonts w:hint="cs"/>
          <w:rtl/>
          <w:lang w:val="es-ES"/>
        </w:rPr>
        <w:t>استعراض توزيعات خدمة الهواة وخدمة الهواة الساتلية في نطاق التردد </w:t>
      </w:r>
      <w:r w:rsidRPr="00FE2CFF">
        <w:rPr>
          <w:lang w:val="en-GB"/>
        </w:rPr>
        <w:t>MHz 1 300- 1 240</w:t>
      </w:r>
      <w:r w:rsidRPr="00FE2CFF">
        <w:rPr>
          <w:rFonts w:hint="cs"/>
          <w:rtl/>
          <w:lang w:val="es-ES"/>
        </w:rPr>
        <w:t xml:space="preserve"> لتحديد مدى الحاجة إلى تدابير إضافية لضمان حماية خدمة الملاحة الراديوية الساتلية (فضاء-أرض) العاملة في نفس نطاق التردد وفقاً للقرار</w:t>
      </w:r>
      <w:r w:rsidRPr="00FE2CFF">
        <w:rPr>
          <w:rFonts w:hint="eastAsia"/>
          <w:rtl/>
          <w:lang w:val="es-ES"/>
        </w:rPr>
        <w:t> </w:t>
      </w:r>
      <w:r w:rsidRPr="00FE2CFF">
        <w:rPr>
          <w:b/>
        </w:rPr>
        <w:t>774 </w:t>
      </w:r>
      <w:r w:rsidRPr="00FE2CFF">
        <w:rPr>
          <w:b/>
          <w:lang w:val="en-GB"/>
        </w:rPr>
        <w:t>(WRC-19)</w:t>
      </w:r>
      <w:r w:rsidRPr="00FE2CFF">
        <w:rPr>
          <w:rFonts w:hint="cs"/>
          <w:b/>
          <w:rtl/>
          <w:lang w:val="es-ES"/>
        </w:rPr>
        <w:t>؛</w:t>
      </w:r>
    </w:p>
    <w:p w14:paraId="20DB7A51" w14:textId="77777777" w:rsidR="00FC7323" w:rsidRPr="00FE2CFF" w:rsidRDefault="00FC7323" w:rsidP="00E92CA4">
      <w:pPr>
        <w:pStyle w:val="enumlev1"/>
        <w:rPr>
          <w:rtl/>
          <w:lang w:bidi="ar-EG"/>
        </w:rPr>
      </w:pPr>
      <w:r w:rsidRPr="00FE2CFF">
        <w:rPr>
          <w:rFonts w:hint="cs"/>
          <w:rtl/>
          <w:lang w:val="es-ES"/>
        </w:rPr>
        <w:t>-</w:t>
      </w:r>
      <w:r w:rsidRPr="00FE2CFF">
        <w:rPr>
          <w:rtl/>
          <w:lang w:val="es-ES"/>
        </w:rPr>
        <w:tab/>
      </w:r>
      <w:r w:rsidRPr="00FE2CFF">
        <w:rPr>
          <w:rFonts w:hint="cs"/>
          <w:rtl/>
          <w:lang w:val="es-ES"/>
        </w:rPr>
        <w:t xml:space="preserve">دراسة استعمال أنظمة الاتصالات المتنقلة الدولية من أجل النطاق العريض اللاسلكي الثابت في نطاقات التردد الموزعة على أساس أولي للخدمات الثابتة، وفقاً للقرار </w:t>
      </w:r>
      <w:r w:rsidRPr="00FE2CFF">
        <w:rPr>
          <w:b/>
          <w:bCs/>
          <w:lang w:val="en-GB"/>
        </w:rPr>
        <w:t>175 (WRC-19)</w:t>
      </w:r>
      <w:r w:rsidRPr="00FE2CFF">
        <w:rPr>
          <w:rFonts w:hint="cs"/>
          <w:rtl/>
          <w:lang w:val="es-ES"/>
        </w:rPr>
        <w:t>؛</w:t>
      </w:r>
    </w:p>
    <w:p w14:paraId="1EF02741" w14:textId="77777777" w:rsidR="00FC7323" w:rsidRPr="00FE2CFF" w:rsidRDefault="00FC7323" w:rsidP="00FC7323">
      <w:pPr>
        <w:spacing w:line="180" w:lineRule="auto"/>
        <w:rPr>
          <w:rtl/>
        </w:rPr>
      </w:pPr>
      <w:r w:rsidRPr="00FE2CFF">
        <w:t>2.9</w:t>
      </w:r>
      <w:r w:rsidRPr="00FE2CFF">
        <w:rPr>
          <w:rFonts w:hint="cs"/>
          <w:rtl/>
        </w:rPr>
        <w:tab/>
        <w:t>بشأن أي صعوبات أو حالات تضارب وُوجهت في تطبيق لوائح الراديو</w:t>
      </w:r>
      <w:r w:rsidRPr="00FE2CFF">
        <w:rPr>
          <w:rStyle w:val="FootnoteReference"/>
          <w:rtl/>
        </w:rPr>
        <w:footnoteReference w:customMarkFollows="1" w:id="1"/>
        <w:t>1</w:t>
      </w:r>
      <w:r w:rsidRPr="00FE2CFF">
        <w:rPr>
          <w:rFonts w:hint="cs"/>
          <w:rtl/>
        </w:rPr>
        <w:t>؛</w:t>
      </w:r>
    </w:p>
    <w:p w14:paraId="7E1EBA6E" w14:textId="77777777" w:rsidR="00FC7323" w:rsidRPr="00FE2CFF" w:rsidRDefault="00FC7323" w:rsidP="00FC7323">
      <w:pPr>
        <w:spacing w:line="180" w:lineRule="auto"/>
        <w:rPr>
          <w:sz w:val="28"/>
          <w:szCs w:val="28"/>
          <w:rtl/>
          <w:lang w:bidi="ar-EG"/>
        </w:rPr>
      </w:pPr>
      <w:r w:rsidRPr="00FE2CFF">
        <w:t>3.9</w:t>
      </w:r>
      <w:r w:rsidRPr="00FE2CFF">
        <w:rPr>
          <w:rFonts w:hint="cs"/>
          <w:rtl/>
        </w:rPr>
        <w:tab/>
        <w:t xml:space="preserve">بشأن اتخاذ تدابير استجابة للقرار </w:t>
      </w:r>
      <w:r w:rsidRPr="00FE2CFF">
        <w:rPr>
          <w:b/>
          <w:bCs/>
        </w:rPr>
        <w:t>80 (Rev.WRC</w:t>
      </w:r>
      <w:r w:rsidRPr="00FE2CFF">
        <w:rPr>
          <w:b/>
          <w:bCs/>
          <w:iCs/>
          <w:lang w:val="en-GB"/>
        </w:rPr>
        <w:t>-07</w:t>
      </w:r>
      <w:r w:rsidRPr="00FE2CFF">
        <w:rPr>
          <w:b/>
          <w:bCs/>
        </w:rPr>
        <w:t>)</w:t>
      </w:r>
      <w:r w:rsidRPr="00FE2CFF">
        <w:rPr>
          <w:rFonts w:hint="cs"/>
          <w:rtl/>
        </w:rPr>
        <w:t>؛</w:t>
      </w:r>
    </w:p>
    <w:p w14:paraId="7BE31BA6" w14:textId="5611085D" w:rsidR="00FC7323" w:rsidRPr="00FE2CFF" w:rsidRDefault="00FC7323" w:rsidP="00FC7323">
      <w:pPr>
        <w:spacing w:line="180" w:lineRule="auto"/>
        <w:rPr>
          <w:rtl/>
        </w:rPr>
      </w:pPr>
      <w:r w:rsidRPr="00FE2CFF">
        <w:t>10</w:t>
      </w:r>
      <w:r w:rsidRPr="00FE2CFF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="00047AD0">
        <w:rPr>
          <w:rFonts w:hint="cs"/>
          <w:rtl/>
        </w:rPr>
        <w:t>.</w:t>
      </w:r>
    </w:p>
    <w:p w14:paraId="5E4C8AF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D5BC" w14:textId="77777777" w:rsidR="00E3334F" w:rsidRDefault="00E3334F" w:rsidP="006C3242">
      <w:pPr>
        <w:spacing w:before="0" w:line="240" w:lineRule="auto"/>
      </w:pPr>
      <w:r>
        <w:separator/>
      </w:r>
    </w:p>
  </w:endnote>
  <w:endnote w:type="continuationSeparator" w:id="0">
    <w:p w14:paraId="1623C1BE" w14:textId="77777777" w:rsidR="00E3334F" w:rsidRDefault="00E333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6683" w14:textId="22BADD31" w:rsidR="006C3242" w:rsidRPr="0026373E" w:rsidRDefault="006C3242" w:rsidP="00E7406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C75B4">
      <w:rPr>
        <w:color w:val="D9D9D9" w:themeColor="background1" w:themeShade="D9"/>
        <w:sz w:val="16"/>
        <w:szCs w:val="16"/>
        <w:lang w:val="fr-FR"/>
      </w:rPr>
      <w:fldChar w:fldCharType="begin"/>
    </w:r>
    <w:r w:rsidRPr="00BC75B4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BC75B4">
      <w:rPr>
        <w:color w:val="D9D9D9" w:themeColor="background1" w:themeShade="D9"/>
        <w:sz w:val="16"/>
        <w:szCs w:val="16"/>
        <w:lang w:val="fr-FR"/>
      </w:rPr>
      <w:fldChar w:fldCharType="separate"/>
    </w:r>
    <w:r w:rsidR="00AE0CBB" w:rsidRPr="00BC75B4">
      <w:rPr>
        <w:noProof/>
        <w:color w:val="D9D9D9" w:themeColor="background1" w:themeShade="D9"/>
        <w:sz w:val="16"/>
        <w:szCs w:val="16"/>
        <w:lang w:val="fr-FR"/>
      </w:rPr>
      <w:t>P:\ARA\SG\CONSEIL\C20\000\069COR1A.docx</w:t>
    </w:r>
    <w:r w:rsidRPr="00BC75B4">
      <w:rPr>
        <w:color w:val="D9D9D9" w:themeColor="background1" w:themeShade="D9"/>
        <w:sz w:val="16"/>
        <w:szCs w:val="16"/>
      </w:rPr>
      <w:fldChar w:fldCharType="end"/>
    </w:r>
    <w:r w:rsidRPr="00BC75B4">
      <w:rPr>
        <w:color w:val="D9D9D9" w:themeColor="background1" w:themeShade="D9"/>
        <w:sz w:val="16"/>
        <w:szCs w:val="16"/>
        <w:lang w:val="fr-FR"/>
      </w:rPr>
      <w:t xml:space="preserve"> (</w:t>
    </w:r>
    <w:r w:rsidR="00AE0CBB" w:rsidRPr="00BC75B4">
      <w:rPr>
        <w:color w:val="D9D9D9" w:themeColor="background1" w:themeShade="D9"/>
        <w:sz w:val="16"/>
        <w:szCs w:val="16"/>
        <w:lang w:val="fr-CH"/>
      </w:rPr>
      <w:t>518997</w:t>
    </w:r>
    <w:r w:rsidRPr="00BC75B4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AD7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DE4B" w14:textId="77777777" w:rsidR="00E3334F" w:rsidRDefault="00E3334F" w:rsidP="006C3242">
      <w:pPr>
        <w:spacing w:before="0" w:line="240" w:lineRule="auto"/>
      </w:pPr>
      <w:r>
        <w:separator/>
      </w:r>
    </w:p>
  </w:footnote>
  <w:footnote w:type="continuationSeparator" w:id="0">
    <w:p w14:paraId="61854B51" w14:textId="77777777" w:rsidR="00E3334F" w:rsidRDefault="00E3334F" w:rsidP="006C3242">
      <w:pPr>
        <w:spacing w:before="0" w:line="240" w:lineRule="auto"/>
      </w:pPr>
      <w:r>
        <w:continuationSeparator/>
      </w:r>
    </w:p>
  </w:footnote>
  <w:footnote w:id="1">
    <w:p w14:paraId="52A89BBA" w14:textId="3FA83A00" w:rsidR="00FC7323" w:rsidRPr="00F348E3" w:rsidRDefault="00FC7323" w:rsidP="00F91E77">
      <w:pPr>
        <w:pStyle w:val="FootnoteText"/>
        <w:tabs>
          <w:tab w:val="clear" w:pos="794"/>
          <w:tab w:val="left" w:pos="425"/>
        </w:tabs>
        <w:spacing w:line="180" w:lineRule="auto"/>
        <w:ind w:left="425" w:hanging="425"/>
        <w:rPr>
          <w:spacing w:val="-2"/>
          <w:rtl/>
        </w:rPr>
      </w:pPr>
      <w:bookmarkStart w:id="2" w:name="_Hlk41570497"/>
      <w:bookmarkStart w:id="3" w:name="_Hlk41570498"/>
      <w:r w:rsidRPr="00F348E3">
        <w:rPr>
          <w:rStyle w:val="FootnoteReference"/>
          <w:spacing w:val="-2"/>
          <w:rtl/>
        </w:rPr>
        <w:t>1</w:t>
      </w:r>
      <w:r w:rsidRPr="00F348E3">
        <w:rPr>
          <w:spacing w:val="-2"/>
        </w:rPr>
        <w:tab/>
      </w:r>
      <w:r w:rsidRPr="00F348E3">
        <w:rPr>
          <w:rFonts w:hint="cs"/>
          <w:spacing w:val="-2"/>
          <w:rtl/>
        </w:rPr>
        <w:t>هذا البند من جدول الأعمال يقتصر حصراً على تقرير المدير فيما</w:t>
      </w:r>
      <w:r w:rsidRPr="00F348E3">
        <w:rPr>
          <w:rFonts w:hint="eastAsia"/>
          <w:spacing w:val="-2"/>
          <w:rtl/>
        </w:rPr>
        <w:t> </w:t>
      </w:r>
      <w:r w:rsidRPr="00F348E3">
        <w:rPr>
          <w:rFonts w:hint="cs"/>
          <w:spacing w:val="-2"/>
          <w:rtl/>
        </w:rPr>
        <w:t xml:space="preserve"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</w:t>
      </w:r>
      <w:r w:rsidR="007D021E">
        <w:rPr>
          <w:rFonts w:hint="cs"/>
          <w:spacing w:val="-2"/>
          <w:rtl/>
        </w:rPr>
        <w:t>بأي</w:t>
      </w:r>
      <w:r w:rsidRPr="00F348E3">
        <w:rPr>
          <w:rFonts w:hint="cs"/>
          <w:spacing w:val="-2"/>
          <w:rtl/>
        </w:rPr>
        <w:t xml:space="preserve"> صعوبات أو حالات تضارب واجهتها في</w:t>
      </w:r>
      <w:r w:rsidRPr="00F348E3">
        <w:rPr>
          <w:rFonts w:hint="eastAsia"/>
          <w:spacing w:val="-2"/>
          <w:rtl/>
        </w:rPr>
        <w:t> </w:t>
      </w:r>
      <w:r w:rsidRPr="00F348E3">
        <w:rPr>
          <w:rFonts w:hint="cs"/>
          <w:spacing w:val="-2"/>
          <w:rtl/>
        </w:rPr>
        <w:t>تطبيق لوائح الراديو.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AA3C" w14:textId="4EF6C0B2" w:rsidR="00447F32" w:rsidRPr="00447F32" w:rsidRDefault="0000000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74065">
          <w:rPr>
            <w:rFonts w:cs="Calibri"/>
            <w:noProof/>
            <w:sz w:val="20"/>
            <w:szCs w:val="20"/>
          </w:rPr>
          <w:t>69</w:t>
        </w:r>
        <w:r w:rsidR="00147468">
          <w:rPr>
            <w:rFonts w:cs="Calibri"/>
            <w:noProof/>
            <w:sz w:val="20"/>
            <w:szCs w:val="20"/>
          </w:rPr>
          <w:t>(</w:t>
        </w:r>
        <w:r w:rsidR="001D366B">
          <w:rPr>
            <w:rFonts w:cs="Calibri"/>
            <w:noProof/>
            <w:sz w:val="20"/>
            <w:szCs w:val="20"/>
          </w:rPr>
          <w:t>C</w:t>
        </w:r>
        <w:r w:rsidR="00147468">
          <w:rPr>
            <w:rFonts w:cs="Calibri"/>
            <w:noProof/>
            <w:sz w:val="20"/>
            <w:szCs w:val="20"/>
          </w:rPr>
          <w:t>or</w:t>
        </w:r>
        <w:r w:rsidR="00B6630B">
          <w:rPr>
            <w:rFonts w:cs="Calibri"/>
            <w:noProof/>
            <w:sz w:val="20"/>
            <w:szCs w:val="20"/>
          </w:rPr>
          <w:t>r</w:t>
        </w:r>
        <w:r w:rsidR="00147468">
          <w:rPr>
            <w:rFonts w:cs="Calibri"/>
            <w:noProof/>
            <w:sz w:val="20"/>
            <w:szCs w:val="20"/>
          </w:rPr>
          <w:t>.</w:t>
        </w:r>
        <w:r w:rsidR="001D366B">
          <w:rPr>
            <w:rFonts w:cs="Calibri"/>
            <w:noProof/>
            <w:sz w:val="20"/>
            <w:szCs w:val="20"/>
          </w:rPr>
          <w:t>1</w:t>
        </w:r>
        <w:r w:rsidR="00147468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8447295">
    <w:abstractNumId w:val="9"/>
  </w:num>
  <w:num w:numId="2" w16cid:durableId="977612486">
    <w:abstractNumId w:val="7"/>
  </w:num>
  <w:num w:numId="3" w16cid:durableId="1435593132">
    <w:abstractNumId w:val="6"/>
  </w:num>
  <w:num w:numId="4" w16cid:durableId="1939481521">
    <w:abstractNumId w:val="5"/>
  </w:num>
  <w:num w:numId="5" w16cid:durableId="806581532">
    <w:abstractNumId w:val="4"/>
  </w:num>
  <w:num w:numId="6" w16cid:durableId="1646349254">
    <w:abstractNumId w:val="8"/>
  </w:num>
  <w:num w:numId="7" w16cid:durableId="1815948122">
    <w:abstractNumId w:val="3"/>
  </w:num>
  <w:num w:numId="8" w16cid:durableId="1435436536">
    <w:abstractNumId w:val="2"/>
  </w:num>
  <w:num w:numId="9" w16cid:durableId="1135950896">
    <w:abstractNumId w:val="1"/>
  </w:num>
  <w:num w:numId="10" w16cid:durableId="214707325">
    <w:abstractNumId w:val="0"/>
  </w:num>
  <w:num w:numId="11" w16cid:durableId="148791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D5"/>
    <w:rsid w:val="00026916"/>
    <w:rsid w:val="00047AD0"/>
    <w:rsid w:val="00090574"/>
    <w:rsid w:val="000A51FF"/>
    <w:rsid w:val="000C1C0E"/>
    <w:rsid w:val="000C548A"/>
    <w:rsid w:val="000E78A4"/>
    <w:rsid w:val="00147468"/>
    <w:rsid w:val="00176125"/>
    <w:rsid w:val="001826BB"/>
    <w:rsid w:val="001C0169"/>
    <w:rsid w:val="001D1D50"/>
    <w:rsid w:val="001D366B"/>
    <w:rsid w:val="001D6745"/>
    <w:rsid w:val="001E446E"/>
    <w:rsid w:val="002154EE"/>
    <w:rsid w:val="002276D2"/>
    <w:rsid w:val="0023283D"/>
    <w:rsid w:val="00233198"/>
    <w:rsid w:val="0026373E"/>
    <w:rsid w:val="00271C43"/>
    <w:rsid w:val="00290728"/>
    <w:rsid w:val="002978F4"/>
    <w:rsid w:val="002B028D"/>
    <w:rsid w:val="002B3AC7"/>
    <w:rsid w:val="002E6541"/>
    <w:rsid w:val="002F71D8"/>
    <w:rsid w:val="00334924"/>
    <w:rsid w:val="0033546E"/>
    <w:rsid w:val="003409BC"/>
    <w:rsid w:val="00344BE3"/>
    <w:rsid w:val="00355552"/>
    <w:rsid w:val="00357185"/>
    <w:rsid w:val="00383829"/>
    <w:rsid w:val="003C6B4F"/>
    <w:rsid w:val="003F4B29"/>
    <w:rsid w:val="003F7629"/>
    <w:rsid w:val="004238FA"/>
    <w:rsid w:val="0042686F"/>
    <w:rsid w:val="004317D8"/>
    <w:rsid w:val="00434183"/>
    <w:rsid w:val="00443869"/>
    <w:rsid w:val="00447F32"/>
    <w:rsid w:val="004735B0"/>
    <w:rsid w:val="004914C3"/>
    <w:rsid w:val="004B486D"/>
    <w:rsid w:val="004D21F0"/>
    <w:rsid w:val="004E11DC"/>
    <w:rsid w:val="004E58CD"/>
    <w:rsid w:val="005409AC"/>
    <w:rsid w:val="00540ECE"/>
    <w:rsid w:val="0055516A"/>
    <w:rsid w:val="0055547B"/>
    <w:rsid w:val="00570410"/>
    <w:rsid w:val="0058491B"/>
    <w:rsid w:val="00592EA5"/>
    <w:rsid w:val="005A3170"/>
    <w:rsid w:val="005B1652"/>
    <w:rsid w:val="00614855"/>
    <w:rsid w:val="0067305E"/>
    <w:rsid w:val="00677396"/>
    <w:rsid w:val="0069200F"/>
    <w:rsid w:val="006A65CB"/>
    <w:rsid w:val="006A793B"/>
    <w:rsid w:val="006B0912"/>
    <w:rsid w:val="006C3242"/>
    <w:rsid w:val="006C7CC0"/>
    <w:rsid w:val="006F63F7"/>
    <w:rsid w:val="007025C7"/>
    <w:rsid w:val="00706D7A"/>
    <w:rsid w:val="00722F0D"/>
    <w:rsid w:val="0074420E"/>
    <w:rsid w:val="00783E26"/>
    <w:rsid w:val="007A091E"/>
    <w:rsid w:val="007C1451"/>
    <w:rsid w:val="007C3BC7"/>
    <w:rsid w:val="007C3BCD"/>
    <w:rsid w:val="007D021E"/>
    <w:rsid w:val="007D4ACF"/>
    <w:rsid w:val="007F0787"/>
    <w:rsid w:val="00810B7B"/>
    <w:rsid w:val="00814B64"/>
    <w:rsid w:val="0082358A"/>
    <w:rsid w:val="008235CD"/>
    <w:rsid w:val="008247DE"/>
    <w:rsid w:val="00837A00"/>
    <w:rsid w:val="00840B10"/>
    <w:rsid w:val="008513CB"/>
    <w:rsid w:val="00881C57"/>
    <w:rsid w:val="00895798"/>
    <w:rsid w:val="008A7F84"/>
    <w:rsid w:val="0091702E"/>
    <w:rsid w:val="009204C2"/>
    <w:rsid w:val="00923B0C"/>
    <w:rsid w:val="00934FFF"/>
    <w:rsid w:val="0094021C"/>
    <w:rsid w:val="00952F86"/>
    <w:rsid w:val="00982B28"/>
    <w:rsid w:val="0099486C"/>
    <w:rsid w:val="009A0603"/>
    <w:rsid w:val="009D313F"/>
    <w:rsid w:val="00A17D5E"/>
    <w:rsid w:val="00A369C3"/>
    <w:rsid w:val="00A47A5A"/>
    <w:rsid w:val="00A6683B"/>
    <w:rsid w:val="00A97F94"/>
    <w:rsid w:val="00AE0CBB"/>
    <w:rsid w:val="00B03099"/>
    <w:rsid w:val="00B05BC8"/>
    <w:rsid w:val="00B104D0"/>
    <w:rsid w:val="00B37DCC"/>
    <w:rsid w:val="00B64B47"/>
    <w:rsid w:val="00B6630B"/>
    <w:rsid w:val="00BB7213"/>
    <w:rsid w:val="00BC75B4"/>
    <w:rsid w:val="00BD71EF"/>
    <w:rsid w:val="00BD7D3B"/>
    <w:rsid w:val="00BE16E0"/>
    <w:rsid w:val="00BE3662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47AD"/>
    <w:rsid w:val="00D10CCF"/>
    <w:rsid w:val="00D77D0F"/>
    <w:rsid w:val="00D92749"/>
    <w:rsid w:val="00DA1CF0"/>
    <w:rsid w:val="00DB7626"/>
    <w:rsid w:val="00DC1E02"/>
    <w:rsid w:val="00DC24B4"/>
    <w:rsid w:val="00DC5FB0"/>
    <w:rsid w:val="00DE08AC"/>
    <w:rsid w:val="00DF16DC"/>
    <w:rsid w:val="00E3334F"/>
    <w:rsid w:val="00E42DEF"/>
    <w:rsid w:val="00E45211"/>
    <w:rsid w:val="00E473C5"/>
    <w:rsid w:val="00E53186"/>
    <w:rsid w:val="00E74065"/>
    <w:rsid w:val="00E92863"/>
    <w:rsid w:val="00E92CA4"/>
    <w:rsid w:val="00EB796D"/>
    <w:rsid w:val="00F058DC"/>
    <w:rsid w:val="00F13AA8"/>
    <w:rsid w:val="00F24CB7"/>
    <w:rsid w:val="00F24FC4"/>
    <w:rsid w:val="00F2676C"/>
    <w:rsid w:val="00F348E3"/>
    <w:rsid w:val="00F4298B"/>
    <w:rsid w:val="00F84366"/>
    <w:rsid w:val="00F85089"/>
    <w:rsid w:val="00F91E77"/>
    <w:rsid w:val="00F974C5"/>
    <w:rsid w:val="00FA6F46"/>
    <w:rsid w:val="00FC60DE"/>
    <w:rsid w:val="00FC7323"/>
    <w:rsid w:val="00FE08D5"/>
    <w:rsid w:val="00FE5872"/>
    <w:rsid w:val="00FE7FC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61E0"/>
  <w15:chartTrackingRefBased/>
  <w15:docId w15:val="{C5706CE2-0950-4025-A718-860E57FE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F00D5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00D5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rsid w:val="00E74065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E74065"/>
    <w:rPr>
      <w:rFonts w:ascii="Dubai" w:hAnsi="Dubai" w:cs="Dubai"/>
      <w:b/>
      <w:bCs/>
      <w:sz w:val="28"/>
      <w:szCs w:val="28"/>
      <w:lang w:bidi="ar-SY"/>
    </w:rPr>
  </w:style>
  <w:style w:type="character" w:customStyle="1" w:styleId="Artref">
    <w:name w:val="Art_ref"/>
    <w:rsid w:val="00FC7323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enumlev10">
    <w:name w:val="enumlev1"/>
    <w:basedOn w:val="Normal"/>
    <w:next w:val="Normal"/>
    <w:link w:val="enumlev1Char"/>
    <w:qFormat/>
    <w:rsid w:val="00FC7323"/>
    <w:pPr>
      <w:tabs>
        <w:tab w:val="clear" w:pos="794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FC7323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Appref">
    <w:name w:val="App_ref"/>
    <w:basedOn w:val="DefaultParagraphFont"/>
    <w:qFormat/>
    <w:rsid w:val="00FC7323"/>
    <w:rPr>
      <w:rFonts w:ascii="Times New Roman Bold" w:hAnsi="Times New Roman Bold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Brouard, Ricarda</cp:lastModifiedBy>
  <cp:revision>3</cp:revision>
  <dcterms:created xsi:type="dcterms:W3CDTF">2023-02-24T16:46:00Z</dcterms:created>
  <dcterms:modified xsi:type="dcterms:W3CDTF">2023-02-24T16:46:00Z</dcterms:modified>
</cp:coreProperties>
</file>