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0C6E441" w14:textId="77777777">
        <w:trPr>
          <w:cantSplit/>
        </w:trPr>
        <w:tc>
          <w:tcPr>
            <w:tcW w:w="6911" w:type="dxa"/>
          </w:tcPr>
          <w:p w14:paraId="74287139"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E8C8B40" w14:textId="77777777" w:rsidR="00700D1F" w:rsidRDefault="008418F5" w:rsidP="008418F5">
            <w:pPr>
              <w:spacing w:before="0"/>
            </w:pPr>
            <w:bookmarkStart w:id="0" w:name="ditulogo"/>
            <w:bookmarkEnd w:id="0"/>
            <w:r>
              <w:rPr>
                <w:noProof/>
                <w:lang w:eastAsia="zh-CN"/>
              </w:rPr>
              <w:drawing>
                <wp:inline distT="0" distB="0" distL="0" distR="0" wp14:anchorId="1F282DBC" wp14:editId="636F56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37D6F7A" w14:textId="77777777">
        <w:trPr>
          <w:cantSplit/>
        </w:trPr>
        <w:tc>
          <w:tcPr>
            <w:tcW w:w="6911" w:type="dxa"/>
            <w:tcBorders>
              <w:bottom w:val="single" w:sz="12" w:space="0" w:color="auto"/>
            </w:tcBorders>
          </w:tcPr>
          <w:p w14:paraId="692F487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5FBAF35" w14:textId="77777777" w:rsidR="00700D1F" w:rsidRPr="00617BE4" w:rsidRDefault="00700D1F" w:rsidP="00001B77">
            <w:pPr>
              <w:spacing w:before="0"/>
              <w:rPr>
                <w:rFonts w:ascii="Verdana" w:hAnsi="Verdana"/>
                <w:szCs w:val="24"/>
              </w:rPr>
            </w:pPr>
          </w:p>
        </w:tc>
      </w:tr>
      <w:tr w:rsidR="00700D1F" w:rsidRPr="00617BE4" w14:paraId="7413812F" w14:textId="77777777">
        <w:trPr>
          <w:cantSplit/>
        </w:trPr>
        <w:tc>
          <w:tcPr>
            <w:tcW w:w="6911" w:type="dxa"/>
            <w:tcBorders>
              <w:top w:val="single" w:sz="12" w:space="0" w:color="auto"/>
            </w:tcBorders>
          </w:tcPr>
          <w:p w14:paraId="6E2A726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D731C59" w14:textId="77777777" w:rsidR="00700D1F" w:rsidRPr="00617BE4" w:rsidRDefault="00700D1F" w:rsidP="00001B77">
            <w:pPr>
              <w:spacing w:before="0"/>
              <w:rPr>
                <w:rFonts w:ascii="Verdana" w:hAnsi="Verdana"/>
                <w:szCs w:val="24"/>
              </w:rPr>
            </w:pPr>
          </w:p>
        </w:tc>
      </w:tr>
      <w:tr w:rsidR="00700D1F" w14:paraId="0E607664" w14:textId="77777777">
        <w:trPr>
          <w:cantSplit/>
          <w:trHeight w:val="23"/>
        </w:trPr>
        <w:tc>
          <w:tcPr>
            <w:tcW w:w="6911" w:type="dxa"/>
            <w:vMerge w:val="restart"/>
          </w:tcPr>
          <w:p w14:paraId="2B4FD5D9" w14:textId="5F11FE2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C65B0" w:rsidRPr="005C65B0">
              <w:rPr>
                <w:b/>
              </w:rPr>
              <w:t>ADM 32</w:t>
            </w:r>
          </w:p>
        </w:tc>
        <w:tc>
          <w:tcPr>
            <w:tcW w:w="3120" w:type="dxa"/>
          </w:tcPr>
          <w:p w14:paraId="30CB9D5B" w14:textId="55777900"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5C65B0">
              <w:rPr>
                <w:b/>
                <w:bCs/>
                <w:szCs w:val="24"/>
                <w:lang w:eastAsia="zh-CN"/>
              </w:rPr>
              <w:t>61</w:t>
            </w:r>
            <w:r w:rsidRPr="00FC5386">
              <w:rPr>
                <w:b/>
                <w:bCs/>
                <w:szCs w:val="24"/>
                <w:lang w:eastAsia="zh-CN"/>
              </w:rPr>
              <w:t>-C</w:t>
            </w:r>
          </w:p>
        </w:tc>
      </w:tr>
      <w:bookmarkEnd w:id="1"/>
      <w:tr w:rsidR="00700D1F" w14:paraId="0088AF20" w14:textId="77777777">
        <w:trPr>
          <w:cantSplit/>
          <w:trHeight w:val="23"/>
        </w:trPr>
        <w:tc>
          <w:tcPr>
            <w:tcW w:w="6911" w:type="dxa"/>
            <w:vMerge/>
          </w:tcPr>
          <w:p w14:paraId="25AA9500" w14:textId="77777777" w:rsidR="00700D1F" w:rsidRDefault="00700D1F" w:rsidP="00001B77">
            <w:pPr>
              <w:tabs>
                <w:tab w:val="left" w:pos="851"/>
              </w:tabs>
              <w:rPr>
                <w:b/>
                <w:lang w:eastAsia="zh-CN"/>
              </w:rPr>
            </w:pPr>
          </w:p>
        </w:tc>
        <w:tc>
          <w:tcPr>
            <w:tcW w:w="3120" w:type="dxa"/>
          </w:tcPr>
          <w:p w14:paraId="1C22DD18" w14:textId="73EF3436"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5C65B0">
              <w:rPr>
                <w:rFonts w:asciiTheme="minorHAnsi" w:hAnsiTheme="minorHAnsi" w:cstheme="minorHAnsi"/>
                <w:b/>
                <w:bCs/>
                <w:szCs w:val="24"/>
                <w:lang w:eastAsia="zh-CN"/>
              </w:rPr>
              <w:t>5</w:t>
            </w:r>
            <w:r w:rsidRPr="00FC5386">
              <w:rPr>
                <w:rFonts w:hint="eastAsia"/>
                <w:b/>
                <w:bCs/>
                <w:szCs w:val="24"/>
                <w:lang w:eastAsia="zh-CN"/>
              </w:rPr>
              <w:t>月</w:t>
            </w:r>
            <w:r w:rsidR="005C65B0">
              <w:rPr>
                <w:rFonts w:asciiTheme="minorHAnsi" w:hAnsiTheme="minorHAnsi" w:cstheme="minorHAnsi"/>
                <w:b/>
                <w:bCs/>
                <w:szCs w:val="24"/>
                <w:lang w:eastAsia="zh-CN"/>
              </w:rPr>
              <w:t>7</w:t>
            </w:r>
            <w:r w:rsidRPr="00FC5386">
              <w:rPr>
                <w:rFonts w:hint="eastAsia"/>
                <w:b/>
                <w:bCs/>
                <w:szCs w:val="24"/>
                <w:lang w:eastAsia="zh-CN"/>
              </w:rPr>
              <w:t>日</w:t>
            </w:r>
          </w:p>
        </w:tc>
      </w:tr>
      <w:tr w:rsidR="00700D1F" w14:paraId="52C1A73C" w14:textId="77777777">
        <w:trPr>
          <w:cantSplit/>
          <w:trHeight w:val="23"/>
        </w:trPr>
        <w:tc>
          <w:tcPr>
            <w:tcW w:w="6911" w:type="dxa"/>
            <w:vMerge/>
          </w:tcPr>
          <w:p w14:paraId="16B30418" w14:textId="77777777" w:rsidR="00700D1F" w:rsidRDefault="00700D1F" w:rsidP="00001B77">
            <w:pPr>
              <w:tabs>
                <w:tab w:val="left" w:pos="851"/>
              </w:tabs>
              <w:rPr>
                <w:b/>
                <w:lang w:eastAsia="zh-CN"/>
              </w:rPr>
            </w:pPr>
          </w:p>
        </w:tc>
        <w:tc>
          <w:tcPr>
            <w:tcW w:w="3120" w:type="dxa"/>
          </w:tcPr>
          <w:p w14:paraId="6CB0B94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CCB2813" w14:textId="77777777">
        <w:trPr>
          <w:cantSplit/>
        </w:trPr>
        <w:tc>
          <w:tcPr>
            <w:tcW w:w="10031" w:type="dxa"/>
          </w:tcPr>
          <w:p w14:paraId="6A398C6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475DB24" w14:textId="77777777">
        <w:trPr>
          <w:cantSplit/>
        </w:trPr>
        <w:tc>
          <w:tcPr>
            <w:tcW w:w="10031" w:type="dxa"/>
          </w:tcPr>
          <w:p w14:paraId="58CD3BA4" w14:textId="33EDA381" w:rsidR="0093362E" w:rsidRPr="00C05EEE" w:rsidRDefault="00016E1C" w:rsidP="00C05EEE">
            <w:pPr>
              <w:tabs>
                <w:tab w:val="clear" w:pos="794"/>
                <w:tab w:val="clear" w:pos="1191"/>
                <w:tab w:val="clear" w:pos="1588"/>
                <w:tab w:val="clear" w:pos="1985"/>
                <w:tab w:val="left" w:pos="567"/>
                <w:tab w:val="left" w:pos="1134"/>
                <w:tab w:val="left" w:pos="1701"/>
                <w:tab w:val="left" w:pos="2268"/>
                <w:tab w:val="left" w:pos="2835"/>
              </w:tabs>
              <w:spacing w:before="240"/>
              <w:jc w:val="center"/>
              <w:rPr>
                <w:rFonts w:eastAsia="Times New Roman"/>
                <w:caps/>
                <w:sz w:val="28"/>
                <w:highlight w:val="green"/>
                <w:lang w:eastAsia="zh-CN"/>
              </w:rPr>
            </w:pPr>
            <w:bookmarkStart w:id="2" w:name="lt_pId433"/>
            <w:r w:rsidRPr="006127EE">
              <w:rPr>
                <w:rFonts w:ascii="SimSun" w:hAnsi="SimSun" w:cs="SimSun" w:hint="eastAsia"/>
                <w:caps/>
                <w:sz w:val="28"/>
                <w:lang w:eastAsia="zh-CN"/>
              </w:rPr>
              <w:t>关于落实风险管理行动计划的报告</w:t>
            </w:r>
            <w:bookmarkEnd w:id="2"/>
          </w:p>
        </w:tc>
      </w:tr>
    </w:tbl>
    <w:p w14:paraId="624193BE"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33AC1B8"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8CDCE3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5C9D1DD5" w14:textId="3841855C" w:rsidR="00F161D0" w:rsidRPr="003136F1" w:rsidRDefault="00F161D0" w:rsidP="00F161D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SimSun" w:hAnsi="SimSun" w:cs="SimSun"/>
                <w:lang w:eastAsia="zh-CN"/>
              </w:rPr>
            </w:pPr>
            <w:r w:rsidRPr="00F161D0">
              <w:rPr>
                <w:rFonts w:ascii="SimSun" w:hAnsi="SimSun" w:cs="SimSun" w:hint="eastAsia"/>
                <w:lang w:eastAsia="zh-CN"/>
              </w:rPr>
              <w:t>本文件</w:t>
            </w:r>
            <w:r w:rsidR="00147905">
              <w:rPr>
                <w:rFonts w:ascii="SimSun" w:hAnsi="SimSun" w:cs="SimSun" w:hint="eastAsia"/>
                <w:lang w:eastAsia="zh-CN"/>
              </w:rPr>
              <w:t>介绍</w:t>
            </w:r>
            <w:r w:rsidR="003136F1">
              <w:rPr>
                <w:rFonts w:ascii="SimSun" w:hAnsi="SimSun" w:cs="SimSun" w:hint="eastAsia"/>
                <w:lang w:eastAsia="zh-CN"/>
              </w:rPr>
              <w:t>了</w:t>
            </w:r>
            <w:r w:rsidR="000F4956">
              <w:rPr>
                <w:rFonts w:ascii="SimSun" w:hAnsi="SimSun" w:cs="SimSun" w:hint="eastAsia"/>
                <w:lang w:eastAsia="zh-CN"/>
              </w:rPr>
              <w:t>关于</w:t>
            </w:r>
            <w:r w:rsidR="006B6A7E">
              <w:rPr>
                <w:rFonts w:ascii="SimSun" w:hAnsi="SimSun" w:cs="SimSun" w:hint="eastAsia"/>
                <w:lang w:eastAsia="zh-CN"/>
              </w:rPr>
              <w:t>落实</w:t>
            </w:r>
            <w:r w:rsidR="004D2DEA">
              <w:rPr>
                <w:rFonts w:ascii="SimSun" w:hAnsi="SimSun" w:cs="SimSun" w:hint="eastAsia"/>
                <w:lang w:eastAsia="zh-CN"/>
              </w:rPr>
              <w:t>旨在</w:t>
            </w:r>
            <w:r w:rsidR="003136F1" w:rsidRPr="003136F1">
              <w:rPr>
                <w:rFonts w:ascii="SimSun" w:hAnsi="SimSun" w:cs="SimSun"/>
                <w:lang w:eastAsia="zh-CN"/>
              </w:rPr>
              <w:t>加强国际电</w:t>
            </w:r>
            <w:proofErr w:type="gramStart"/>
            <w:r w:rsidR="003136F1" w:rsidRPr="003136F1">
              <w:rPr>
                <w:rFonts w:ascii="SimSun" w:hAnsi="SimSun" w:cs="SimSun"/>
                <w:lang w:eastAsia="zh-CN"/>
              </w:rPr>
              <w:t>联风险</w:t>
            </w:r>
            <w:proofErr w:type="gramEnd"/>
            <w:r w:rsidR="003136F1" w:rsidRPr="003136F1">
              <w:rPr>
                <w:rFonts w:ascii="SimSun" w:hAnsi="SimSun" w:cs="SimSun"/>
                <w:lang w:eastAsia="zh-CN"/>
              </w:rPr>
              <w:t>管理框架的行动计划</w:t>
            </w:r>
            <w:r w:rsidRPr="00F161D0">
              <w:rPr>
                <w:rFonts w:ascii="SimSun" w:hAnsi="SimSun" w:cs="SimSun" w:hint="eastAsia"/>
                <w:lang w:eastAsia="zh-CN"/>
              </w:rPr>
              <w:t>的中期报告，</w:t>
            </w:r>
            <w:r w:rsidR="00BC1DC9">
              <w:rPr>
                <w:rFonts w:ascii="SimSun" w:hAnsi="SimSun" w:cs="SimSun" w:hint="eastAsia"/>
                <w:lang w:eastAsia="zh-CN"/>
              </w:rPr>
              <w:t>是</w:t>
            </w:r>
            <w:r w:rsidR="003136F1">
              <w:rPr>
                <w:rFonts w:ascii="SimSun" w:hAnsi="SimSun" w:cs="SimSun" w:hint="eastAsia"/>
                <w:lang w:eastAsia="zh-CN"/>
              </w:rPr>
              <w:t>第</w:t>
            </w:r>
            <w:r w:rsidR="003136F1" w:rsidRPr="005C65B0">
              <w:rPr>
                <w:rFonts w:eastAsia="Times New Roman"/>
                <w:lang w:eastAsia="zh-CN"/>
              </w:rPr>
              <w:t>CWG-FHR-11/12</w:t>
            </w:r>
            <w:r w:rsidR="00147905">
              <w:rPr>
                <w:rFonts w:ascii="SimSun" w:hAnsi="SimSun" w:cs="SimSun" w:hint="eastAsia"/>
                <w:lang w:eastAsia="zh-CN"/>
              </w:rPr>
              <w:t>号文件中</w:t>
            </w:r>
            <w:r w:rsidR="00E645A8">
              <w:rPr>
                <w:rFonts w:ascii="SimSun" w:hAnsi="SimSun" w:cs="SimSun" w:hint="eastAsia"/>
                <w:lang w:eastAsia="zh-CN"/>
              </w:rPr>
              <w:t>所述</w:t>
            </w:r>
            <w:r w:rsidR="00147905">
              <w:rPr>
                <w:rFonts w:ascii="SimSun" w:hAnsi="SimSun" w:cs="SimSun" w:hint="eastAsia"/>
                <w:lang w:eastAsia="zh-CN"/>
              </w:rPr>
              <w:t>进展</w:t>
            </w:r>
            <w:r w:rsidRPr="00F161D0">
              <w:rPr>
                <w:rFonts w:ascii="SimSun" w:hAnsi="SimSun" w:cs="SimSun" w:hint="eastAsia"/>
                <w:lang w:eastAsia="zh-CN"/>
              </w:rPr>
              <w:t>报告的后续</w:t>
            </w:r>
            <w:r w:rsidR="003136F1">
              <w:rPr>
                <w:rFonts w:ascii="SimSun" w:hAnsi="SimSun" w:cs="SimSun" w:hint="eastAsia"/>
                <w:lang w:eastAsia="zh-CN"/>
              </w:rPr>
              <w:t>工作</w:t>
            </w:r>
            <w:r w:rsidRPr="00F161D0">
              <w:rPr>
                <w:rFonts w:ascii="SimSun" w:hAnsi="SimSun" w:cs="SimSun" w:hint="eastAsia"/>
                <w:lang w:eastAsia="zh-CN"/>
              </w:rPr>
              <w:t>。</w:t>
            </w:r>
          </w:p>
          <w:p w14:paraId="4804C7A3" w14:textId="389A073E" w:rsidR="00F161D0" w:rsidRPr="005C65B0" w:rsidRDefault="00F161D0" w:rsidP="00F161D0">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imes New Roman"/>
                <w:lang w:eastAsia="zh-CN"/>
              </w:rPr>
            </w:pPr>
            <w:r>
              <w:rPr>
                <w:rFonts w:ascii="SimSun" w:hAnsi="SimSun" w:cs="SimSun" w:hint="eastAsia"/>
                <w:lang w:eastAsia="zh-CN"/>
              </w:rPr>
              <w:t>本</w:t>
            </w:r>
            <w:r w:rsidRPr="00F161D0">
              <w:rPr>
                <w:rFonts w:ascii="SimSun" w:hAnsi="SimSun" w:cs="SimSun" w:hint="eastAsia"/>
                <w:lang w:eastAsia="zh-CN"/>
              </w:rPr>
              <w:t>文件</w:t>
            </w:r>
            <w:r w:rsidR="00C64000">
              <w:rPr>
                <w:rFonts w:ascii="SimSun" w:hAnsi="SimSun" w:cs="SimSun" w:hint="eastAsia"/>
                <w:lang w:eastAsia="zh-CN"/>
              </w:rPr>
              <w:t>在其</w:t>
            </w:r>
            <w:r w:rsidRPr="00F161D0">
              <w:rPr>
                <w:rFonts w:ascii="SimSun" w:hAnsi="SimSun" w:cs="SimSun" w:hint="eastAsia"/>
                <w:lang w:eastAsia="zh-CN"/>
              </w:rPr>
              <w:t>附件介绍了</w:t>
            </w:r>
            <w:r w:rsidR="00147905">
              <w:rPr>
                <w:rFonts w:ascii="SimSun" w:hAnsi="SimSun" w:cs="SimSun" w:hint="eastAsia"/>
                <w:lang w:eastAsia="zh-CN"/>
              </w:rPr>
              <w:t>经</w:t>
            </w:r>
            <w:r w:rsidRPr="00F161D0">
              <w:rPr>
                <w:rFonts w:ascii="SimSun" w:hAnsi="SimSun" w:cs="SimSun" w:hint="eastAsia"/>
                <w:lang w:eastAsia="zh-CN"/>
              </w:rPr>
              <w:t>修订的国际电</w:t>
            </w:r>
            <w:proofErr w:type="gramStart"/>
            <w:r w:rsidRPr="00F161D0">
              <w:rPr>
                <w:rFonts w:ascii="SimSun" w:hAnsi="SimSun" w:cs="SimSun" w:hint="eastAsia"/>
                <w:lang w:eastAsia="zh-CN"/>
              </w:rPr>
              <w:t>联风险</w:t>
            </w:r>
            <w:proofErr w:type="gramEnd"/>
            <w:r w:rsidRPr="00F161D0">
              <w:rPr>
                <w:rFonts w:ascii="SimSun" w:hAnsi="SimSun" w:cs="SimSun" w:hint="eastAsia"/>
                <w:lang w:eastAsia="zh-CN"/>
              </w:rPr>
              <w:t>管理政策和国际电</w:t>
            </w:r>
            <w:proofErr w:type="gramStart"/>
            <w:r w:rsidRPr="00F161D0">
              <w:rPr>
                <w:rFonts w:ascii="SimSun" w:hAnsi="SimSun" w:cs="SimSun" w:hint="eastAsia"/>
                <w:lang w:eastAsia="zh-CN"/>
              </w:rPr>
              <w:t>联风险</w:t>
            </w:r>
            <w:proofErr w:type="gramEnd"/>
            <w:r w:rsidRPr="00F161D0">
              <w:rPr>
                <w:rFonts w:ascii="SimSun" w:hAnsi="SimSun" w:cs="SimSun" w:hint="eastAsia"/>
                <w:lang w:eastAsia="zh-CN"/>
              </w:rPr>
              <w:t>偏好</w:t>
            </w:r>
            <w:r w:rsidR="00022C97">
              <w:rPr>
                <w:rFonts w:ascii="SimSun" w:hAnsi="SimSun" w:cs="SimSun" w:hint="eastAsia"/>
                <w:lang w:eastAsia="zh-CN"/>
              </w:rPr>
              <w:t>陈述书</w:t>
            </w:r>
            <w:r w:rsidRPr="00F161D0">
              <w:rPr>
                <w:rFonts w:ascii="SimSun" w:hAnsi="SimSun" w:cs="SimSun" w:hint="eastAsia"/>
                <w:lang w:eastAsia="zh-CN"/>
              </w:rPr>
              <w:t>。</w:t>
            </w:r>
          </w:p>
          <w:p w14:paraId="494726A7" w14:textId="77777777" w:rsidR="00B40A53" w:rsidRPr="003C2E37" w:rsidRDefault="00B40A53" w:rsidP="003C2E37">
            <w:pPr>
              <w:pStyle w:val="Headingb"/>
              <w:rPr>
                <w:lang w:eastAsia="zh-CN"/>
              </w:rPr>
            </w:pPr>
            <w:r>
              <w:rPr>
                <w:rFonts w:hint="eastAsia"/>
                <w:lang w:eastAsia="zh-CN"/>
              </w:rPr>
              <w:t>需采取的行动</w:t>
            </w:r>
          </w:p>
          <w:p w14:paraId="4016F218" w14:textId="0EA79F44" w:rsidR="003136F1" w:rsidRPr="00A66615" w:rsidRDefault="003136F1" w:rsidP="00B40A53">
            <w:pPr>
              <w:pStyle w:val="BodyTextIndent3"/>
              <w:spacing w:before="120"/>
              <w:ind w:firstLineChars="200" w:firstLine="480"/>
              <w:textAlignment w:val="baseline"/>
              <w:rPr>
                <w:sz w:val="24"/>
                <w:szCs w:val="22"/>
                <w:lang w:val="en-GB"/>
              </w:rPr>
            </w:pPr>
            <w:r w:rsidRPr="003136F1">
              <w:rPr>
                <w:rFonts w:hint="eastAsia"/>
                <w:sz w:val="24"/>
                <w:szCs w:val="22"/>
                <w:lang w:val="en-GB"/>
              </w:rPr>
              <w:t>请理事会</w:t>
            </w:r>
            <w:r w:rsidRPr="003136F1">
              <w:rPr>
                <w:rFonts w:hint="eastAsia"/>
                <w:b/>
                <w:bCs/>
                <w:sz w:val="24"/>
                <w:szCs w:val="22"/>
                <w:lang w:val="en-GB"/>
              </w:rPr>
              <w:t>审议</w:t>
            </w:r>
            <w:r>
              <w:rPr>
                <w:rFonts w:hint="eastAsia"/>
                <w:sz w:val="24"/>
                <w:szCs w:val="22"/>
                <w:lang w:val="en-GB"/>
              </w:rPr>
              <w:t>本</w:t>
            </w:r>
            <w:r w:rsidRPr="003136F1">
              <w:rPr>
                <w:rFonts w:hint="eastAsia"/>
                <w:sz w:val="24"/>
                <w:szCs w:val="22"/>
                <w:lang w:val="en-GB"/>
              </w:rPr>
              <w:t>报告，</w:t>
            </w:r>
            <w:r w:rsidRPr="003136F1">
              <w:rPr>
                <w:rFonts w:hint="eastAsia"/>
                <w:b/>
                <w:bCs/>
                <w:sz w:val="24"/>
                <w:szCs w:val="22"/>
                <w:lang w:val="en-GB"/>
              </w:rPr>
              <w:t>批准</w:t>
            </w:r>
            <w:r w:rsidRPr="003136F1">
              <w:rPr>
                <w:rFonts w:hint="eastAsia"/>
                <w:sz w:val="24"/>
                <w:szCs w:val="22"/>
                <w:lang w:val="en-GB"/>
              </w:rPr>
              <w:t>建议，并</w:t>
            </w:r>
            <w:r w:rsidR="00824D00">
              <w:rPr>
                <w:rFonts w:hint="eastAsia"/>
                <w:b/>
                <w:bCs/>
                <w:sz w:val="24"/>
                <w:szCs w:val="22"/>
                <w:lang w:val="en-GB"/>
              </w:rPr>
              <w:t>审议</w:t>
            </w:r>
            <w:r w:rsidRPr="003136F1">
              <w:rPr>
                <w:rFonts w:hint="eastAsia"/>
                <w:b/>
                <w:bCs/>
                <w:sz w:val="24"/>
                <w:szCs w:val="22"/>
                <w:lang w:val="en-GB"/>
              </w:rPr>
              <w:t>和批准</w:t>
            </w:r>
            <w:r>
              <w:rPr>
                <w:rFonts w:hint="eastAsia"/>
                <w:sz w:val="24"/>
                <w:szCs w:val="22"/>
                <w:lang w:val="en-GB"/>
              </w:rPr>
              <w:t>附件中</w:t>
            </w:r>
            <w:r w:rsidRPr="003136F1">
              <w:rPr>
                <w:rFonts w:hint="eastAsia"/>
                <w:sz w:val="24"/>
                <w:szCs w:val="22"/>
                <w:lang w:val="en-GB"/>
              </w:rPr>
              <w:t>经修订的国际电</w:t>
            </w:r>
            <w:proofErr w:type="gramStart"/>
            <w:r w:rsidRPr="003136F1">
              <w:rPr>
                <w:rFonts w:hint="eastAsia"/>
                <w:sz w:val="24"/>
                <w:szCs w:val="22"/>
                <w:lang w:val="en-GB"/>
              </w:rPr>
              <w:t>联风险</w:t>
            </w:r>
            <w:proofErr w:type="gramEnd"/>
            <w:r w:rsidRPr="003136F1">
              <w:rPr>
                <w:rFonts w:hint="eastAsia"/>
                <w:sz w:val="24"/>
                <w:szCs w:val="22"/>
                <w:lang w:val="en-GB"/>
              </w:rPr>
              <w:t>管理政策和风险偏好</w:t>
            </w:r>
            <w:r>
              <w:rPr>
                <w:rFonts w:ascii="SimSun" w:hAnsi="SimSun" w:cs="SimSun" w:hint="eastAsia"/>
              </w:rPr>
              <w:t>陈述书</w:t>
            </w:r>
            <w:r w:rsidRPr="003136F1">
              <w:rPr>
                <w:rFonts w:hint="eastAsia"/>
                <w:sz w:val="24"/>
                <w:szCs w:val="22"/>
                <w:lang w:val="en-GB"/>
              </w:rPr>
              <w:t>。</w:t>
            </w:r>
          </w:p>
          <w:p w14:paraId="0315CB7F" w14:textId="7AC6C5FE" w:rsidR="00B40A53" w:rsidRDefault="001115C8">
            <w:pPr>
              <w:jc w:val="center"/>
              <w:rPr>
                <w:sz w:val="28"/>
                <w:szCs w:val="22"/>
                <w:lang w:eastAsia="zh-CN"/>
              </w:rPr>
            </w:pPr>
            <w:r w:rsidRPr="00B43D65">
              <w:rPr>
                <w:sz w:val="22"/>
                <w:lang w:val="es-ES_tradnl"/>
              </w:rPr>
              <w:t>____________</w:t>
            </w:r>
          </w:p>
          <w:p w14:paraId="762C6927"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20CAE8D8" w14:textId="77777777" w:rsidR="009164A9" w:rsidRPr="008418F5" w:rsidRDefault="009164A9" w:rsidP="003C2E37">
            <w:pPr>
              <w:pStyle w:val="Headingb"/>
              <w:rPr>
                <w:lang w:eastAsia="zh-CN"/>
              </w:rPr>
            </w:pPr>
            <w:r w:rsidRPr="00FC5386">
              <w:rPr>
                <w:rFonts w:hint="eastAsia"/>
                <w:lang w:eastAsia="zh-CN"/>
              </w:rPr>
              <w:t>参考文件</w:t>
            </w:r>
          </w:p>
          <w:p w14:paraId="235371A0" w14:textId="1E521BDB" w:rsidR="003136F1" w:rsidRPr="00F37CD0" w:rsidRDefault="009472B1" w:rsidP="001115C8">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ascii="STKaiti" w:eastAsia="STKaiti" w:hAnsi="STKaiti" w:cstheme="minorHAnsi"/>
                <w:sz w:val="24"/>
                <w:lang w:eastAsia="zh-CN"/>
              </w:rPr>
            </w:pPr>
            <w:bookmarkStart w:id="3" w:name="lt_pId019"/>
            <w:r w:rsidRPr="00F37CD0">
              <w:rPr>
                <w:rFonts w:ascii="STKaiti" w:eastAsia="STKaiti" w:hAnsi="STKaiti" w:cstheme="minorHAnsi" w:hint="eastAsia"/>
                <w:sz w:val="24"/>
                <w:szCs w:val="24"/>
                <w:lang w:eastAsia="zh-CN"/>
              </w:rPr>
              <w:t>第</w:t>
            </w:r>
            <w:r w:rsidR="001115C8" w:rsidRPr="00F37CD0">
              <w:rPr>
                <w:rFonts w:ascii="STKaiti" w:eastAsia="STKaiti" w:hAnsi="STKaiti"/>
              </w:rPr>
              <w:fldChar w:fldCharType="begin"/>
            </w:r>
            <w:r w:rsidR="001115C8" w:rsidRPr="00F37CD0">
              <w:rPr>
                <w:rFonts w:ascii="STKaiti" w:eastAsia="STKaiti" w:hAnsi="STKaiti"/>
                <w:lang w:eastAsia="zh-CN"/>
              </w:rPr>
              <w:instrText xml:space="preserve"> HYPERLINK "https://www.itu.int/md/S20-CWGFHR11-C-0012/en" </w:instrText>
            </w:r>
            <w:r w:rsidR="001115C8" w:rsidRPr="00F37CD0">
              <w:rPr>
                <w:rFonts w:ascii="STKaiti" w:eastAsia="STKaiti" w:hAnsi="STKaiti"/>
              </w:rPr>
              <w:fldChar w:fldCharType="separate"/>
            </w:r>
            <w:r w:rsidR="00A66615" w:rsidRPr="00F37CD0">
              <w:rPr>
                <w:rFonts w:ascii="STKaiti" w:eastAsia="STKaiti" w:hAnsi="STKaiti" w:cstheme="minorHAnsi"/>
                <w:color w:val="0000FF"/>
                <w:sz w:val="24"/>
                <w:szCs w:val="24"/>
                <w:u w:val="single"/>
                <w:lang w:eastAsia="zh-CN"/>
              </w:rPr>
              <w:t>CWG-FHR-11/12</w:t>
            </w:r>
            <w:r w:rsidR="001115C8" w:rsidRPr="00F37CD0">
              <w:rPr>
                <w:rFonts w:ascii="STKaiti" w:eastAsia="STKaiti" w:hAnsi="STKaiti" w:cstheme="minorHAnsi"/>
                <w:color w:val="0000FF"/>
                <w:sz w:val="24"/>
                <w:szCs w:val="24"/>
                <w:u w:val="single"/>
                <w:lang w:eastAsia="zh-CN"/>
              </w:rPr>
              <w:fldChar w:fldCharType="end"/>
            </w:r>
            <w:r w:rsidR="003136F1" w:rsidRPr="00F37CD0">
              <w:rPr>
                <w:rFonts w:ascii="STKaiti" w:eastAsia="STKaiti" w:hAnsi="STKaiti" w:cstheme="minorHAnsi"/>
                <w:sz w:val="24"/>
                <w:szCs w:val="24"/>
                <w:lang w:eastAsia="zh-CN"/>
              </w:rPr>
              <w:t>号文件（“</w:t>
            </w:r>
            <w:r w:rsidR="003136F1" w:rsidRPr="00F37CD0">
              <w:rPr>
                <w:rFonts w:ascii="STKaiti" w:eastAsia="STKaiti" w:hAnsi="STKaiti" w:cstheme="minorHAnsi"/>
                <w:sz w:val="24"/>
                <w:lang w:eastAsia="zh-CN"/>
              </w:rPr>
              <w:t>加强国际电联风险管理框架：行动计划</w:t>
            </w:r>
            <w:r w:rsidR="003136F1" w:rsidRPr="00F37CD0">
              <w:rPr>
                <w:rFonts w:ascii="STKaiti" w:eastAsia="STKaiti" w:hAnsi="STKaiti" w:cstheme="minorHAnsi"/>
                <w:sz w:val="24"/>
                <w:szCs w:val="24"/>
                <w:lang w:eastAsia="zh-CN"/>
              </w:rPr>
              <w:t>”的</w:t>
            </w:r>
            <w:r w:rsidR="003136F1" w:rsidRPr="00F37CD0">
              <w:rPr>
                <w:rFonts w:ascii="STKaiti" w:eastAsia="STKaiti" w:hAnsi="STKaiti" w:cstheme="minorHAnsi"/>
                <w:sz w:val="24"/>
                <w:lang w:eastAsia="zh-CN"/>
              </w:rPr>
              <w:t>进展报告</w:t>
            </w:r>
            <w:r w:rsidR="003136F1" w:rsidRPr="00F37CD0">
              <w:rPr>
                <w:rFonts w:ascii="STKaiti" w:eastAsia="STKaiti" w:hAnsi="STKaiti" w:cstheme="minorHAnsi"/>
                <w:sz w:val="24"/>
                <w:szCs w:val="24"/>
                <w:lang w:eastAsia="zh-CN"/>
              </w:rPr>
              <w:t>）；理事会第</w:t>
            </w:r>
            <w:r w:rsidR="001115C8" w:rsidRPr="00F37CD0">
              <w:rPr>
                <w:rFonts w:ascii="STKaiti" w:eastAsia="STKaiti" w:hAnsi="STKaiti"/>
              </w:rPr>
              <w:fldChar w:fldCharType="begin"/>
            </w:r>
            <w:r w:rsidR="001115C8" w:rsidRPr="00F37CD0">
              <w:rPr>
                <w:rFonts w:ascii="STKaiti" w:eastAsia="STKaiti" w:hAnsi="STKaiti"/>
                <w:lang w:eastAsia="zh-CN"/>
              </w:rPr>
              <w:instrText xml:space="preserve"> HYPERLINK "https://www.itu.int/md/S17-CL-C-0074/en" </w:instrText>
            </w:r>
            <w:r w:rsidR="001115C8" w:rsidRPr="00F37CD0">
              <w:rPr>
                <w:rFonts w:ascii="STKaiti" w:eastAsia="STKaiti" w:hAnsi="STKaiti"/>
              </w:rPr>
              <w:fldChar w:fldCharType="separate"/>
            </w:r>
            <w:r w:rsidR="00A66615" w:rsidRPr="00F37CD0">
              <w:rPr>
                <w:rFonts w:ascii="STKaiti" w:eastAsia="STKaiti" w:hAnsi="STKaiti" w:cstheme="minorHAnsi"/>
                <w:color w:val="0000FF"/>
                <w:sz w:val="24"/>
                <w:u w:val="single"/>
                <w:lang w:eastAsia="zh-CN"/>
              </w:rPr>
              <w:t>C17/74</w:t>
            </w:r>
            <w:r w:rsidR="001115C8" w:rsidRPr="00F37CD0">
              <w:rPr>
                <w:rFonts w:ascii="STKaiti" w:eastAsia="STKaiti" w:hAnsi="STKaiti" w:cstheme="minorHAnsi"/>
                <w:color w:val="0000FF"/>
                <w:sz w:val="24"/>
                <w:u w:val="single"/>
                <w:lang w:eastAsia="zh-CN"/>
              </w:rPr>
              <w:fldChar w:fldCharType="end"/>
            </w:r>
            <w:r w:rsidR="003136F1" w:rsidRPr="00F37CD0">
              <w:rPr>
                <w:rFonts w:ascii="STKaiti" w:eastAsia="STKaiti" w:hAnsi="STKaiti" w:cstheme="minorHAnsi"/>
                <w:sz w:val="24"/>
                <w:lang w:eastAsia="zh-CN"/>
              </w:rPr>
              <w:t>号文件（</w:t>
            </w:r>
            <w:r w:rsidR="00BA135D" w:rsidRPr="00F37CD0">
              <w:rPr>
                <w:rFonts w:ascii="STKaiti" w:eastAsia="STKaiti" w:hAnsi="STKaiti" w:cstheme="minorHAnsi"/>
                <w:sz w:val="24"/>
                <w:lang w:eastAsia="zh-CN"/>
              </w:rPr>
              <w:t>国际电</w:t>
            </w:r>
            <w:proofErr w:type="gramStart"/>
            <w:r w:rsidR="00BA135D" w:rsidRPr="00F37CD0">
              <w:rPr>
                <w:rFonts w:ascii="STKaiti" w:eastAsia="STKaiti" w:hAnsi="STKaiti" w:cstheme="minorHAnsi"/>
                <w:sz w:val="24"/>
                <w:lang w:eastAsia="zh-CN"/>
              </w:rPr>
              <w:t>联</w:t>
            </w:r>
            <w:r w:rsidR="003136F1" w:rsidRPr="00F37CD0">
              <w:rPr>
                <w:rFonts w:ascii="STKaiti" w:eastAsia="STKaiti" w:hAnsi="STKaiti" w:cstheme="minorHAnsi"/>
                <w:sz w:val="24"/>
                <w:lang w:eastAsia="zh-CN"/>
              </w:rPr>
              <w:t>风险</w:t>
            </w:r>
            <w:proofErr w:type="gramEnd"/>
            <w:r w:rsidR="003136F1" w:rsidRPr="00F37CD0">
              <w:rPr>
                <w:rFonts w:ascii="STKaiti" w:eastAsia="STKaiti" w:hAnsi="STKaiti" w:cstheme="minorHAnsi"/>
                <w:sz w:val="24"/>
                <w:lang w:eastAsia="zh-CN"/>
              </w:rPr>
              <w:t>管理政策）</w:t>
            </w:r>
            <w:r w:rsidR="00BA135D" w:rsidRPr="00F37CD0">
              <w:rPr>
                <w:rFonts w:ascii="STKaiti" w:eastAsia="STKaiti" w:hAnsi="STKaiti" w:cstheme="minorHAnsi"/>
                <w:sz w:val="24"/>
                <w:lang w:eastAsia="zh-CN"/>
              </w:rPr>
              <w:t>；</w:t>
            </w:r>
            <w:r w:rsidRPr="00F37CD0">
              <w:rPr>
                <w:rFonts w:ascii="STKaiti" w:eastAsia="STKaiti" w:hAnsi="STKaiti" w:cstheme="minorHAnsi" w:hint="eastAsia"/>
                <w:sz w:val="24"/>
                <w:lang w:eastAsia="zh-CN"/>
              </w:rPr>
              <w:t>第</w:t>
            </w:r>
            <w:hyperlink r:id="rId9" w:history="1">
              <w:r w:rsidR="00A66615" w:rsidRPr="00F37CD0">
                <w:rPr>
                  <w:rFonts w:ascii="STKaiti" w:eastAsia="STKaiti" w:hAnsi="STKaiti" w:cstheme="minorHAnsi"/>
                  <w:color w:val="0000FF"/>
                  <w:sz w:val="24"/>
                  <w:u w:val="single"/>
                  <w:lang w:eastAsia="zh-CN"/>
                </w:rPr>
                <w:t>C17/73</w:t>
              </w:r>
            </w:hyperlink>
            <w:r w:rsidR="00BA135D" w:rsidRPr="00F37CD0">
              <w:rPr>
                <w:rFonts w:ascii="STKaiti" w:eastAsia="STKaiti" w:hAnsi="STKaiti" w:cstheme="minorHAnsi"/>
                <w:sz w:val="24"/>
                <w:lang w:eastAsia="zh-CN"/>
              </w:rPr>
              <w:t>号文件（国际电</w:t>
            </w:r>
            <w:proofErr w:type="gramStart"/>
            <w:r w:rsidR="00BA135D" w:rsidRPr="00F37CD0">
              <w:rPr>
                <w:rFonts w:ascii="STKaiti" w:eastAsia="STKaiti" w:hAnsi="STKaiti" w:cstheme="minorHAnsi"/>
                <w:sz w:val="24"/>
                <w:lang w:eastAsia="zh-CN"/>
              </w:rPr>
              <w:t>联风险</w:t>
            </w:r>
            <w:proofErr w:type="gramEnd"/>
            <w:r w:rsidR="00BA135D" w:rsidRPr="00F37CD0">
              <w:rPr>
                <w:rFonts w:ascii="STKaiti" w:eastAsia="STKaiti" w:hAnsi="STKaiti" w:cstheme="minorHAnsi"/>
                <w:sz w:val="24"/>
                <w:lang w:eastAsia="zh-CN"/>
              </w:rPr>
              <w:t>偏好陈述书）</w:t>
            </w:r>
            <w:bookmarkEnd w:id="3"/>
          </w:p>
        </w:tc>
      </w:tr>
    </w:tbl>
    <w:p w14:paraId="3A4A887B"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695546D6" w14:textId="05A19B6A" w:rsidR="008E6A9D" w:rsidRPr="008E6A9D" w:rsidRDefault="008E6A9D" w:rsidP="007D5EFF">
      <w:pPr>
        <w:pStyle w:val="Heading1"/>
        <w:rPr>
          <w:rFonts w:eastAsia="Times New Roman"/>
          <w:lang w:eastAsia="zh-CN"/>
        </w:rPr>
      </w:pPr>
      <w:r w:rsidRPr="008E6A9D">
        <w:rPr>
          <w:rFonts w:eastAsia="Times New Roman"/>
          <w:lang w:eastAsia="zh-CN"/>
        </w:rPr>
        <w:lastRenderedPageBreak/>
        <w:t>1</w:t>
      </w:r>
      <w:r w:rsidRPr="008E6A9D">
        <w:rPr>
          <w:rFonts w:eastAsia="Times New Roman"/>
          <w:lang w:eastAsia="zh-CN"/>
        </w:rPr>
        <w:tab/>
      </w:r>
      <w:r w:rsidR="00BC1DC9">
        <w:rPr>
          <w:rFonts w:hint="eastAsia"/>
          <w:lang w:eastAsia="zh-CN"/>
        </w:rPr>
        <w:t>关于落实旨在</w:t>
      </w:r>
      <w:r w:rsidR="0056601F" w:rsidRPr="0056601F">
        <w:rPr>
          <w:rFonts w:hint="eastAsia"/>
          <w:lang w:eastAsia="zh-CN"/>
        </w:rPr>
        <w:t>加强国际电联风险管理框架的行动计划</w:t>
      </w:r>
      <w:r w:rsidR="00BC1DC9">
        <w:rPr>
          <w:rFonts w:hint="eastAsia"/>
          <w:lang w:eastAsia="zh-CN"/>
        </w:rPr>
        <w:t>的</w:t>
      </w:r>
      <w:r w:rsidR="0056601F" w:rsidRPr="0056601F">
        <w:rPr>
          <w:rFonts w:hint="eastAsia"/>
          <w:lang w:eastAsia="zh-CN"/>
        </w:rPr>
        <w:t>中期报告</w:t>
      </w:r>
    </w:p>
    <w:p w14:paraId="078B784E" w14:textId="598543F6" w:rsidR="008E6A9D" w:rsidRPr="008E6A9D" w:rsidRDefault="0056601F" w:rsidP="008E6A9D">
      <w:pPr>
        <w:numPr>
          <w:ilvl w:val="1"/>
          <w:numId w:val="8"/>
        </w:num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napToGrid w:val="0"/>
        <w:spacing w:after="120"/>
        <w:ind w:left="0" w:firstLine="0"/>
        <w:jc w:val="both"/>
        <w:textAlignment w:val="auto"/>
        <w:rPr>
          <w:rFonts w:eastAsia="Times New Roman"/>
          <w:sz w:val="22"/>
          <w:szCs w:val="22"/>
          <w:lang w:eastAsia="zh-CN"/>
        </w:rPr>
      </w:pPr>
      <w:r w:rsidRPr="004B1294">
        <w:rPr>
          <w:rFonts w:ascii="SimSun" w:hAnsi="SimSun" w:cs="SimSun" w:hint="eastAsia"/>
          <w:sz w:val="22"/>
          <w:szCs w:val="22"/>
          <w:lang w:eastAsia="zh-CN"/>
        </w:rPr>
        <w:t>自理事会财务和人力资源工作组（</w:t>
      </w:r>
      <w:r w:rsidRPr="004B1294">
        <w:rPr>
          <w:rFonts w:eastAsia="Times New Roman" w:hint="eastAsia"/>
          <w:sz w:val="22"/>
          <w:szCs w:val="22"/>
          <w:lang w:eastAsia="zh-CN"/>
        </w:rPr>
        <w:t>CWG-FHR</w:t>
      </w:r>
      <w:r w:rsidRPr="004B1294">
        <w:rPr>
          <w:rFonts w:ascii="SimSun" w:hAnsi="SimSun" w:cs="SimSun" w:hint="eastAsia"/>
          <w:sz w:val="22"/>
          <w:szCs w:val="22"/>
          <w:lang w:eastAsia="zh-CN"/>
        </w:rPr>
        <w:t>）于</w:t>
      </w:r>
      <w:r w:rsidRPr="004B1294">
        <w:rPr>
          <w:rFonts w:eastAsia="Times New Roman" w:hint="eastAsia"/>
          <w:sz w:val="22"/>
          <w:szCs w:val="22"/>
          <w:lang w:eastAsia="zh-CN"/>
        </w:rPr>
        <w:t>2020</w:t>
      </w:r>
      <w:r w:rsidRPr="004B1294">
        <w:rPr>
          <w:rFonts w:ascii="SimSun" w:hAnsi="SimSun" w:cs="SimSun" w:hint="eastAsia"/>
          <w:sz w:val="22"/>
          <w:szCs w:val="22"/>
          <w:lang w:eastAsia="zh-CN"/>
        </w:rPr>
        <w:t>年</w:t>
      </w:r>
      <w:r w:rsidRPr="004B1294">
        <w:rPr>
          <w:rFonts w:eastAsia="Times New Roman" w:hint="eastAsia"/>
          <w:sz w:val="22"/>
          <w:szCs w:val="22"/>
          <w:lang w:eastAsia="zh-CN"/>
        </w:rPr>
        <w:t>2</w:t>
      </w:r>
      <w:r w:rsidRPr="004B1294">
        <w:rPr>
          <w:rFonts w:ascii="SimSun" w:hAnsi="SimSun" w:cs="SimSun" w:hint="eastAsia"/>
          <w:sz w:val="22"/>
          <w:szCs w:val="22"/>
          <w:lang w:eastAsia="zh-CN"/>
        </w:rPr>
        <w:t>月认可</w:t>
      </w:r>
      <w:r w:rsidR="00F364AF">
        <w:rPr>
          <w:rFonts w:ascii="SimSun" w:hAnsi="SimSun" w:cs="SimSun" w:hint="eastAsia"/>
          <w:sz w:val="22"/>
          <w:szCs w:val="22"/>
          <w:lang w:eastAsia="zh-CN"/>
        </w:rPr>
        <w:t>此</w:t>
      </w:r>
      <w:r w:rsidRPr="004B1294">
        <w:rPr>
          <w:rFonts w:ascii="SimSun" w:hAnsi="SimSun" w:cs="SimSun" w:hint="eastAsia"/>
          <w:sz w:val="22"/>
          <w:szCs w:val="22"/>
          <w:lang w:eastAsia="zh-CN"/>
        </w:rPr>
        <w:t>行动计划以来，</w:t>
      </w:r>
      <w:r w:rsidR="00CF00B7" w:rsidRPr="004B1294">
        <w:rPr>
          <w:rFonts w:ascii="SimSun" w:hAnsi="SimSun" w:cs="SimSun" w:hint="eastAsia"/>
          <w:sz w:val="22"/>
          <w:szCs w:val="22"/>
          <w:lang w:eastAsia="zh-CN"/>
        </w:rPr>
        <w:t>管理问题高级别委员会</w:t>
      </w:r>
      <w:r w:rsidR="004B1294" w:rsidRPr="004B1294">
        <w:rPr>
          <w:rFonts w:ascii="SimSun" w:hAnsi="SimSun" w:cs="SimSun" w:hint="eastAsia"/>
          <w:sz w:val="22"/>
          <w:szCs w:val="22"/>
          <w:lang w:eastAsia="zh-CN"/>
        </w:rPr>
        <w:t>（</w:t>
      </w:r>
      <w:r w:rsidR="004B1294" w:rsidRPr="004B1294">
        <w:rPr>
          <w:rFonts w:eastAsia="Times New Roman" w:hint="eastAsia"/>
          <w:sz w:val="22"/>
          <w:szCs w:val="22"/>
          <w:lang w:eastAsia="zh-CN"/>
        </w:rPr>
        <w:t>HLCM</w:t>
      </w:r>
      <w:r w:rsidR="004B1294" w:rsidRPr="004B1294">
        <w:rPr>
          <w:rFonts w:ascii="SimSun" w:hAnsi="SimSun" w:cs="SimSun" w:hint="eastAsia"/>
          <w:sz w:val="22"/>
          <w:szCs w:val="22"/>
          <w:lang w:eastAsia="zh-CN"/>
        </w:rPr>
        <w:t>）</w:t>
      </w:r>
      <w:r w:rsidR="00CF00B7" w:rsidRPr="004B1294">
        <w:rPr>
          <w:rFonts w:ascii="SimSun" w:hAnsi="SimSun" w:cs="SimSun" w:hint="eastAsia"/>
          <w:sz w:val="22"/>
          <w:szCs w:val="22"/>
          <w:lang w:eastAsia="zh-CN"/>
        </w:rPr>
        <w:t>于</w:t>
      </w:r>
      <w:r w:rsidRPr="004B1294">
        <w:rPr>
          <w:rFonts w:eastAsia="Times New Roman" w:hint="eastAsia"/>
          <w:sz w:val="22"/>
          <w:szCs w:val="22"/>
          <w:lang w:eastAsia="zh-CN"/>
        </w:rPr>
        <w:t>2020</w:t>
      </w:r>
      <w:r w:rsidRPr="004B1294">
        <w:rPr>
          <w:rFonts w:ascii="SimSun" w:hAnsi="SimSun" w:cs="SimSun" w:hint="eastAsia"/>
          <w:sz w:val="22"/>
          <w:szCs w:val="22"/>
          <w:lang w:eastAsia="zh-CN"/>
        </w:rPr>
        <w:t>年</w:t>
      </w:r>
      <w:r w:rsidRPr="004B1294">
        <w:rPr>
          <w:rFonts w:eastAsia="Times New Roman" w:hint="eastAsia"/>
          <w:sz w:val="22"/>
          <w:szCs w:val="22"/>
          <w:lang w:eastAsia="zh-CN"/>
        </w:rPr>
        <w:t>3</w:t>
      </w:r>
      <w:r w:rsidRPr="004B1294">
        <w:rPr>
          <w:rFonts w:ascii="SimSun" w:hAnsi="SimSun" w:cs="SimSun" w:hint="eastAsia"/>
          <w:sz w:val="22"/>
          <w:szCs w:val="22"/>
          <w:lang w:eastAsia="zh-CN"/>
        </w:rPr>
        <w:t>月发布了《</w:t>
      </w:r>
      <w:r w:rsidR="004B63CE">
        <w:rPr>
          <w:rFonts w:ascii="SimSun" w:hAnsi="SimSun" w:cs="SimSun" w:hint="eastAsia"/>
          <w:sz w:val="22"/>
          <w:szCs w:val="22"/>
          <w:lang w:eastAsia="zh-CN"/>
        </w:rPr>
        <w:t>纳入</w:t>
      </w:r>
      <w:r w:rsidRPr="004B1294">
        <w:rPr>
          <w:rFonts w:ascii="SimSun" w:hAnsi="SimSun" w:cs="SimSun" w:hint="eastAsia"/>
          <w:sz w:val="22"/>
          <w:szCs w:val="22"/>
          <w:lang w:eastAsia="zh-CN"/>
        </w:rPr>
        <w:t>风险管理</w:t>
      </w:r>
      <w:r w:rsidR="00E645A8">
        <w:rPr>
          <w:rFonts w:ascii="SimSun" w:hAnsi="SimSun" w:cs="SimSun" w:hint="eastAsia"/>
          <w:sz w:val="22"/>
          <w:szCs w:val="22"/>
          <w:lang w:eastAsia="zh-CN"/>
        </w:rPr>
        <w:t>的</w:t>
      </w:r>
      <w:r w:rsidR="00CF00B7" w:rsidRPr="004B1294">
        <w:rPr>
          <w:rFonts w:ascii="SimSun" w:hAnsi="SimSun" w:cs="SimSun" w:hint="eastAsia"/>
          <w:sz w:val="22"/>
          <w:szCs w:val="22"/>
          <w:lang w:eastAsia="zh-CN"/>
        </w:rPr>
        <w:t>指导说明</w:t>
      </w:r>
      <w:r w:rsidRPr="004B1294">
        <w:rPr>
          <w:rFonts w:ascii="SimSun" w:hAnsi="SimSun" w:cs="SimSun" w:hint="eastAsia"/>
          <w:sz w:val="22"/>
          <w:szCs w:val="22"/>
          <w:lang w:eastAsia="zh-CN"/>
        </w:rPr>
        <w:t>》，</w:t>
      </w:r>
      <w:r w:rsidR="00CF00B7" w:rsidRPr="004B1294">
        <w:rPr>
          <w:rFonts w:ascii="SimSun" w:hAnsi="SimSun" w:cs="SimSun" w:hint="eastAsia"/>
          <w:sz w:val="22"/>
          <w:szCs w:val="22"/>
          <w:lang w:eastAsia="zh-CN"/>
        </w:rPr>
        <w:t>在落实行动计划时已经考虑了</w:t>
      </w:r>
      <w:r w:rsidR="004B63CE">
        <w:rPr>
          <w:rFonts w:ascii="SimSun" w:hAnsi="SimSun" w:cs="SimSun" w:hint="eastAsia"/>
          <w:sz w:val="22"/>
          <w:szCs w:val="22"/>
          <w:lang w:eastAsia="zh-CN"/>
        </w:rPr>
        <w:t>此</w:t>
      </w:r>
      <w:r w:rsidR="00CF00B7" w:rsidRPr="004B1294">
        <w:rPr>
          <w:rFonts w:ascii="SimSun" w:hAnsi="SimSun" w:cs="SimSun" w:hint="eastAsia"/>
          <w:sz w:val="22"/>
          <w:szCs w:val="22"/>
          <w:lang w:eastAsia="zh-CN"/>
        </w:rPr>
        <w:t>指导说明。</w:t>
      </w:r>
      <w:r w:rsidRPr="004B1294">
        <w:rPr>
          <w:rFonts w:ascii="SimSun" w:hAnsi="SimSun" w:cs="SimSun" w:hint="eastAsia"/>
          <w:sz w:val="22"/>
          <w:szCs w:val="22"/>
          <w:lang w:eastAsia="zh-CN"/>
        </w:rPr>
        <w:t>此外，该项目得到了外部高级顾问的支持，以提高质量并确保行动计划的</w:t>
      </w:r>
      <w:r w:rsidR="00CF00B7" w:rsidRPr="004B1294">
        <w:rPr>
          <w:rFonts w:ascii="SimSun" w:hAnsi="SimSun" w:cs="SimSun" w:hint="eastAsia"/>
          <w:sz w:val="22"/>
          <w:szCs w:val="22"/>
          <w:lang w:eastAsia="zh-CN"/>
        </w:rPr>
        <w:t>落实</w:t>
      </w:r>
      <w:r w:rsidR="00E645A8">
        <w:rPr>
          <w:rFonts w:ascii="SimSun" w:hAnsi="SimSun" w:cs="SimSun" w:hint="eastAsia"/>
          <w:sz w:val="22"/>
          <w:szCs w:val="22"/>
          <w:lang w:eastAsia="zh-CN"/>
        </w:rPr>
        <w:t>会</w:t>
      </w:r>
      <w:r w:rsidRPr="004B1294">
        <w:rPr>
          <w:rFonts w:ascii="SimSun" w:hAnsi="SimSun" w:cs="SimSun" w:hint="eastAsia"/>
          <w:sz w:val="22"/>
          <w:szCs w:val="22"/>
          <w:lang w:eastAsia="zh-CN"/>
        </w:rPr>
        <w:t>利用其他组织所</w:t>
      </w:r>
      <w:r w:rsidR="00CF00B7" w:rsidRPr="004B1294">
        <w:rPr>
          <w:rFonts w:ascii="SimSun" w:hAnsi="SimSun" w:cs="SimSun" w:hint="eastAsia"/>
          <w:sz w:val="22"/>
          <w:szCs w:val="22"/>
          <w:lang w:eastAsia="zh-CN"/>
        </w:rPr>
        <w:t>采用</w:t>
      </w:r>
      <w:r w:rsidRPr="004B1294">
        <w:rPr>
          <w:rFonts w:ascii="SimSun" w:hAnsi="SimSun" w:cs="SimSun" w:hint="eastAsia"/>
          <w:sz w:val="22"/>
          <w:szCs w:val="22"/>
          <w:lang w:eastAsia="zh-CN"/>
        </w:rPr>
        <w:t>的最佳风险管理</w:t>
      </w:r>
      <w:r w:rsidR="00CF00B7" w:rsidRPr="004B1294">
        <w:rPr>
          <w:rFonts w:ascii="SimSun" w:hAnsi="SimSun" w:cs="SimSun" w:hint="eastAsia"/>
          <w:sz w:val="22"/>
          <w:szCs w:val="22"/>
          <w:lang w:eastAsia="zh-CN"/>
        </w:rPr>
        <w:t>战略</w:t>
      </w:r>
      <w:r w:rsidRPr="004B1294">
        <w:rPr>
          <w:rFonts w:ascii="SimSun" w:hAnsi="SimSun" w:cs="SimSun" w:hint="eastAsia"/>
          <w:sz w:val="22"/>
          <w:szCs w:val="22"/>
          <w:lang w:eastAsia="zh-CN"/>
        </w:rPr>
        <w:t>。</w:t>
      </w:r>
    </w:p>
    <w:tbl>
      <w:tblPr>
        <w:tblStyle w:val="ListTable1Light-Accent1"/>
        <w:tblW w:w="0" w:type="auto"/>
        <w:tblLook w:val="04A0" w:firstRow="1" w:lastRow="0" w:firstColumn="1" w:lastColumn="0" w:noHBand="0" w:noVBand="1"/>
      </w:tblPr>
      <w:tblGrid>
        <w:gridCol w:w="8505"/>
        <w:gridCol w:w="1134"/>
      </w:tblGrid>
      <w:tr w:rsidR="008E6A9D" w:rsidRPr="008E6A9D" w14:paraId="73E9D6A4" w14:textId="77777777" w:rsidTr="00461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C9305C8" w14:textId="296EA553" w:rsidR="008E6A9D" w:rsidRPr="007D5EFF" w:rsidRDefault="00CF00B7" w:rsidP="007D5EFF">
            <w:pPr>
              <w:pStyle w:val="Tablehead"/>
              <w:rPr>
                <w:b/>
                <w:bCs w:val="0"/>
              </w:rPr>
            </w:pPr>
            <w:bookmarkStart w:id="4" w:name="lt_pId024"/>
            <w:r w:rsidRPr="007D5EFF">
              <w:rPr>
                <w:rFonts w:hint="eastAsia"/>
                <w:b/>
                <w:bCs w:val="0"/>
                <w:lang w:eastAsia="zh-CN"/>
              </w:rPr>
              <w:t>行动项目</w:t>
            </w:r>
            <w:r w:rsidRPr="007D5EFF">
              <w:rPr>
                <w:b/>
                <w:bCs w:val="0"/>
              </w:rPr>
              <w:t>/</w:t>
            </w:r>
            <w:r w:rsidRPr="007D5EFF">
              <w:rPr>
                <w:rFonts w:hint="eastAsia"/>
                <w:b/>
                <w:bCs w:val="0"/>
                <w:lang w:eastAsia="zh-CN"/>
              </w:rPr>
              <w:t>取得的进展</w:t>
            </w:r>
            <w:bookmarkEnd w:id="4"/>
          </w:p>
        </w:tc>
        <w:tc>
          <w:tcPr>
            <w:tcW w:w="1134" w:type="dxa"/>
          </w:tcPr>
          <w:p w14:paraId="7F517B08" w14:textId="36CB0073" w:rsidR="008E6A9D" w:rsidRPr="007D5EFF" w:rsidRDefault="00CF00B7" w:rsidP="007D5EFF">
            <w:pPr>
              <w:pStyle w:val="Tablehead"/>
              <w:cnfStyle w:val="100000000000" w:firstRow="1" w:lastRow="0" w:firstColumn="0" w:lastColumn="0" w:oddVBand="0" w:evenVBand="0" w:oddHBand="0" w:evenHBand="0" w:firstRowFirstColumn="0" w:firstRowLastColumn="0" w:lastRowFirstColumn="0" w:lastRowLastColumn="0"/>
              <w:rPr>
                <w:b/>
                <w:bCs w:val="0"/>
              </w:rPr>
            </w:pPr>
            <w:bookmarkStart w:id="5" w:name="lt_pId025"/>
            <w:r w:rsidRPr="007D5EFF">
              <w:rPr>
                <w:rFonts w:hint="eastAsia"/>
                <w:b/>
                <w:bCs w:val="0"/>
                <w:lang w:eastAsia="zh-CN"/>
              </w:rPr>
              <w:t>时间范围</w:t>
            </w:r>
            <w:bookmarkEnd w:id="5"/>
          </w:p>
        </w:tc>
      </w:tr>
      <w:tr w:rsidR="008E6A9D" w:rsidRPr="008E6A9D" w14:paraId="593FB2BB"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CDC51C7" w14:textId="03952A2E" w:rsidR="008E6A9D" w:rsidRPr="008E6A9D" w:rsidRDefault="007D5EFF" w:rsidP="007D5EFF">
            <w:pPr>
              <w:pStyle w:val="Tabletext"/>
              <w:tabs>
                <w:tab w:val="clear" w:pos="284"/>
              </w:tabs>
              <w:rPr>
                <w:rFonts w:cs="Calibri"/>
                <w:lang w:eastAsia="zh-CN"/>
              </w:rPr>
            </w:pPr>
            <w:r>
              <w:rPr>
                <w:rFonts w:hint="eastAsia"/>
                <w:lang w:eastAsia="zh-CN"/>
              </w:rPr>
              <w:t>1</w:t>
            </w:r>
            <w:r>
              <w:rPr>
                <w:lang w:eastAsia="zh-CN"/>
              </w:rPr>
              <w:t>)</w:t>
            </w:r>
            <w:r>
              <w:rPr>
                <w:lang w:eastAsia="zh-CN"/>
              </w:rPr>
              <w:tab/>
            </w:r>
            <w:r w:rsidR="00CF00B7" w:rsidRPr="00CF00B7">
              <w:rPr>
                <w:rFonts w:hint="eastAsia"/>
                <w:lang w:eastAsia="zh-CN"/>
              </w:rPr>
              <w:t>所有</w:t>
            </w:r>
            <w:r w:rsidR="00F364AF" w:rsidRPr="00CF00B7">
              <w:rPr>
                <w:rFonts w:hint="eastAsia"/>
                <w:lang w:eastAsia="zh-CN"/>
              </w:rPr>
              <w:t>组织和</w:t>
            </w:r>
            <w:r w:rsidR="00F364AF">
              <w:rPr>
                <w:rFonts w:hint="eastAsia"/>
                <w:lang w:eastAsia="zh-CN"/>
              </w:rPr>
              <w:t>运作</w:t>
            </w:r>
            <w:r w:rsidR="00F364AF" w:rsidRPr="00CF00B7">
              <w:rPr>
                <w:rFonts w:hint="eastAsia"/>
                <w:lang w:eastAsia="zh-CN"/>
              </w:rPr>
              <w:t>实体</w:t>
            </w:r>
            <w:r w:rsidR="00F364AF">
              <w:rPr>
                <w:rFonts w:hint="eastAsia"/>
                <w:lang w:eastAsia="zh-CN"/>
              </w:rPr>
              <w:t>都</w:t>
            </w:r>
            <w:r w:rsidR="004A55D7">
              <w:rPr>
                <w:rFonts w:hint="eastAsia"/>
                <w:lang w:eastAsia="zh-CN"/>
              </w:rPr>
              <w:t>参与风险管理</w:t>
            </w:r>
          </w:p>
          <w:p w14:paraId="65F8FB61" w14:textId="08444980" w:rsidR="00CF00B7" w:rsidRPr="007D501F" w:rsidRDefault="007D5EFF" w:rsidP="007D5EFF">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CF00B7" w:rsidRPr="007D501F">
              <w:rPr>
                <w:rFonts w:cs="Calibri" w:hint="eastAsia"/>
                <w:b w:val="0"/>
                <w:bCs w:val="0"/>
                <w:lang w:eastAsia="zh-CN"/>
              </w:rPr>
              <w:t>与</w:t>
            </w:r>
            <w:r w:rsidR="00CF00B7" w:rsidRPr="007D501F">
              <w:rPr>
                <w:rFonts w:cs="Calibri" w:hint="eastAsia"/>
                <w:b w:val="0"/>
                <w:bCs w:val="0"/>
                <w:lang w:eastAsia="zh-CN"/>
              </w:rPr>
              <w:t>20</w:t>
            </w:r>
            <w:r w:rsidR="00CF00B7" w:rsidRPr="007D501F">
              <w:rPr>
                <w:rFonts w:cs="Calibri" w:hint="eastAsia"/>
                <w:b w:val="0"/>
                <w:bCs w:val="0"/>
                <w:lang w:eastAsia="zh-CN"/>
              </w:rPr>
              <w:t>多个主要利益攸关方</w:t>
            </w:r>
            <w:r w:rsidR="004A55D7" w:rsidRPr="007D501F">
              <w:rPr>
                <w:rFonts w:cs="Calibri" w:hint="eastAsia"/>
                <w:b w:val="0"/>
                <w:bCs w:val="0"/>
                <w:lang w:eastAsia="zh-CN"/>
              </w:rPr>
              <w:t>，包括</w:t>
            </w:r>
            <w:r w:rsidR="000A7AD1" w:rsidRPr="007D501F">
              <w:rPr>
                <w:rFonts w:cs="Calibri" w:hint="eastAsia"/>
                <w:b w:val="0"/>
                <w:bCs w:val="0"/>
                <w:lang w:eastAsia="zh-CN"/>
              </w:rPr>
              <w:t>联系人</w:t>
            </w:r>
            <w:r w:rsidR="004A55D7" w:rsidRPr="007D501F">
              <w:rPr>
                <w:rFonts w:cs="Calibri" w:hint="eastAsia"/>
                <w:b w:val="0"/>
                <w:bCs w:val="0"/>
                <w:lang w:eastAsia="zh-CN"/>
              </w:rPr>
              <w:t>（各局，区域代表处，财务、人力资源、信息系统、内部审计等总秘书处各部门）</w:t>
            </w:r>
            <w:r w:rsidR="00CF00B7" w:rsidRPr="007D501F">
              <w:rPr>
                <w:rFonts w:cs="Calibri" w:hint="eastAsia"/>
                <w:b w:val="0"/>
                <w:bCs w:val="0"/>
                <w:lang w:eastAsia="zh-CN"/>
              </w:rPr>
              <w:t>举行了启动会议，介绍了行动计划的目标</w:t>
            </w:r>
            <w:r w:rsidR="000A618B" w:rsidRPr="007D501F">
              <w:rPr>
                <w:rFonts w:cs="Calibri" w:hint="eastAsia"/>
                <w:b w:val="0"/>
                <w:bCs w:val="0"/>
                <w:lang w:eastAsia="zh-CN"/>
              </w:rPr>
              <w:t>以及</w:t>
            </w:r>
            <w:r w:rsidR="00CF00B7" w:rsidRPr="007D501F">
              <w:rPr>
                <w:rFonts w:cs="Calibri" w:hint="eastAsia"/>
                <w:b w:val="0"/>
                <w:bCs w:val="0"/>
                <w:lang w:eastAsia="zh-CN"/>
              </w:rPr>
              <w:t>在理事会</w:t>
            </w:r>
            <w:r w:rsidR="00CF00B7" w:rsidRPr="007D501F">
              <w:rPr>
                <w:rFonts w:cs="Calibri" w:hint="eastAsia"/>
                <w:b w:val="0"/>
                <w:bCs w:val="0"/>
                <w:lang w:eastAsia="zh-CN"/>
              </w:rPr>
              <w:t>2020</w:t>
            </w:r>
            <w:r w:rsidR="00CF00B7" w:rsidRPr="007D501F">
              <w:rPr>
                <w:rFonts w:cs="Calibri" w:hint="eastAsia"/>
                <w:b w:val="0"/>
                <w:bCs w:val="0"/>
                <w:lang w:eastAsia="zh-CN"/>
              </w:rPr>
              <w:t>年</w:t>
            </w:r>
            <w:r w:rsidR="004A55D7" w:rsidRPr="007D501F">
              <w:rPr>
                <w:rFonts w:cs="Calibri" w:hint="eastAsia"/>
                <w:b w:val="0"/>
                <w:bCs w:val="0"/>
                <w:lang w:eastAsia="zh-CN"/>
              </w:rPr>
              <w:t>会议</w:t>
            </w:r>
            <w:r w:rsidR="00CF00B7" w:rsidRPr="007D501F">
              <w:rPr>
                <w:rFonts w:cs="Calibri" w:hint="eastAsia"/>
                <w:b w:val="0"/>
                <w:bCs w:val="0"/>
                <w:lang w:eastAsia="zh-CN"/>
              </w:rPr>
              <w:t>和</w:t>
            </w:r>
            <w:r w:rsidR="00CF00B7" w:rsidRPr="007D501F">
              <w:rPr>
                <w:rFonts w:cs="Calibri" w:hint="eastAsia"/>
                <w:b w:val="0"/>
                <w:bCs w:val="0"/>
                <w:lang w:eastAsia="zh-CN"/>
              </w:rPr>
              <w:t>2020</w:t>
            </w:r>
            <w:r w:rsidR="00CF00B7" w:rsidRPr="007D501F">
              <w:rPr>
                <w:rFonts w:cs="Calibri" w:hint="eastAsia"/>
                <w:b w:val="0"/>
                <w:bCs w:val="0"/>
                <w:lang w:eastAsia="zh-CN"/>
              </w:rPr>
              <w:t>年年底之前的</w:t>
            </w:r>
            <w:r w:rsidR="004A55D7" w:rsidRPr="007D501F">
              <w:rPr>
                <w:rFonts w:cs="Calibri" w:hint="eastAsia"/>
                <w:b w:val="0"/>
                <w:bCs w:val="0"/>
                <w:lang w:eastAsia="zh-CN"/>
              </w:rPr>
              <w:t>实际</w:t>
            </w:r>
            <w:r w:rsidR="00CF00B7" w:rsidRPr="007D501F">
              <w:rPr>
                <w:rFonts w:cs="Calibri" w:hint="eastAsia"/>
                <w:b w:val="0"/>
                <w:bCs w:val="0"/>
                <w:lang w:eastAsia="zh-CN"/>
              </w:rPr>
              <w:t>成果。已考虑了</w:t>
            </w:r>
            <w:r w:rsidR="000A618B" w:rsidRPr="007D501F">
              <w:rPr>
                <w:rFonts w:cs="Calibri" w:hint="eastAsia"/>
                <w:b w:val="0"/>
                <w:bCs w:val="0"/>
                <w:lang w:eastAsia="zh-CN"/>
              </w:rPr>
              <w:t>与会者</w:t>
            </w:r>
            <w:r w:rsidR="00CF00B7" w:rsidRPr="007D501F">
              <w:rPr>
                <w:rFonts w:cs="Calibri" w:hint="eastAsia"/>
                <w:b w:val="0"/>
                <w:bCs w:val="0"/>
                <w:lang w:eastAsia="zh-CN"/>
              </w:rPr>
              <w:t>的意见和建议。</w:t>
            </w:r>
          </w:p>
          <w:p w14:paraId="1BD0B419" w14:textId="565CD58E" w:rsidR="00CF00B7" w:rsidRPr="007D501F" w:rsidRDefault="007D5EFF" w:rsidP="007D5EFF">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sidRPr="007D5EFF">
              <w:rPr>
                <w:rFonts w:cs="Calibri"/>
                <w:b w:val="0"/>
                <w:bCs w:val="0"/>
                <w:lang w:eastAsia="zh-CN"/>
              </w:rPr>
              <w:tab/>
            </w:r>
            <w:r w:rsidR="004A55D7" w:rsidRPr="007D501F">
              <w:rPr>
                <w:rFonts w:cs="Calibri" w:hint="eastAsia"/>
                <w:b w:val="0"/>
                <w:bCs w:val="0"/>
                <w:lang w:eastAsia="zh-CN"/>
              </w:rPr>
              <w:t>已发</w:t>
            </w:r>
            <w:r w:rsidR="00E645A8">
              <w:rPr>
                <w:rFonts w:cs="Calibri" w:hint="eastAsia"/>
                <w:b w:val="0"/>
                <w:bCs w:val="0"/>
                <w:lang w:eastAsia="zh-CN"/>
              </w:rPr>
              <w:t>出</w:t>
            </w:r>
            <w:r w:rsidR="006E782F" w:rsidRPr="007D501F">
              <w:rPr>
                <w:rFonts w:cs="Calibri" w:hint="eastAsia"/>
                <w:b w:val="0"/>
                <w:bCs w:val="0"/>
                <w:lang w:eastAsia="zh-CN"/>
              </w:rPr>
              <w:t>拟议</w:t>
            </w:r>
            <w:r w:rsidR="00CF00B7" w:rsidRPr="007D501F">
              <w:rPr>
                <w:rFonts w:cs="Calibri" w:hint="eastAsia"/>
                <w:b w:val="0"/>
                <w:bCs w:val="0"/>
                <w:lang w:eastAsia="zh-CN"/>
              </w:rPr>
              <w:t>文件</w:t>
            </w:r>
            <w:r w:rsidR="000A618B" w:rsidRPr="007D501F">
              <w:rPr>
                <w:rFonts w:cs="Calibri" w:hint="eastAsia"/>
                <w:b w:val="0"/>
                <w:bCs w:val="0"/>
                <w:lang w:eastAsia="zh-CN"/>
              </w:rPr>
              <w:t>的修订版</w:t>
            </w:r>
            <w:r w:rsidR="00CF00B7" w:rsidRPr="007D501F">
              <w:rPr>
                <w:rFonts w:cs="Calibri" w:hint="eastAsia"/>
                <w:b w:val="0"/>
                <w:bCs w:val="0"/>
                <w:lang w:eastAsia="zh-CN"/>
              </w:rPr>
              <w:t>（</w:t>
            </w:r>
            <w:r w:rsidR="00AC1B58" w:rsidRPr="007D501F">
              <w:rPr>
                <w:rFonts w:cs="Calibri" w:hint="eastAsia"/>
                <w:b w:val="0"/>
                <w:bCs w:val="0"/>
                <w:lang w:eastAsia="zh-CN"/>
              </w:rPr>
              <w:t>尤其</w:t>
            </w:r>
            <w:r w:rsidR="006E782F" w:rsidRPr="007D501F">
              <w:rPr>
                <w:rFonts w:cs="Calibri" w:hint="eastAsia"/>
                <w:b w:val="0"/>
                <w:bCs w:val="0"/>
                <w:lang w:eastAsia="zh-CN"/>
              </w:rPr>
              <w:t>与以下</w:t>
            </w:r>
            <w:r w:rsidR="00CF00B7" w:rsidRPr="007D501F">
              <w:rPr>
                <w:rFonts w:cs="Calibri" w:hint="eastAsia"/>
                <w:b w:val="0"/>
                <w:bCs w:val="0"/>
                <w:lang w:eastAsia="zh-CN"/>
              </w:rPr>
              <w:t>行动</w:t>
            </w:r>
            <w:r w:rsidR="00CF00B7" w:rsidRPr="007D501F">
              <w:rPr>
                <w:rFonts w:cs="Calibri" w:hint="eastAsia"/>
                <w:b w:val="0"/>
                <w:bCs w:val="0"/>
                <w:lang w:eastAsia="zh-CN"/>
              </w:rPr>
              <w:t>2</w:t>
            </w:r>
            <w:r w:rsidR="00CF00B7" w:rsidRPr="007D501F">
              <w:rPr>
                <w:rFonts w:cs="Calibri" w:hint="eastAsia"/>
                <w:b w:val="0"/>
                <w:bCs w:val="0"/>
                <w:lang w:eastAsia="zh-CN"/>
              </w:rPr>
              <w:t>，</w:t>
            </w:r>
            <w:r w:rsidR="00CF00B7" w:rsidRPr="007D501F">
              <w:rPr>
                <w:rFonts w:cs="Calibri" w:hint="eastAsia"/>
                <w:b w:val="0"/>
                <w:bCs w:val="0"/>
                <w:lang w:eastAsia="zh-CN"/>
              </w:rPr>
              <w:t>3</w:t>
            </w:r>
            <w:r w:rsidR="00CF00B7" w:rsidRPr="007D501F">
              <w:rPr>
                <w:rFonts w:cs="Calibri" w:hint="eastAsia"/>
                <w:b w:val="0"/>
                <w:bCs w:val="0"/>
                <w:lang w:eastAsia="zh-CN"/>
              </w:rPr>
              <w:t>，</w:t>
            </w:r>
            <w:r w:rsidR="00CF00B7" w:rsidRPr="007D501F">
              <w:rPr>
                <w:rFonts w:cs="Calibri" w:hint="eastAsia"/>
                <w:b w:val="0"/>
                <w:bCs w:val="0"/>
                <w:lang w:eastAsia="zh-CN"/>
              </w:rPr>
              <w:t>5</w:t>
            </w:r>
            <w:r w:rsidR="00CF00B7" w:rsidRPr="007D501F">
              <w:rPr>
                <w:rFonts w:cs="Calibri" w:hint="eastAsia"/>
                <w:b w:val="0"/>
                <w:bCs w:val="0"/>
                <w:lang w:eastAsia="zh-CN"/>
              </w:rPr>
              <w:t>和</w:t>
            </w:r>
            <w:r w:rsidR="00CF00B7" w:rsidRPr="007D501F">
              <w:rPr>
                <w:rFonts w:cs="Calibri" w:hint="eastAsia"/>
                <w:b w:val="0"/>
                <w:bCs w:val="0"/>
                <w:lang w:eastAsia="zh-CN"/>
              </w:rPr>
              <w:t>6</w:t>
            </w:r>
            <w:r w:rsidR="006E782F" w:rsidRPr="007D501F">
              <w:rPr>
                <w:rFonts w:cs="Calibri" w:hint="eastAsia"/>
                <w:b w:val="0"/>
                <w:bCs w:val="0"/>
                <w:lang w:eastAsia="zh-CN"/>
              </w:rPr>
              <w:t>部分相关</w:t>
            </w:r>
            <w:r w:rsidR="00CF00B7" w:rsidRPr="007D501F">
              <w:rPr>
                <w:rFonts w:cs="Calibri" w:hint="eastAsia"/>
                <w:b w:val="0"/>
                <w:bCs w:val="0"/>
                <w:lang w:eastAsia="zh-CN"/>
              </w:rPr>
              <w:t>），要求利益</w:t>
            </w:r>
            <w:r w:rsidR="006E782F" w:rsidRPr="007D501F">
              <w:rPr>
                <w:rFonts w:cs="Calibri" w:hint="eastAsia"/>
                <w:b w:val="0"/>
                <w:bCs w:val="0"/>
                <w:lang w:eastAsia="zh-CN"/>
              </w:rPr>
              <w:t>攸关方</w:t>
            </w:r>
            <w:r w:rsidR="00CF00B7" w:rsidRPr="007D501F">
              <w:rPr>
                <w:rFonts w:cs="Calibri" w:hint="eastAsia"/>
                <w:b w:val="0"/>
                <w:bCs w:val="0"/>
                <w:lang w:eastAsia="zh-CN"/>
              </w:rPr>
              <w:t>提供反馈。</w:t>
            </w:r>
          </w:p>
          <w:p w14:paraId="4C805E44" w14:textId="42799156" w:rsidR="006E782F" w:rsidRPr="000A618B" w:rsidRDefault="007D5EFF" w:rsidP="007D5EFF">
            <w:pPr>
              <w:pStyle w:val="Tabletext"/>
              <w:tabs>
                <w:tab w:val="clear" w:pos="284"/>
                <w:tab w:val="clear" w:pos="567"/>
                <w:tab w:val="clear" w:pos="851"/>
              </w:tabs>
              <w:ind w:left="1170" w:hanging="567"/>
              <w:rPr>
                <w:lang w:eastAsia="zh-CN"/>
              </w:rPr>
            </w:pPr>
            <w:r w:rsidRPr="007D5EFF">
              <w:rPr>
                <w:rFonts w:cs="Calibri"/>
                <w:b w:val="0"/>
                <w:bCs w:val="0"/>
                <w:lang w:eastAsia="zh-CN"/>
              </w:rPr>
              <w:t>–</w:t>
            </w:r>
            <w:r w:rsidRPr="007D5EFF">
              <w:rPr>
                <w:rFonts w:cs="Calibri"/>
                <w:b w:val="0"/>
                <w:bCs w:val="0"/>
                <w:lang w:eastAsia="zh-CN"/>
              </w:rPr>
              <w:tab/>
            </w:r>
            <w:r w:rsidR="00CF00B7" w:rsidRPr="007D501F">
              <w:rPr>
                <w:rFonts w:cs="Calibri" w:hint="eastAsia"/>
                <w:b w:val="0"/>
                <w:bCs w:val="0"/>
                <w:lang w:eastAsia="zh-CN"/>
              </w:rPr>
              <w:t>这种参与性方法将一直持续到项目结束。</w:t>
            </w:r>
          </w:p>
        </w:tc>
        <w:tc>
          <w:tcPr>
            <w:tcW w:w="1134" w:type="dxa"/>
          </w:tcPr>
          <w:p w14:paraId="73AD4512" w14:textId="79A9A508"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100000" w:firstRow="0" w:lastRow="0" w:firstColumn="0" w:lastColumn="0" w:oddVBand="0" w:evenVBand="0" w:oddHBand="1" w:evenHBand="0" w:firstRowFirstColumn="0" w:firstRowLastColumn="0" w:lastRowFirstColumn="0" w:lastRowLastColumn="0"/>
              <w:rPr>
                <w:rFonts w:cstheme="minorHAnsi"/>
                <w:sz w:val="22"/>
                <w:szCs w:val="22"/>
              </w:rPr>
            </w:pPr>
            <w:bookmarkStart w:id="6" w:name="lt_pId032"/>
            <w:r>
              <w:rPr>
                <w:rFonts w:cstheme="minorHAnsi" w:hint="eastAsia"/>
                <w:sz w:val="22"/>
                <w:szCs w:val="22"/>
                <w:lang w:eastAsia="zh-CN"/>
              </w:rPr>
              <w:t>在</w:t>
            </w:r>
            <w:r w:rsidR="00CF00B7" w:rsidRPr="008E6A9D">
              <w:rPr>
                <w:rFonts w:cstheme="minorHAnsi"/>
                <w:sz w:val="22"/>
                <w:szCs w:val="22"/>
              </w:rPr>
              <w:t>2020</w:t>
            </w:r>
            <w:bookmarkEnd w:id="6"/>
            <w:r w:rsidR="00CF00B7">
              <w:rPr>
                <w:rFonts w:cstheme="minorHAnsi" w:hint="eastAsia"/>
                <w:sz w:val="22"/>
                <w:szCs w:val="22"/>
                <w:lang w:eastAsia="zh-CN"/>
              </w:rPr>
              <w:t>年</w:t>
            </w:r>
            <w:r w:rsidR="004A55D7">
              <w:rPr>
                <w:rFonts w:cstheme="minorHAnsi" w:hint="eastAsia"/>
                <w:sz w:val="22"/>
                <w:szCs w:val="22"/>
                <w:lang w:eastAsia="zh-CN"/>
              </w:rPr>
              <w:t>年</w:t>
            </w:r>
            <w:r w:rsidR="00CF00B7">
              <w:rPr>
                <w:rFonts w:cstheme="minorHAnsi" w:hint="eastAsia"/>
                <w:sz w:val="22"/>
                <w:szCs w:val="22"/>
                <w:lang w:eastAsia="zh-CN"/>
              </w:rPr>
              <w:t>底</w:t>
            </w:r>
            <w:r>
              <w:rPr>
                <w:rFonts w:cstheme="minorHAnsi" w:hint="eastAsia"/>
                <w:sz w:val="22"/>
                <w:szCs w:val="22"/>
                <w:lang w:eastAsia="zh-CN"/>
              </w:rPr>
              <w:t>之前</w:t>
            </w:r>
          </w:p>
        </w:tc>
      </w:tr>
      <w:tr w:rsidR="008E6A9D" w:rsidRPr="008E6A9D" w14:paraId="28404722"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7BB89F0D" w14:textId="1475826C" w:rsidR="008E6A9D" w:rsidRPr="00EF1625" w:rsidRDefault="00EF1625" w:rsidP="00EF1625">
            <w:pPr>
              <w:pStyle w:val="Tabletext"/>
              <w:tabs>
                <w:tab w:val="clear" w:pos="284"/>
              </w:tabs>
              <w:rPr>
                <w:lang w:eastAsia="zh-CN"/>
              </w:rPr>
            </w:pPr>
            <w:r>
              <w:rPr>
                <w:lang w:eastAsia="zh-CN"/>
              </w:rPr>
              <w:t>2)</w:t>
            </w:r>
            <w:r>
              <w:rPr>
                <w:lang w:eastAsia="zh-CN"/>
              </w:rPr>
              <w:tab/>
            </w:r>
            <w:r w:rsidR="003B1E06" w:rsidRPr="00EF1625">
              <w:rPr>
                <w:rFonts w:hint="eastAsia"/>
                <w:lang w:eastAsia="zh-CN"/>
              </w:rPr>
              <w:t>为整个组织制定</w:t>
            </w:r>
            <w:r w:rsidR="00D049DE" w:rsidRPr="00EF1625">
              <w:rPr>
                <w:rFonts w:hint="eastAsia"/>
                <w:lang w:eastAsia="zh-CN"/>
              </w:rPr>
              <w:t>风险登记单</w:t>
            </w:r>
            <w:r w:rsidR="003B1E06" w:rsidRPr="00EF1625">
              <w:rPr>
                <w:rFonts w:hint="eastAsia"/>
                <w:lang w:eastAsia="zh-CN"/>
              </w:rPr>
              <w:t>并对这些风险进行评估和定级</w:t>
            </w:r>
          </w:p>
          <w:p w14:paraId="6CBA10B0" w14:textId="1EAFA110" w:rsidR="006E782F" w:rsidRPr="00EF1625"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从</w:t>
            </w:r>
            <w:r w:rsidR="00E72C5C" w:rsidRPr="00EF1625">
              <w:rPr>
                <w:rFonts w:cs="Calibri" w:hint="eastAsia"/>
                <w:b w:val="0"/>
                <w:bCs w:val="0"/>
                <w:lang w:eastAsia="zh-CN"/>
              </w:rPr>
              <w:t>各</w:t>
            </w:r>
            <w:r w:rsidR="006E782F" w:rsidRPr="00EF1625">
              <w:rPr>
                <w:rFonts w:cs="Calibri" w:hint="eastAsia"/>
                <w:b w:val="0"/>
                <w:bCs w:val="0"/>
                <w:lang w:eastAsia="zh-CN"/>
              </w:rPr>
              <w:t>组织实体</w:t>
            </w:r>
            <w:r w:rsidR="00E72C5C" w:rsidRPr="00EF1625">
              <w:rPr>
                <w:rFonts w:cs="Calibri" w:hint="eastAsia"/>
                <w:b w:val="0"/>
                <w:bCs w:val="0"/>
                <w:lang w:eastAsia="zh-CN"/>
              </w:rPr>
              <w:t>获取</w:t>
            </w:r>
            <w:r w:rsidR="006E782F" w:rsidRPr="00EF1625">
              <w:rPr>
                <w:rFonts w:cs="Calibri" w:hint="eastAsia"/>
                <w:b w:val="0"/>
                <w:bCs w:val="0"/>
                <w:lang w:eastAsia="zh-CN"/>
              </w:rPr>
              <w:t>初步的</w:t>
            </w:r>
            <w:r w:rsidR="00D049DE" w:rsidRPr="00EF1625">
              <w:rPr>
                <w:rFonts w:cs="Calibri" w:hint="eastAsia"/>
                <w:b w:val="0"/>
                <w:bCs w:val="0"/>
                <w:lang w:eastAsia="zh-CN"/>
              </w:rPr>
              <w:t>风险登记单</w:t>
            </w:r>
            <w:r w:rsidR="006E782F" w:rsidRPr="00EF1625">
              <w:rPr>
                <w:rFonts w:cs="Calibri" w:hint="eastAsia"/>
                <w:b w:val="0"/>
                <w:bCs w:val="0"/>
                <w:lang w:eastAsia="zh-CN"/>
              </w:rPr>
              <w:t>和缓解计划。</w:t>
            </w:r>
          </w:p>
          <w:p w14:paraId="391F19D0" w14:textId="52C29709" w:rsidR="006E782F" w:rsidRPr="00EF1625"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正在开发一个新的</w:t>
            </w:r>
            <w:r w:rsidR="00D049DE" w:rsidRPr="00EF1625">
              <w:rPr>
                <w:rFonts w:cs="Calibri" w:hint="eastAsia"/>
                <w:b w:val="0"/>
                <w:bCs w:val="0"/>
                <w:lang w:eastAsia="zh-CN"/>
              </w:rPr>
              <w:t>风险登记单</w:t>
            </w:r>
            <w:r w:rsidR="006E782F" w:rsidRPr="00EF1625">
              <w:rPr>
                <w:rFonts w:cs="Calibri" w:hint="eastAsia"/>
                <w:b w:val="0"/>
                <w:bCs w:val="0"/>
                <w:lang w:eastAsia="zh-CN"/>
              </w:rPr>
              <w:t>模板，该模板整合了风险的起因和后果，</w:t>
            </w:r>
            <w:r w:rsidR="00720936" w:rsidRPr="00EF1625">
              <w:rPr>
                <w:rFonts w:cs="Calibri" w:hint="eastAsia"/>
                <w:b w:val="0"/>
                <w:bCs w:val="0"/>
                <w:lang w:eastAsia="zh-CN"/>
              </w:rPr>
              <w:t>包括</w:t>
            </w:r>
            <w:r w:rsidR="008334EE" w:rsidRPr="00EF1625">
              <w:rPr>
                <w:rFonts w:cs="Calibri" w:hint="eastAsia"/>
                <w:b w:val="0"/>
                <w:bCs w:val="0"/>
                <w:lang w:eastAsia="zh-CN"/>
              </w:rPr>
              <w:t>已有</w:t>
            </w:r>
            <w:r w:rsidR="006E782F" w:rsidRPr="00EF1625">
              <w:rPr>
                <w:rFonts w:cs="Calibri" w:hint="eastAsia"/>
                <w:b w:val="0"/>
                <w:bCs w:val="0"/>
                <w:lang w:eastAsia="zh-CN"/>
              </w:rPr>
              <w:t>的控制措施</w:t>
            </w:r>
            <w:r w:rsidR="003B1E06" w:rsidRPr="00EF1625">
              <w:rPr>
                <w:rFonts w:cs="Calibri" w:hint="eastAsia"/>
                <w:b w:val="0"/>
                <w:bCs w:val="0"/>
                <w:lang w:eastAsia="zh-CN"/>
              </w:rPr>
              <w:t>以及这些措施</w:t>
            </w:r>
            <w:r w:rsidR="006E782F" w:rsidRPr="00EF1625">
              <w:rPr>
                <w:rFonts w:cs="Calibri" w:hint="eastAsia"/>
                <w:b w:val="0"/>
                <w:bCs w:val="0"/>
                <w:lang w:eastAsia="zh-CN"/>
              </w:rPr>
              <w:t>对估计</w:t>
            </w:r>
            <w:r w:rsidR="0035448E" w:rsidRPr="00EF1625">
              <w:rPr>
                <w:rFonts w:cs="Calibri" w:hint="eastAsia"/>
                <w:b w:val="0"/>
                <w:bCs w:val="0"/>
                <w:lang w:eastAsia="zh-CN"/>
              </w:rPr>
              <w:t>残留风险</w:t>
            </w:r>
            <w:r w:rsidR="006E782F" w:rsidRPr="00EF1625">
              <w:rPr>
                <w:rFonts w:cs="Calibri" w:hint="eastAsia"/>
                <w:b w:val="0"/>
                <w:bCs w:val="0"/>
                <w:lang w:eastAsia="zh-CN"/>
              </w:rPr>
              <w:t>的有效性。</w:t>
            </w:r>
          </w:p>
          <w:p w14:paraId="792E0D5C" w14:textId="0E292544" w:rsidR="006E782F" w:rsidRPr="00EF1625" w:rsidRDefault="00EF1625" w:rsidP="00EF1625">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D049DE" w:rsidRPr="00EF1625">
              <w:rPr>
                <w:rFonts w:cs="Calibri" w:hint="eastAsia"/>
                <w:b w:val="0"/>
                <w:bCs w:val="0"/>
                <w:lang w:eastAsia="zh-CN"/>
              </w:rPr>
              <w:t>风险登记单</w:t>
            </w:r>
            <w:r w:rsidR="006E782F" w:rsidRPr="00EF1625">
              <w:rPr>
                <w:rFonts w:cs="Calibri" w:hint="eastAsia"/>
                <w:b w:val="0"/>
                <w:bCs w:val="0"/>
                <w:lang w:eastAsia="zh-CN"/>
              </w:rPr>
              <w:t>模板和相关</w:t>
            </w:r>
            <w:r w:rsidR="003B1E06" w:rsidRPr="00EF1625">
              <w:rPr>
                <w:rFonts w:cs="Calibri" w:hint="eastAsia"/>
                <w:b w:val="0"/>
                <w:bCs w:val="0"/>
                <w:lang w:eastAsia="zh-CN"/>
              </w:rPr>
              <w:t>的风险管理</w:t>
            </w:r>
            <w:r w:rsidR="00720936" w:rsidRPr="00EF1625">
              <w:rPr>
                <w:rFonts w:cs="Calibri" w:hint="eastAsia"/>
                <w:b w:val="0"/>
                <w:bCs w:val="0"/>
                <w:lang w:eastAsia="zh-CN"/>
              </w:rPr>
              <w:t>的</w:t>
            </w:r>
            <w:r w:rsidR="001E190D" w:rsidRPr="00EF1625">
              <w:rPr>
                <w:rFonts w:cs="Calibri" w:hint="eastAsia"/>
                <w:b w:val="0"/>
                <w:bCs w:val="0"/>
                <w:lang w:eastAsia="zh-CN"/>
              </w:rPr>
              <w:t>运作</w:t>
            </w:r>
            <w:r w:rsidR="006E782F" w:rsidRPr="00EF1625">
              <w:rPr>
                <w:rFonts w:cs="Calibri" w:hint="eastAsia"/>
                <w:b w:val="0"/>
                <w:bCs w:val="0"/>
                <w:lang w:eastAsia="zh-CN"/>
              </w:rPr>
              <w:t>细节</w:t>
            </w:r>
            <w:r w:rsidR="00E46044" w:rsidRPr="00EF1625">
              <w:rPr>
                <w:rFonts w:cs="Calibri" w:hint="eastAsia"/>
                <w:b w:val="0"/>
                <w:bCs w:val="0"/>
                <w:lang w:eastAsia="zh-CN"/>
              </w:rPr>
              <w:t>属于</w:t>
            </w:r>
            <w:r w:rsidR="006E782F" w:rsidRPr="00EF1625">
              <w:rPr>
                <w:rFonts w:cs="Calibri" w:hint="eastAsia"/>
                <w:b w:val="0"/>
                <w:bCs w:val="0"/>
                <w:lang w:eastAsia="zh-CN"/>
              </w:rPr>
              <w:t>新的《风险管理手册》的一部分，该手册将在未来几个月内完成。该手册对于支持计划</w:t>
            </w:r>
            <w:r w:rsidR="00E46044" w:rsidRPr="00EF1625">
              <w:rPr>
                <w:rFonts w:cs="Calibri" w:hint="eastAsia"/>
                <w:b w:val="0"/>
                <w:bCs w:val="0"/>
                <w:lang w:eastAsia="zh-CN"/>
              </w:rPr>
              <w:t>于</w:t>
            </w:r>
            <w:r w:rsidR="00E46044" w:rsidRPr="00EF1625">
              <w:rPr>
                <w:rFonts w:cs="Calibri" w:hint="eastAsia"/>
                <w:b w:val="0"/>
                <w:bCs w:val="0"/>
                <w:lang w:eastAsia="zh-CN"/>
              </w:rPr>
              <w:t>2020</w:t>
            </w:r>
            <w:r w:rsidR="00E46044" w:rsidRPr="00EF1625">
              <w:rPr>
                <w:rFonts w:cs="Calibri" w:hint="eastAsia"/>
                <w:b w:val="0"/>
                <w:bCs w:val="0"/>
                <w:lang w:eastAsia="zh-CN"/>
              </w:rPr>
              <w:t>年年底之前</w:t>
            </w:r>
            <w:r w:rsidR="006E782F" w:rsidRPr="00EF1625">
              <w:rPr>
                <w:rFonts w:cs="Calibri" w:hint="eastAsia"/>
                <w:b w:val="0"/>
                <w:bCs w:val="0"/>
                <w:lang w:eastAsia="zh-CN"/>
              </w:rPr>
              <w:t>培训活动（尤其</w:t>
            </w:r>
            <w:r w:rsidR="00AC1B58" w:rsidRPr="00EF1625">
              <w:rPr>
                <w:rFonts w:cs="Calibri" w:hint="eastAsia"/>
                <w:b w:val="0"/>
                <w:bCs w:val="0"/>
                <w:lang w:eastAsia="zh-CN"/>
              </w:rPr>
              <w:t>与</w:t>
            </w:r>
            <w:r w:rsidR="006E782F" w:rsidRPr="00EF1625">
              <w:rPr>
                <w:rFonts w:cs="Calibri" w:hint="eastAsia"/>
                <w:b w:val="0"/>
                <w:bCs w:val="0"/>
                <w:lang w:eastAsia="zh-CN"/>
              </w:rPr>
              <w:t>以下</w:t>
            </w:r>
            <w:r w:rsidR="00AC1B58" w:rsidRPr="00EF1625">
              <w:rPr>
                <w:rFonts w:cs="Calibri" w:hint="eastAsia"/>
                <w:b w:val="0"/>
                <w:bCs w:val="0"/>
                <w:lang w:eastAsia="zh-CN"/>
              </w:rPr>
              <w:t>行动</w:t>
            </w:r>
            <w:r w:rsidR="006E782F" w:rsidRPr="00EF1625">
              <w:rPr>
                <w:rFonts w:cs="Calibri" w:hint="eastAsia"/>
                <w:b w:val="0"/>
                <w:bCs w:val="0"/>
                <w:lang w:eastAsia="zh-CN"/>
              </w:rPr>
              <w:t>4</w:t>
            </w:r>
            <w:r w:rsidR="00AC1B58" w:rsidRPr="00EF1625">
              <w:rPr>
                <w:rFonts w:cs="Calibri" w:hint="eastAsia"/>
                <w:b w:val="0"/>
                <w:bCs w:val="0"/>
                <w:lang w:eastAsia="zh-CN"/>
              </w:rPr>
              <w:t>、</w:t>
            </w:r>
            <w:r w:rsidR="006E782F" w:rsidRPr="00EF1625">
              <w:rPr>
                <w:rFonts w:cs="Calibri" w:hint="eastAsia"/>
                <w:b w:val="0"/>
                <w:bCs w:val="0"/>
                <w:lang w:eastAsia="zh-CN"/>
              </w:rPr>
              <w:t>8</w:t>
            </w:r>
            <w:r w:rsidR="006E782F" w:rsidRPr="00EF1625">
              <w:rPr>
                <w:rFonts w:cs="Calibri" w:hint="eastAsia"/>
                <w:b w:val="0"/>
                <w:bCs w:val="0"/>
                <w:lang w:eastAsia="zh-CN"/>
              </w:rPr>
              <w:t>和</w:t>
            </w:r>
            <w:r w:rsidR="006E782F" w:rsidRPr="00EF1625">
              <w:rPr>
                <w:rFonts w:cs="Calibri" w:hint="eastAsia"/>
                <w:b w:val="0"/>
                <w:bCs w:val="0"/>
                <w:lang w:eastAsia="zh-CN"/>
              </w:rPr>
              <w:t>9</w:t>
            </w:r>
            <w:r w:rsidR="00AC1B58" w:rsidRPr="00EF1625">
              <w:rPr>
                <w:rFonts w:cs="Calibri" w:hint="eastAsia"/>
                <w:b w:val="0"/>
                <w:bCs w:val="0"/>
                <w:lang w:eastAsia="zh-CN"/>
              </w:rPr>
              <w:t>相关</w:t>
            </w:r>
            <w:r w:rsidR="006E782F" w:rsidRPr="00EF1625">
              <w:rPr>
                <w:rFonts w:cs="Calibri" w:hint="eastAsia"/>
                <w:b w:val="0"/>
                <w:bCs w:val="0"/>
                <w:lang w:eastAsia="zh-CN"/>
              </w:rPr>
              <w:t>）至关重要。</w:t>
            </w:r>
          </w:p>
          <w:p w14:paraId="442A13CB" w14:textId="5B8751E1" w:rsidR="006E782F" w:rsidRPr="008E6A9D" w:rsidRDefault="00EF1625" w:rsidP="00EF1625">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6E782F" w:rsidRPr="00EF1625">
              <w:rPr>
                <w:rFonts w:cs="Calibri" w:hint="eastAsia"/>
                <w:b w:val="0"/>
                <w:bCs w:val="0"/>
                <w:lang w:eastAsia="zh-CN"/>
              </w:rPr>
              <w:t>将使用新的</w:t>
            </w:r>
            <w:r w:rsidR="00D049DE" w:rsidRPr="00EF1625">
              <w:rPr>
                <w:rFonts w:cs="Calibri" w:hint="eastAsia"/>
                <w:b w:val="0"/>
                <w:bCs w:val="0"/>
                <w:lang w:eastAsia="zh-CN"/>
              </w:rPr>
              <w:t>风险登记单</w:t>
            </w:r>
            <w:r w:rsidR="006E782F" w:rsidRPr="00EF1625">
              <w:rPr>
                <w:rFonts w:cs="Calibri" w:hint="eastAsia"/>
                <w:b w:val="0"/>
                <w:bCs w:val="0"/>
                <w:lang w:eastAsia="zh-CN"/>
              </w:rPr>
              <w:t>为下一</w:t>
            </w:r>
            <w:r w:rsidR="00E46044" w:rsidRPr="00EF1625">
              <w:rPr>
                <w:rFonts w:cs="Calibri" w:hint="eastAsia"/>
                <w:b w:val="0"/>
                <w:bCs w:val="0"/>
                <w:lang w:eastAsia="zh-CN"/>
              </w:rPr>
              <w:t>份</w:t>
            </w:r>
            <w:r w:rsidR="00AC1B58" w:rsidRPr="00EF1625">
              <w:rPr>
                <w:rFonts w:cs="Calibri" w:hint="eastAsia"/>
                <w:b w:val="0"/>
                <w:bCs w:val="0"/>
                <w:lang w:eastAsia="zh-CN"/>
              </w:rPr>
              <w:t>运作规划</w:t>
            </w:r>
            <w:r w:rsidR="00087F16" w:rsidRPr="00EF1625">
              <w:rPr>
                <w:rFonts w:cs="Calibri" w:hint="eastAsia"/>
                <w:b w:val="0"/>
                <w:bCs w:val="0"/>
                <w:lang w:eastAsia="zh-CN"/>
              </w:rPr>
              <w:t>确定</w:t>
            </w:r>
            <w:r w:rsidR="006E782F" w:rsidRPr="00EF1625">
              <w:rPr>
                <w:rFonts w:cs="Calibri" w:hint="eastAsia"/>
                <w:b w:val="0"/>
                <w:bCs w:val="0"/>
                <w:lang w:eastAsia="zh-CN"/>
              </w:rPr>
              <w:t>和评估风险。</w:t>
            </w:r>
          </w:p>
        </w:tc>
        <w:tc>
          <w:tcPr>
            <w:tcW w:w="1134" w:type="dxa"/>
          </w:tcPr>
          <w:p w14:paraId="1D462D30" w14:textId="4A0E7BB0" w:rsidR="008E6A9D" w:rsidRPr="008E6A9D" w:rsidRDefault="006E782F"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7" w:name="lt_pId039"/>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r w:rsidR="008E6A9D" w:rsidRPr="008E6A9D">
              <w:rPr>
                <w:rFonts w:cstheme="minorHAnsi"/>
                <w:sz w:val="22"/>
                <w:szCs w:val="22"/>
                <w:lang w:eastAsia="zh-CN"/>
              </w:rPr>
              <w:t>/</w:t>
            </w:r>
            <w:bookmarkEnd w:id="7"/>
            <w:r>
              <w:rPr>
                <w:rFonts w:cstheme="minorHAnsi" w:hint="eastAsia"/>
                <w:sz w:val="22"/>
                <w:szCs w:val="22"/>
                <w:lang w:eastAsia="zh-CN"/>
              </w:rPr>
              <w:t>仍在进行中</w:t>
            </w:r>
          </w:p>
        </w:tc>
      </w:tr>
      <w:tr w:rsidR="008E6A9D" w:rsidRPr="008E6A9D" w14:paraId="11F18719"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44F59BC6" w14:textId="10C7DD41" w:rsidR="008E6A9D" w:rsidRPr="00EF1625" w:rsidRDefault="00EF1625" w:rsidP="00EF1625">
            <w:pPr>
              <w:pStyle w:val="Tabletext"/>
              <w:tabs>
                <w:tab w:val="clear" w:pos="284"/>
              </w:tabs>
              <w:rPr>
                <w:lang w:eastAsia="zh-CN"/>
              </w:rPr>
            </w:pPr>
            <w:r>
              <w:rPr>
                <w:lang w:eastAsia="zh-CN"/>
              </w:rPr>
              <w:t>3)</w:t>
            </w:r>
            <w:r>
              <w:rPr>
                <w:lang w:eastAsia="zh-CN"/>
              </w:rPr>
              <w:tab/>
            </w:r>
            <w:r w:rsidR="00AC1B58" w:rsidRPr="00EF1625">
              <w:rPr>
                <w:rFonts w:hint="eastAsia"/>
                <w:lang w:eastAsia="zh-CN"/>
              </w:rPr>
              <w:t>建立内部风险治理结构</w:t>
            </w:r>
          </w:p>
          <w:p w14:paraId="6E7388DF" w14:textId="210D381A" w:rsidR="00AC1B58"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HLCM</w:t>
            </w:r>
            <w:r w:rsidR="00AC1B58" w:rsidRPr="00293633">
              <w:rPr>
                <w:rFonts w:cs="Calibri" w:hint="eastAsia"/>
                <w:b w:val="0"/>
                <w:bCs w:val="0"/>
                <w:lang w:eastAsia="zh-CN"/>
              </w:rPr>
              <w:t>风险管理任务组在</w:t>
            </w:r>
            <w:r w:rsidR="00AC1B58" w:rsidRPr="00293633">
              <w:rPr>
                <w:rFonts w:cs="Calibri"/>
                <w:b w:val="0"/>
                <w:bCs w:val="0"/>
                <w:lang w:eastAsia="zh-CN"/>
              </w:rPr>
              <w:t>25</w:t>
            </w:r>
            <w:r w:rsidR="00AC1B58" w:rsidRPr="00293633">
              <w:rPr>
                <w:rFonts w:cs="Calibri" w:hint="eastAsia"/>
                <w:b w:val="0"/>
                <w:bCs w:val="0"/>
                <w:lang w:eastAsia="zh-CN"/>
              </w:rPr>
              <w:t>个联合国组织中</w:t>
            </w:r>
            <w:r w:rsidR="00603BEA" w:rsidRPr="00293633">
              <w:rPr>
                <w:rFonts w:cs="Calibri" w:hint="eastAsia"/>
                <w:b w:val="0"/>
                <w:bCs w:val="0"/>
                <w:lang w:eastAsia="zh-CN"/>
              </w:rPr>
              <w:t>开展</w:t>
            </w:r>
            <w:r w:rsidR="00DB20F1" w:rsidRPr="00293633">
              <w:rPr>
                <w:rFonts w:cs="Calibri" w:hint="eastAsia"/>
                <w:b w:val="0"/>
                <w:bCs w:val="0"/>
                <w:lang w:eastAsia="zh-CN"/>
              </w:rPr>
              <w:t>了</w:t>
            </w:r>
            <w:r w:rsidR="00AC1B58" w:rsidRPr="00293633">
              <w:rPr>
                <w:rFonts w:cs="Calibri" w:hint="eastAsia"/>
                <w:b w:val="0"/>
                <w:bCs w:val="0"/>
                <w:lang w:eastAsia="zh-CN"/>
              </w:rPr>
              <w:t>调查</w:t>
            </w:r>
            <w:r w:rsidR="00DB20F1" w:rsidRPr="00293633">
              <w:rPr>
                <w:rFonts w:cs="Calibri" w:hint="eastAsia"/>
                <w:b w:val="0"/>
                <w:bCs w:val="0"/>
                <w:lang w:eastAsia="zh-CN"/>
              </w:rPr>
              <w:t>（</w:t>
            </w:r>
            <w:r w:rsidR="00DB20F1" w:rsidRPr="00293633">
              <w:rPr>
                <w:rFonts w:cs="Calibri" w:hint="eastAsia"/>
                <w:b w:val="0"/>
                <w:bCs w:val="0"/>
                <w:lang w:eastAsia="zh-CN"/>
              </w:rPr>
              <w:t>2019</w:t>
            </w:r>
            <w:r w:rsidR="00DB20F1" w:rsidRPr="00293633">
              <w:rPr>
                <w:rFonts w:cs="Calibri" w:hint="eastAsia"/>
                <w:b w:val="0"/>
                <w:bCs w:val="0"/>
                <w:lang w:eastAsia="zh-CN"/>
              </w:rPr>
              <w:t>年</w:t>
            </w:r>
            <w:r w:rsidR="00DB20F1" w:rsidRPr="00293633">
              <w:rPr>
                <w:rFonts w:cs="Calibri" w:hint="eastAsia"/>
                <w:b w:val="0"/>
                <w:bCs w:val="0"/>
                <w:lang w:eastAsia="zh-CN"/>
              </w:rPr>
              <w:t>3</w:t>
            </w:r>
            <w:r w:rsidR="00DB20F1" w:rsidRPr="00293633">
              <w:rPr>
                <w:rFonts w:cs="Calibri" w:hint="eastAsia"/>
                <w:b w:val="0"/>
                <w:bCs w:val="0"/>
                <w:lang w:eastAsia="zh-CN"/>
              </w:rPr>
              <w:t>月），根据调查</w:t>
            </w:r>
            <w:r w:rsidR="00AC1B58" w:rsidRPr="00293633">
              <w:rPr>
                <w:rFonts w:cs="Calibri" w:hint="eastAsia"/>
                <w:b w:val="0"/>
                <w:bCs w:val="0"/>
                <w:lang w:eastAsia="zh-CN"/>
              </w:rPr>
              <w:t>结果发现的最佳做法以及从主要利益</w:t>
            </w:r>
            <w:r w:rsidR="00833A88" w:rsidRPr="00293633">
              <w:rPr>
                <w:rFonts w:cs="Calibri" w:hint="eastAsia"/>
                <w:b w:val="0"/>
                <w:bCs w:val="0"/>
                <w:lang w:eastAsia="zh-CN"/>
              </w:rPr>
              <w:t>攸关方</w:t>
            </w:r>
            <w:r w:rsidR="00AC1B58" w:rsidRPr="00293633">
              <w:rPr>
                <w:rFonts w:cs="Calibri" w:hint="eastAsia"/>
                <w:b w:val="0"/>
                <w:bCs w:val="0"/>
                <w:lang w:eastAsia="zh-CN"/>
              </w:rPr>
              <w:t>收集的反馈意见（参见上述行动</w:t>
            </w:r>
            <w:r w:rsidR="00AC1B58" w:rsidRPr="00293633">
              <w:rPr>
                <w:rFonts w:cs="Calibri" w:hint="eastAsia"/>
                <w:b w:val="0"/>
                <w:bCs w:val="0"/>
                <w:lang w:eastAsia="zh-CN"/>
              </w:rPr>
              <w:t>1</w:t>
            </w:r>
            <w:r w:rsidR="00AC1B58" w:rsidRPr="00293633">
              <w:rPr>
                <w:rFonts w:cs="Calibri" w:hint="eastAsia"/>
                <w:b w:val="0"/>
                <w:bCs w:val="0"/>
                <w:lang w:eastAsia="zh-CN"/>
              </w:rPr>
              <w:t>），建议加强风险治理结构。</w:t>
            </w:r>
            <w:r w:rsidR="00833A88" w:rsidRPr="00293633">
              <w:rPr>
                <w:rFonts w:cs="Calibri" w:hint="eastAsia"/>
                <w:b w:val="0"/>
                <w:bCs w:val="0"/>
                <w:lang w:eastAsia="zh-CN"/>
              </w:rPr>
              <w:t>加强</w:t>
            </w:r>
            <w:r w:rsidR="00AC1B58" w:rsidRPr="00293633">
              <w:rPr>
                <w:rFonts w:cs="Calibri" w:hint="eastAsia"/>
                <w:b w:val="0"/>
                <w:bCs w:val="0"/>
                <w:lang w:eastAsia="zh-CN"/>
              </w:rPr>
              <w:t>的重点是</w:t>
            </w:r>
            <w:r w:rsidR="00833A88" w:rsidRPr="00293633">
              <w:rPr>
                <w:rFonts w:cs="Calibri" w:hint="eastAsia"/>
                <w:b w:val="0"/>
                <w:bCs w:val="0"/>
                <w:lang w:eastAsia="zh-CN"/>
              </w:rPr>
              <w:t>整合</w:t>
            </w:r>
            <w:r w:rsidR="00AC1B58" w:rsidRPr="00293633">
              <w:rPr>
                <w:rFonts w:cs="Calibri" w:hint="eastAsia"/>
                <w:b w:val="0"/>
                <w:bCs w:val="0"/>
                <w:lang w:eastAsia="zh-CN"/>
              </w:rPr>
              <w:t>风险和</w:t>
            </w:r>
            <w:r w:rsidR="000E7D80" w:rsidRPr="00293633">
              <w:rPr>
                <w:rFonts w:cs="Calibri" w:hint="eastAsia"/>
                <w:b w:val="0"/>
                <w:bCs w:val="0"/>
                <w:lang w:eastAsia="zh-CN"/>
              </w:rPr>
              <w:t>内控</w:t>
            </w:r>
            <w:r w:rsidR="00833A88" w:rsidRPr="00293633">
              <w:rPr>
                <w:rFonts w:cs="Calibri" w:hint="eastAsia"/>
                <w:b w:val="0"/>
                <w:bCs w:val="0"/>
                <w:lang w:eastAsia="zh-CN"/>
              </w:rPr>
              <w:t>职能</w:t>
            </w:r>
            <w:r w:rsidR="00AC1B58" w:rsidRPr="00293633">
              <w:rPr>
                <w:rFonts w:cs="Calibri" w:hint="eastAsia"/>
                <w:b w:val="0"/>
                <w:bCs w:val="0"/>
                <w:lang w:eastAsia="zh-CN"/>
              </w:rPr>
              <w:t>，</w:t>
            </w:r>
            <w:r w:rsidR="00833A88" w:rsidRPr="00293633">
              <w:rPr>
                <w:rFonts w:cs="Calibri" w:hint="eastAsia"/>
                <w:b w:val="0"/>
                <w:bCs w:val="0"/>
                <w:lang w:eastAsia="zh-CN"/>
              </w:rPr>
              <w:t>通过第二道防线问责制，监督风险管理的落实</w:t>
            </w:r>
            <w:r w:rsidR="00AC1B58" w:rsidRPr="00293633">
              <w:rPr>
                <w:rFonts w:cs="Calibri" w:hint="eastAsia"/>
                <w:b w:val="0"/>
                <w:bCs w:val="0"/>
                <w:lang w:eastAsia="zh-CN"/>
              </w:rPr>
              <w:t>。</w:t>
            </w:r>
            <w:r w:rsidR="00833A88" w:rsidRPr="00293633">
              <w:rPr>
                <w:rFonts w:cs="Calibri" w:hint="eastAsia"/>
                <w:b w:val="0"/>
                <w:bCs w:val="0"/>
                <w:lang w:eastAsia="zh-CN"/>
              </w:rPr>
              <w:t>该职能</w:t>
            </w:r>
            <w:r w:rsidR="00AC1B58" w:rsidRPr="00293633">
              <w:rPr>
                <w:rFonts w:cs="Calibri" w:hint="eastAsia"/>
                <w:b w:val="0"/>
                <w:bCs w:val="0"/>
                <w:lang w:eastAsia="zh-CN"/>
              </w:rPr>
              <w:t>完全专注于风险管理和</w:t>
            </w:r>
            <w:r w:rsidR="000E7D80" w:rsidRPr="00293633">
              <w:rPr>
                <w:rFonts w:cs="Calibri" w:hint="eastAsia"/>
                <w:b w:val="0"/>
                <w:bCs w:val="0"/>
                <w:lang w:eastAsia="zh-CN"/>
              </w:rPr>
              <w:t>内控</w:t>
            </w:r>
            <w:r w:rsidR="00AC1B58" w:rsidRPr="00293633">
              <w:rPr>
                <w:rFonts w:cs="Calibri" w:hint="eastAsia"/>
                <w:b w:val="0"/>
                <w:bCs w:val="0"/>
                <w:lang w:eastAsia="zh-CN"/>
              </w:rPr>
              <w:t>，负责协调风险和</w:t>
            </w:r>
            <w:r w:rsidR="00833A88" w:rsidRPr="00293633">
              <w:rPr>
                <w:rFonts w:cs="Calibri" w:hint="eastAsia"/>
                <w:b w:val="0"/>
                <w:bCs w:val="0"/>
                <w:lang w:eastAsia="zh-CN"/>
              </w:rPr>
              <w:t>管控</w:t>
            </w:r>
            <w:r w:rsidR="00AC1B58" w:rsidRPr="00293633">
              <w:rPr>
                <w:rFonts w:cs="Calibri" w:hint="eastAsia"/>
                <w:b w:val="0"/>
                <w:bCs w:val="0"/>
                <w:lang w:eastAsia="zh-CN"/>
              </w:rPr>
              <w:t>流程以及</w:t>
            </w:r>
            <w:r w:rsidR="00DB20F1" w:rsidRPr="00293633">
              <w:rPr>
                <w:rFonts w:cs="Calibri" w:hint="eastAsia"/>
                <w:b w:val="0"/>
                <w:bCs w:val="0"/>
                <w:lang w:eastAsia="zh-CN"/>
              </w:rPr>
              <w:t>这些流程的</w:t>
            </w:r>
            <w:r w:rsidR="00AC1B58" w:rsidRPr="00293633">
              <w:rPr>
                <w:rFonts w:cs="Calibri" w:hint="eastAsia"/>
                <w:b w:val="0"/>
                <w:bCs w:val="0"/>
                <w:lang w:eastAsia="zh-CN"/>
              </w:rPr>
              <w:t>持续改进，包括风险管理框架</w:t>
            </w:r>
            <w:r w:rsidR="00833A88" w:rsidRPr="00293633">
              <w:rPr>
                <w:rFonts w:cs="Calibri" w:hint="eastAsia"/>
                <w:b w:val="0"/>
                <w:bCs w:val="0"/>
                <w:lang w:eastAsia="zh-CN"/>
              </w:rPr>
              <w:t>、</w:t>
            </w:r>
            <w:r w:rsidR="00AC1B58" w:rsidRPr="00293633">
              <w:rPr>
                <w:rFonts w:cs="Calibri" w:hint="eastAsia"/>
                <w:b w:val="0"/>
                <w:bCs w:val="0"/>
                <w:lang w:eastAsia="zh-CN"/>
              </w:rPr>
              <w:t>政策和手册。</w:t>
            </w:r>
          </w:p>
          <w:p w14:paraId="6156BBD6" w14:textId="132DF4E5" w:rsidR="00AC1B58"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考虑到分配给风险和</w:t>
            </w:r>
            <w:r w:rsidR="000E7D80" w:rsidRPr="00293633">
              <w:rPr>
                <w:rFonts w:cs="Calibri" w:hint="eastAsia"/>
                <w:b w:val="0"/>
                <w:bCs w:val="0"/>
                <w:lang w:eastAsia="zh-CN"/>
              </w:rPr>
              <w:t>内控</w:t>
            </w:r>
            <w:r w:rsidR="00833A88" w:rsidRPr="00293633">
              <w:rPr>
                <w:rFonts w:cs="Calibri" w:hint="eastAsia"/>
                <w:b w:val="0"/>
                <w:bCs w:val="0"/>
                <w:lang w:eastAsia="zh-CN"/>
              </w:rPr>
              <w:t>职能</w:t>
            </w:r>
            <w:r w:rsidR="00AC1B58" w:rsidRPr="00293633">
              <w:rPr>
                <w:rFonts w:cs="Calibri" w:hint="eastAsia"/>
                <w:b w:val="0"/>
                <w:bCs w:val="0"/>
                <w:lang w:eastAsia="zh-CN"/>
              </w:rPr>
              <w:t>的</w:t>
            </w:r>
            <w:r w:rsidR="00833A88" w:rsidRPr="00293633">
              <w:rPr>
                <w:rFonts w:cs="Calibri" w:hint="eastAsia"/>
                <w:b w:val="0"/>
                <w:bCs w:val="0"/>
                <w:lang w:eastAsia="zh-CN"/>
              </w:rPr>
              <w:t>责任</w:t>
            </w:r>
            <w:r w:rsidR="00AC1B58" w:rsidRPr="00293633">
              <w:rPr>
                <w:rFonts w:cs="Calibri" w:hint="eastAsia"/>
                <w:b w:val="0"/>
                <w:bCs w:val="0"/>
                <w:lang w:eastAsia="zh-CN"/>
              </w:rPr>
              <w:t>以及</w:t>
            </w:r>
            <w:r w:rsidR="00F00A0F" w:rsidRPr="00293633">
              <w:rPr>
                <w:rFonts w:cs="Calibri" w:hint="eastAsia"/>
                <w:b w:val="0"/>
                <w:bCs w:val="0"/>
                <w:lang w:eastAsia="zh-CN"/>
              </w:rPr>
              <w:t>本</w:t>
            </w:r>
            <w:r w:rsidR="00AC1B58" w:rsidRPr="00293633">
              <w:rPr>
                <w:rFonts w:cs="Calibri" w:hint="eastAsia"/>
                <w:b w:val="0"/>
                <w:bCs w:val="0"/>
                <w:lang w:eastAsia="zh-CN"/>
              </w:rPr>
              <w:t>组织内部</w:t>
            </w:r>
            <w:r w:rsidR="00833A88" w:rsidRPr="00293633">
              <w:rPr>
                <w:rFonts w:cs="Calibri" w:hint="eastAsia"/>
                <w:b w:val="0"/>
                <w:bCs w:val="0"/>
                <w:lang w:eastAsia="zh-CN"/>
              </w:rPr>
              <w:t>目前</w:t>
            </w:r>
            <w:r w:rsidR="00AC1B58" w:rsidRPr="00293633">
              <w:rPr>
                <w:rFonts w:cs="Calibri" w:hint="eastAsia"/>
                <w:b w:val="0"/>
                <w:bCs w:val="0"/>
                <w:lang w:eastAsia="zh-CN"/>
              </w:rPr>
              <w:t>处理风险管理的结构，</w:t>
            </w:r>
            <w:r w:rsidR="005C1758" w:rsidRPr="00293633">
              <w:rPr>
                <w:rFonts w:cs="Calibri" w:hint="eastAsia"/>
                <w:b w:val="0"/>
                <w:bCs w:val="0"/>
                <w:lang w:eastAsia="zh-CN"/>
              </w:rPr>
              <w:t>对</w:t>
            </w:r>
            <w:r w:rsidR="00833A88" w:rsidRPr="00293633">
              <w:rPr>
                <w:rFonts w:cs="Calibri"/>
                <w:b w:val="0"/>
                <w:bCs w:val="0"/>
                <w:lang w:eastAsia="zh-CN"/>
              </w:rPr>
              <w:t>跨部门协调任务组（</w:t>
            </w:r>
            <w:r w:rsidR="00833A88" w:rsidRPr="00293633">
              <w:rPr>
                <w:rFonts w:cs="Calibri"/>
                <w:b w:val="0"/>
                <w:bCs w:val="0"/>
                <w:lang w:eastAsia="zh-CN"/>
              </w:rPr>
              <w:t>ISC-TF</w:t>
            </w:r>
            <w:r w:rsidR="00833A88" w:rsidRPr="00293633">
              <w:rPr>
                <w:rFonts w:cs="Calibri"/>
                <w:b w:val="0"/>
                <w:bCs w:val="0"/>
                <w:lang w:eastAsia="zh-CN"/>
              </w:rPr>
              <w:t>）</w:t>
            </w:r>
            <w:r w:rsidR="00AC1B58" w:rsidRPr="00293633">
              <w:rPr>
                <w:rFonts w:cs="Calibri" w:hint="eastAsia"/>
                <w:b w:val="0"/>
                <w:bCs w:val="0"/>
                <w:lang w:eastAsia="zh-CN"/>
              </w:rPr>
              <w:t>的</w:t>
            </w:r>
            <w:r w:rsidR="00286AA3" w:rsidRPr="00293633">
              <w:rPr>
                <w:rFonts w:cs="Calibri" w:hint="eastAsia"/>
                <w:b w:val="0"/>
                <w:bCs w:val="0"/>
                <w:lang w:eastAsia="zh-CN"/>
              </w:rPr>
              <w:t>作用</w:t>
            </w:r>
            <w:r w:rsidR="00833A88" w:rsidRPr="00293633">
              <w:rPr>
                <w:rFonts w:cs="Calibri" w:hint="eastAsia"/>
                <w:b w:val="0"/>
                <w:bCs w:val="0"/>
                <w:lang w:eastAsia="zh-CN"/>
              </w:rPr>
              <w:t>进行了</w:t>
            </w:r>
            <w:r w:rsidR="00AC1B58" w:rsidRPr="00293633">
              <w:rPr>
                <w:rFonts w:cs="Calibri" w:hint="eastAsia"/>
                <w:b w:val="0"/>
                <w:bCs w:val="0"/>
                <w:lang w:eastAsia="zh-CN"/>
              </w:rPr>
              <w:t>相应调整</w:t>
            </w:r>
            <w:r w:rsidR="00286AA3" w:rsidRPr="00293633">
              <w:rPr>
                <w:rFonts w:cs="Calibri" w:hint="eastAsia"/>
                <w:b w:val="0"/>
                <w:bCs w:val="0"/>
                <w:lang w:eastAsia="zh-CN"/>
              </w:rPr>
              <w:t>，对风险和内控职能提供的建议</w:t>
            </w:r>
            <w:r w:rsidR="006C12D0" w:rsidRPr="00293633">
              <w:rPr>
                <w:rFonts w:cs="Calibri" w:hint="eastAsia"/>
                <w:b w:val="0"/>
                <w:bCs w:val="0"/>
                <w:lang w:eastAsia="zh-CN"/>
              </w:rPr>
              <w:t>进行</w:t>
            </w:r>
            <w:r w:rsidR="00286AA3" w:rsidRPr="00293633">
              <w:rPr>
                <w:rFonts w:cs="Calibri" w:hint="eastAsia"/>
                <w:b w:val="0"/>
                <w:bCs w:val="0"/>
                <w:lang w:eastAsia="zh-CN"/>
              </w:rPr>
              <w:t>咨询</w:t>
            </w:r>
            <w:r w:rsidR="00AC1B58" w:rsidRPr="00293633">
              <w:rPr>
                <w:rFonts w:cs="Calibri" w:hint="eastAsia"/>
                <w:b w:val="0"/>
                <w:bCs w:val="0"/>
                <w:lang w:eastAsia="zh-CN"/>
              </w:rPr>
              <w:t>。一方面，</w:t>
            </w:r>
            <w:r w:rsidR="005C1758" w:rsidRPr="00293633">
              <w:rPr>
                <w:rFonts w:cs="Calibri"/>
                <w:b w:val="0"/>
                <w:bCs w:val="0"/>
                <w:lang w:eastAsia="zh-CN"/>
              </w:rPr>
              <w:t>跨部门协调任务组</w:t>
            </w:r>
            <w:r w:rsidR="00AC1B58" w:rsidRPr="00293633">
              <w:rPr>
                <w:rFonts w:cs="Calibri" w:hint="eastAsia"/>
                <w:b w:val="0"/>
                <w:bCs w:val="0"/>
                <w:lang w:eastAsia="zh-CN"/>
              </w:rPr>
              <w:t>将根据风险和</w:t>
            </w:r>
            <w:r w:rsidR="000E7D80" w:rsidRPr="00293633">
              <w:rPr>
                <w:rFonts w:cs="Calibri" w:hint="eastAsia"/>
                <w:b w:val="0"/>
                <w:bCs w:val="0"/>
                <w:lang w:eastAsia="zh-CN"/>
              </w:rPr>
              <w:t>内控</w:t>
            </w:r>
            <w:r w:rsidR="00AC1B58" w:rsidRPr="00293633">
              <w:rPr>
                <w:rFonts w:cs="Calibri" w:hint="eastAsia"/>
                <w:b w:val="0"/>
                <w:bCs w:val="0"/>
                <w:lang w:eastAsia="zh-CN"/>
              </w:rPr>
              <w:t>职能的建议，</w:t>
            </w:r>
            <w:r w:rsidR="00824D00" w:rsidRPr="00293633">
              <w:rPr>
                <w:rFonts w:cs="Calibri" w:hint="eastAsia"/>
                <w:b w:val="0"/>
                <w:bCs w:val="0"/>
                <w:lang w:eastAsia="zh-CN"/>
              </w:rPr>
              <w:t>审议</w:t>
            </w:r>
            <w:r w:rsidR="00AC1B58" w:rsidRPr="00293633">
              <w:rPr>
                <w:rFonts w:cs="Calibri" w:hint="eastAsia"/>
                <w:b w:val="0"/>
                <w:bCs w:val="0"/>
                <w:lang w:eastAsia="zh-CN"/>
              </w:rPr>
              <w:t>风险管理框架政策和手册，并</w:t>
            </w:r>
            <w:r w:rsidR="00C27E15" w:rsidRPr="00293633">
              <w:rPr>
                <w:rFonts w:cs="Calibri" w:hint="eastAsia"/>
                <w:b w:val="0"/>
                <w:bCs w:val="0"/>
                <w:lang w:eastAsia="zh-CN"/>
              </w:rPr>
              <w:t>制定</w:t>
            </w:r>
            <w:r w:rsidR="00AC1B58" w:rsidRPr="00293633">
              <w:rPr>
                <w:rFonts w:cs="Calibri" w:hint="eastAsia"/>
                <w:b w:val="0"/>
                <w:bCs w:val="0"/>
                <w:lang w:eastAsia="zh-CN"/>
              </w:rPr>
              <w:t>建议，</w:t>
            </w:r>
            <w:r w:rsidR="00C27E15" w:rsidRPr="00293633">
              <w:rPr>
                <w:rFonts w:cs="Calibri" w:hint="eastAsia"/>
                <w:b w:val="0"/>
                <w:bCs w:val="0"/>
                <w:lang w:eastAsia="zh-CN"/>
              </w:rPr>
              <w:t>由</w:t>
            </w:r>
            <w:r w:rsidR="00AC1B58" w:rsidRPr="00293633">
              <w:rPr>
                <w:rFonts w:cs="Calibri" w:hint="eastAsia"/>
                <w:b w:val="0"/>
                <w:bCs w:val="0"/>
                <w:lang w:eastAsia="zh-CN"/>
              </w:rPr>
              <w:t>协调委员会（</w:t>
            </w:r>
            <w:proofErr w:type="spellStart"/>
            <w:r w:rsidR="00AC1B58" w:rsidRPr="00293633">
              <w:rPr>
                <w:rFonts w:cs="Calibri" w:hint="eastAsia"/>
                <w:b w:val="0"/>
                <w:bCs w:val="0"/>
                <w:lang w:eastAsia="zh-CN"/>
              </w:rPr>
              <w:t>CoCo</w:t>
            </w:r>
            <w:proofErr w:type="spellEnd"/>
            <w:r w:rsidR="00AC1B58" w:rsidRPr="00293633">
              <w:rPr>
                <w:rFonts w:cs="Calibri" w:hint="eastAsia"/>
                <w:b w:val="0"/>
                <w:bCs w:val="0"/>
                <w:lang w:eastAsia="zh-CN"/>
              </w:rPr>
              <w:t>）</w:t>
            </w:r>
            <w:r w:rsidR="00C27E15" w:rsidRPr="00293633">
              <w:rPr>
                <w:rFonts w:cs="Calibri" w:hint="eastAsia"/>
                <w:b w:val="0"/>
                <w:bCs w:val="0"/>
                <w:lang w:eastAsia="zh-CN"/>
              </w:rPr>
              <w:t>通过</w:t>
            </w:r>
            <w:r w:rsidR="00C27E15" w:rsidRPr="00293633">
              <w:rPr>
                <w:rFonts w:cs="Calibri"/>
                <w:b w:val="0"/>
                <w:bCs w:val="0"/>
                <w:lang w:eastAsia="zh-CN"/>
              </w:rPr>
              <w:t>管理协调组（</w:t>
            </w:r>
            <w:r w:rsidR="00C27E15" w:rsidRPr="00293633">
              <w:rPr>
                <w:rFonts w:cs="Calibri"/>
                <w:b w:val="0"/>
                <w:bCs w:val="0"/>
                <w:lang w:eastAsia="zh-CN"/>
              </w:rPr>
              <w:t>MCG</w:t>
            </w:r>
            <w:r w:rsidR="00C27E15" w:rsidRPr="00293633">
              <w:rPr>
                <w:rFonts w:cs="Calibri"/>
                <w:b w:val="0"/>
                <w:bCs w:val="0"/>
                <w:lang w:eastAsia="zh-CN"/>
              </w:rPr>
              <w:t>）</w:t>
            </w:r>
            <w:r w:rsidR="00AC1B58" w:rsidRPr="00293633">
              <w:rPr>
                <w:rFonts w:cs="Calibri" w:hint="eastAsia"/>
                <w:b w:val="0"/>
                <w:bCs w:val="0"/>
                <w:lang w:eastAsia="zh-CN"/>
              </w:rPr>
              <w:t>批准。另一方面，</w:t>
            </w:r>
            <w:r w:rsidR="00C27E15" w:rsidRPr="00293633">
              <w:rPr>
                <w:rFonts w:cs="Calibri"/>
                <w:b w:val="0"/>
                <w:bCs w:val="0"/>
                <w:lang w:eastAsia="zh-CN"/>
              </w:rPr>
              <w:t>跨部门协调任务组</w:t>
            </w:r>
            <w:r w:rsidR="00AC1B58" w:rsidRPr="00293633">
              <w:rPr>
                <w:rFonts w:cs="Calibri" w:hint="eastAsia"/>
                <w:b w:val="0"/>
                <w:bCs w:val="0"/>
                <w:lang w:eastAsia="zh-CN"/>
              </w:rPr>
              <w:t>将定期</w:t>
            </w:r>
            <w:r w:rsidR="00824D00" w:rsidRPr="00293633">
              <w:rPr>
                <w:rFonts w:cs="Calibri" w:hint="eastAsia"/>
                <w:b w:val="0"/>
                <w:bCs w:val="0"/>
                <w:lang w:eastAsia="zh-CN"/>
              </w:rPr>
              <w:t>审议</w:t>
            </w:r>
            <w:r w:rsidR="00AC1B58" w:rsidRPr="00293633">
              <w:rPr>
                <w:rFonts w:cs="Calibri" w:hint="eastAsia"/>
                <w:b w:val="0"/>
                <w:bCs w:val="0"/>
                <w:lang w:eastAsia="zh-CN"/>
              </w:rPr>
              <w:t>跨部门中等水平的风险，而单个部门的风险仍将</w:t>
            </w:r>
            <w:r w:rsidR="00C27E15" w:rsidRPr="00293633">
              <w:rPr>
                <w:rFonts w:cs="Calibri" w:hint="eastAsia"/>
                <w:b w:val="0"/>
                <w:bCs w:val="0"/>
                <w:lang w:eastAsia="zh-CN"/>
              </w:rPr>
              <w:t>由各局</w:t>
            </w:r>
            <w:r w:rsidR="00964221" w:rsidRPr="00293633">
              <w:rPr>
                <w:rFonts w:cs="Calibri" w:hint="eastAsia"/>
                <w:b w:val="0"/>
                <w:bCs w:val="0"/>
                <w:lang w:eastAsia="zh-CN"/>
              </w:rPr>
              <w:t>负责</w:t>
            </w:r>
            <w:r w:rsidR="00824D00" w:rsidRPr="00293633">
              <w:rPr>
                <w:rFonts w:cs="Calibri" w:hint="eastAsia"/>
                <w:b w:val="0"/>
                <w:bCs w:val="0"/>
                <w:lang w:eastAsia="zh-CN"/>
              </w:rPr>
              <w:t>审议</w:t>
            </w:r>
            <w:r w:rsidR="00AC1B58" w:rsidRPr="00293633">
              <w:rPr>
                <w:rFonts w:cs="Calibri" w:hint="eastAsia"/>
                <w:b w:val="0"/>
                <w:bCs w:val="0"/>
                <w:lang w:eastAsia="zh-CN"/>
              </w:rPr>
              <w:t>。</w:t>
            </w:r>
          </w:p>
          <w:p w14:paraId="27377B20" w14:textId="6518B88D" w:rsidR="00E415E6" w:rsidRPr="00E415E6" w:rsidRDefault="00293633" w:rsidP="00293633">
            <w:pPr>
              <w:pStyle w:val="Tabletext"/>
              <w:tabs>
                <w:tab w:val="clear" w:pos="284"/>
                <w:tab w:val="clear" w:pos="567"/>
                <w:tab w:val="clear" w:pos="851"/>
              </w:tabs>
              <w:ind w:left="1170" w:hanging="567"/>
              <w:rPr>
                <w:rFonts w:cstheme="minorHAnsi"/>
                <w:szCs w:val="22"/>
                <w:lang w:eastAsia="zh-CN"/>
              </w:rPr>
            </w:pPr>
            <w:r w:rsidRPr="007D5EFF">
              <w:rPr>
                <w:rFonts w:cs="Calibri"/>
                <w:b w:val="0"/>
                <w:bCs w:val="0"/>
                <w:lang w:eastAsia="zh-CN"/>
              </w:rPr>
              <w:t>–</w:t>
            </w:r>
            <w:r>
              <w:rPr>
                <w:rFonts w:cs="Calibri"/>
                <w:lang w:eastAsia="zh-CN"/>
              </w:rPr>
              <w:tab/>
            </w:r>
            <w:r w:rsidR="00AC1B58" w:rsidRPr="00293633">
              <w:rPr>
                <w:rFonts w:cs="Calibri" w:hint="eastAsia"/>
                <w:b w:val="0"/>
                <w:bCs w:val="0"/>
                <w:lang w:eastAsia="zh-CN"/>
              </w:rPr>
              <w:t>最后，</w:t>
            </w:r>
            <w:r w:rsidR="00C27E15" w:rsidRPr="00293633">
              <w:rPr>
                <w:rFonts w:cs="Calibri"/>
                <w:b w:val="0"/>
                <w:bCs w:val="0"/>
                <w:lang w:eastAsia="zh-CN"/>
              </w:rPr>
              <w:t>管理协调组（</w:t>
            </w:r>
            <w:r w:rsidR="00C27E15" w:rsidRPr="00293633">
              <w:rPr>
                <w:rFonts w:cs="Calibri"/>
                <w:b w:val="0"/>
                <w:bCs w:val="0"/>
                <w:lang w:eastAsia="zh-CN"/>
              </w:rPr>
              <w:t>MCG</w:t>
            </w:r>
            <w:r w:rsidR="00C27E15" w:rsidRPr="00293633">
              <w:rPr>
                <w:rFonts w:cs="Calibri"/>
                <w:b w:val="0"/>
                <w:bCs w:val="0"/>
                <w:lang w:eastAsia="zh-CN"/>
              </w:rPr>
              <w:t>）</w:t>
            </w:r>
            <w:r w:rsidR="00AC1B58" w:rsidRPr="00293633">
              <w:rPr>
                <w:rFonts w:cs="Calibri" w:hint="eastAsia"/>
                <w:b w:val="0"/>
                <w:bCs w:val="0"/>
                <w:lang w:eastAsia="zh-CN"/>
              </w:rPr>
              <w:t>/</w:t>
            </w:r>
            <w:r w:rsidR="00C27E15" w:rsidRPr="00293633">
              <w:rPr>
                <w:rFonts w:cs="Calibri" w:hint="eastAsia"/>
                <w:b w:val="0"/>
                <w:bCs w:val="0"/>
                <w:lang w:eastAsia="zh-CN"/>
              </w:rPr>
              <w:t>协调委员会（</w:t>
            </w:r>
            <w:proofErr w:type="spellStart"/>
            <w:r w:rsidR="00C27E15" w:rsidRPr="00293633">
              <w:rPr>
                <w:rFonts w:cs="Calibri" w:hint="eastAsia"/>
                <w:b w:val="0"/>
                <w:bCs w:val="0"/>
                <w:lang w:eastAsia="zh-CN"/>
              </w:rPr>
              <w:t>CoCo</w:t>
            </w:r>
            <w:proofErr w:type="spellEnd"/>
            <w:r w:rsidR="00C27E15" w:rsidRPr="00293633">
              <w:rPr>
                <w:rFonts w:cs="Calibri" w:hint="eastAsia"/>
                <w:b w:val="0"/>
                <w:bCs w:val="0"/>
                <w:lang w:eastAsia="zh-CN"/>
              </w:rPr>
              <w:t>）</w:t>
            </w:r>
            <w:r w:rsidR="00AC1B58" w:rsidRPr="00293633">
              <w:rPr>
                <w:rFonts w:cs="Calibri" w:hint="eastAsia"/>
                <w:b w:val="0"/>
                <w:bCs w:val="0"/>
                <w:lang w:eastAsia="zh-CN"/>
              </w:rPr>
              <w:t>将定期</w:t>
            </w:r>
            <w:r w:rsidR="00824D00" w:rsidRPr="00293633">
              <w:rPr>
                <w:rFonts w:cs="Calibri" w:hint="eastAsia"/>
                <w:b w:val="0"/>
                <w:bCs w:val="0"/>
                <w:lang w:eastAsia="zh-CN"/>
              </w:rPr>
              <w:t>审议</w:t>
            </w:r>
            <w:r w:rsidR="00AC1B58" w:rsidRPr="00293633">
              <w:rPr>
                <w:rFonts w:cs="Calibri" w:hint="eastAsia"/>
                <w:b w:val="0"/>
                <w:bCs w:val="0"/>
                <w:lang w:eastAsia="zh-CN"/>
              </w:rPr>
              <w:t>高风险，并做出与风险管理有关的决策，</w:t>
            </w:r>
            <w:r w:rsidR="00964221" w:rsidRPr="00293633">
              <w:rPr>
                <w:rFonts w:cs="Calibri" w:hint="eastAsia"/>
                <w:b w:val="0"/>
                <w:bCs w:val="0"/>
                <w:lang w:eastAsia="zh-CN"/>
              </w:rPr>
              <w:t>确保高层有一个明确的立场，</w:t>
            </w:r>
            <w:r w:rsidR="00AC1B58" w:rsidRPr="00293633">
              <w:rPr>
                <w:rFonts w:cs="Calibri" w:hint="eastAsia"/>
                <w:b w:val="0"/>
                <w:bCs w:val="0"/>
                <w:lang w:eastAsia="zh-CN"/>
              </w:rPr>
              <w:t>促进负责任和有效的风险管理文化。</w:t>
            </w:r>
          </w:p>
        </w:tc>
        <w:tc>
          <w:tcPr>
            <w:tcW w:w="1134" w:type="dxa"/>
          </w:tcPr>
          <w:p w14:paraId="167B4422" w14:textId="5A1D8582" w:rsidR="008E6A9D" w:rsidRPr="008E6A9D" w:rsidRDefault="00AC1B58"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p>
        </w:tc>
      </w:tr>
      <w:tr w:rsidR="008E6A9D" w:rsidRPr="008E6A9D" w14:paraId="38635150"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79D88D24" w14:textId="64F05794" w:rsidR="008E6A9D" w:rsidRPr="00EF1625" w:rsidRDefault="00EF1625" w:rsidP="00EF1625">
            <w:pPr>
              <w:pStyle w:val="Tabletext"/>
              <w:tabs>
                <w:tab w:val="clear" w:pos="284"/>
              </w:tabs>
              <w:rPr>
                <w:lang w:eastAsia="zh-CN"/>
              </w:rPr>
            </w:pPr>
            <w:r>
              <w:rPr>
                <w:lang w:eastAsia="zh-CN"/>
              </w:rPr>
              <w:t>4)</w:t>
            </w:r>
            <w:r>
              <w:rPr>
                <w:lang w:eastAsia="zh-CN"/>
              </w:rPr>
              <w:tab/>
            </w:r>
            <w:r w:rsidR="002D1B26" w:rsidRPr="00EF1625">
              <w:rPr>
                <w:rFonts w:hint="eastAsia"/>
                <w:lang w:eastAsia="zh-CN"/>
              </w:rPr>
              <w:t>旨在完善各级职员风险管理问责制</w:t>
            </w:r>
          </w:p>
          <w:p w14:paraId="03AB8DBA" w14:textId="006CDE61" w:rsidR="00E415E6"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E415E6" w:rsidRPr="00293633">
              <w:rPr>
                <w:rFonts w:cs="Calibri" w:hint="eastAsia"/>
                <w:b w:val="0"/>
                <w:bCs w:val="0"/>
                <w:lang w:eastAsia="zh-CN"/>
              </w:rPr>
              <w:t>举办有关如何把风险管理和</w:t>
            </w:r>
            <w:r w:rsidR="000E7D80" w:rsidRPr="00293633">
              <w:rPr>
                <w:rFonts w:cs="Calibri" w:hint="eastAsia"/>
                <w:b w:val="0"/>
                <w:bCs w:val="0"/>
                <w:lang w:eastAsia="zh-CN"/>
              </w:rPr>
              <w:t>内控</w:t>
            </w:r>
            <w:r w:rsidR="00E415E6" w:rsidRPr="00293633">
              <w:rPr>
                <w:rFonts w:cs="Calibri" w:hint="eastAsia"/>
                <w:b w:val="0"/>
                <w:bCs w:val="0"/>
                <w:lang w:eastAsia="zh-CN"/>
              </w:rPr>
              <w:t>整合到</w:t>
            </w:r>
            <w:r w:rsidR="00F00A0F" w:rsidRPr="00293633">
              <w:rPr>
                <w:rFonts w:cs="Calibri" w:hint="eastAsia"/>
                <w:b w:val="0"/>
                <w:bCs w:val="0"/>
                <w:lang w:eastAsia="zh-CN"/>
              </w:rPr>
              <w:t>本</w:t>
            </w:r>
            <w:r w:rsidR="00E415E6" w:rsidRPr="00293633">
              <w:rPr>
                <w:rFonts w:cs="Calibri" w:hint="eastAsia"/>
                <w:b w:val="0"/>
                <w:bCs w:val="0"/>
                <w:lang w:eastAsia="zh-CN"/>
              </w:rPr>
              <w:t>组织的业务流程中的培训和讲习班。</w:t>
            </w:r>
            <w:r w:rsidR="00824391" w:rsidRPr="00293633">
              <w:rPr>
                <w:rFonts w:cs="Calibri" w:hint="eastAsia"/>
                <w:b w:val="0"/>
                <w:bCs w:val="0"/>
                <w:lang w:eastAsia="zh-CN"/>
              </w:rPr>
              <w:t>以新的风险登记单和新的风险管理手册作为指导，</w:t>
            </w:r>
            <w:r w:rsidR="00E415E6" w:rsidRPr="00293633">
              <w:rPr>
                <w:rFonts w:cs="Calibri" w:hint="eastAsia"/>
                <w:b w:val="0"/>
                <w:bCs w:val="0"/>
                <w:lang w:eastAsia="zh-CN"/>
              </w:rPr>
              <w:t>在下半年开展</w:t>
            </w:r>
            <w:r w:rsidR="00824391" w:rsidRPr="00293633">
              <w:rPr>
                <w:rFonts w:cs="Calibri" w:hint="eastAsia"/>
                <w:b w:val="0"/>
                <w:bCs w:val="0"/>
                <w:lang w:eastAsia="zh-CN"/>
              </w:rPr>
              <w:t>上述工作</w:t>
            </w:r>
            <w:r w:rsidR="00E415E6" w:rsidRPr="00293633">
              <w:rPr>
                <w:rFonts w:cs="Calibri" w:hint="eastAsia"/>
                <w:b w:val="0"/>
                <w:bCs w:val="0"/>
                <w:lang w:eastAsia="zh-CN"/>
              </w:rPr>
              <w:t>。</w:t>
            </w:r>
            <w:r w:rsidR="00824391" w:rsidRPr="00293633">
              <w:rPr>
                <w:rFonts w:cs="Calibri" w:hint="eastAsia"/>
                <w:b w:val="0"/>
                <w:bCs w:val="0"/>
                <w:lang w:eastAsia="zh-CN"/>
              </w:rPr>
              <w:t>这些</w:t>
            </w:r>
            <w:r w:rsidR="00E415E6" w:rsidRPr="00293633">
              <w:rPr>
                <w:rFonts w:cs="Calibri" w:hint="eastAsia"/>
                <w:b w:val="0"/>
                <w:bCs w:val="0"/>
                <w:lang w:eastAsia="zh-CN"/>
              </w:rPr>
              <w:t>讲习班将与正在进行的旨在修订国际电联的总体问责制和透明度框架的进程保持一致。</w:t>
            </w:r>
          </w:p>
        </w:tc>
        <w:tc>
          <w:tcPr>
            <w:tcW w:w="1134" w:type="dxa"/>
          </w:tcPr>
          <w:p w14:paraId="6768BE8F" w14:textId="0349E966" w:rsidR="00AC1B58"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089247FB"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53329FA" w14:textId="456F139E" w:rsidR="008E6A9D" w:rsidRPr="00EF1625" w:rsidRDefault="00EF1625" w:rsidP="00EF1625">
            <w:pPr>
              <w:pStyle w:val="Tabletext"/>
              <w:tabs>
                <w:tab w:val="clear" w:pos="284"/>
              </w:tabs>
              <w:rPr>
                <w:lang w:eastAsia="zh-CN"/>
              </w:rPr>
            </w:pPr>
            <w:r>
              <w:rPr>
                <w:lang w:eastAsia="zh-CN"/>
              </w:rPr>
              <w:lastRenderedPageBreak/>
              <w:t>5)</w:t>
            </w:r>
            <w:r>
              <w:rPr>
                <w:lang w:eastAsia="zh-CN"/>
              </w:rPr>
              <w:tab/>
            </w:r>
            <w:r w:rsidR="00461C24" w:rsidRPr="00EF1625">
              <w:rPr>
                <w:rFonts w:hint="eastAsia"/>
                <w:lang w:eastAsia="zh-CN"/>
              </w:rPr>
              <w:t>建立更系统</w:t>
            </w:r>
            <w:r w:rsidR="00824391" w:rsidRPr="00EF1625">
              <w:rPr>
                <w:rFonts w:hint="eastAsia"/>
                <w:lang w:eastAsia="zh-CN"/>
              </w:rPr>
              <w:t>化</w:t>
            </w:r>
            <w:r w:rsidR="00461C24" w:rsidRPr="00EF1625">
              <w:rPr>
                <w:rFonts w:hint="eastAsia"/>
                <w:lang w:eastAsia="zh-CN"/>
              </w:rPr>
              <w:t>的风险管理流程</w:t>
            </w:r>
          </w:p>
          <w:p w14:paraId="2DC66619" w14:textId="6B9BEAF4"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824D00" w:rsidRPr="00293633">
              <w:rPr>
                <w:rFonts w:cs="Calibri" w:hint="eastAsia"/>
                <w:b w:val="0"/>
                <w:bCs w:val="0"/>
                <w:lang w:eastAsia="zh-CN"/>
              </w:rPr>
              <w:t>审议</w:t>
            </w:r>
            <w:r w:rsidR="00461C24" w:rsidRPr="00293633">
              <w:rPr>
                <w:rFonts w:cs="Calibri" w:hint="eastAsia"/>
                <w:b w:val="0"/>
                <w:bCs w:val="0"/>
                <w:lang w:eastAsia="zh-CN"/>
              </w:rPr>
              <w:t>了《风险管理政策》和《风险偏好陈述书》，以确保建立</w:t>
            </w:r>
            <w:r w:rsidR="00AD1BC4" w:rsidRPr="00293633">
              <w:rPr>
                <w:rFonts w:cs="Calibri" w:hint="eastAsia"/>
                <w:b w:val="0"/>
                <w:bCs w:val="0"/>
                <w:lang w:eastAsia="zh-CN"/>
              </w:rPr>
              <w:t>更加</w:t>
            </w:r>
            <w:r w:rsidR="00461C24" w:rsidRPr="00293633">
              <w:rPr>
                <w:rFonts w:cs="Calibri" w:hint="eastAsia"/>
                <w:b w:val="0"/>
                <w:bCs w:val="0"/>
                <w:lang w:eastAsia="zh-CN"/>
              </w:rPr>
              <w:t>系统地</w:t>
            </w:r>
            <w:r w:rsidR="00087F16" w:rsidRPr="00293633">
              <w:rPr>
                <w:rFonts w:cs="Calibri" w:hint="eastAsia"/>
                <w:b w:val="0"/>
                <w:bCs w:val="0"/>
                <w:lang w:eastAsia="zh-CN"/>
              </w:rPr>
              <w:t>确定</w:t>
            </w:r>
            <w:r w:rsidR="00461C24" w:rsidRPr="00293633">
              <w:rPr>
                <w:rFonts w:cs="Calibri" w:hint="eastAsia"/>
                <w:b w:val="0"/>
                <w:bCs w:val="0"/>
                <w:lang w:eastAsia="zh-CN"/>
              </w:rPr>
              <w:t>、评估和管理风险的流程。《风险管理政策》和《风险偏好陈述书》一直专注于关键原则，而管理风险的所有</w:t>
            </w:r>
            <w:r w:rsidR="001E190D" w:rsidRPr="00293633">
              <w:rPr>
                <w:rFonts w:cs="Calibri" w:hint="eastAsia"/>
                <w:b w:val="0"/>
                <w:bCs w:val="0"/>
                <w:lang w:eastAsia="zh-CN"/>
              </w:rPr>
              <w:t>运作</w:t>
            </w:r>
            <w:r w:rsidR="00461C24" w:rsidRPr="00293633">
              <w:rPr>
                <w:rFonts w:cs="Calibri" w:hint="eastAsia"/>
                <w:b w:val="0"/>
                <w:bCs w:val="0"/>
                <w:lang w:eastAsia="zh-CN"/>
              </w:rPr>
              <w:t>细节</w:t>
            </w:r>
            <w:r w:rsidR="00793056" w:rsidRPr="00293633">
              <w:rPr>
                <w:rFonts w:cs="Calibri" w:hint="eastAsia"/>
                <w:b w:val="0"/>
                <w:bCs w:val="0"/>
                <w:lang w:eastAsia="zh-CN"/>
              </w:rPr>
              <w:t>将成为</w:t>
            </w:r>
            <w:r w:rsidR="00461C24" w:rsidRPr="00293633">
              <w:rPr>
                <w:rFonts w:cs="Calibri" w:hint="eastAsia"/>
                <w:b w:val="0"/>
                <w:bCs w:val="0"/>
                <w:lang w:eastAsia="zh-CN"/>
              </w:rPr>
              <w:t>新的《风险管理手册》的一部分。</w:t>
            </w:r>
          </w:p>
          <w:p w14:paraId="2F478A86" w14:textId="579189ED"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统一所有项目（基于结果的管理、项目管理、业务连续性管理、危机管理）和运作（包括通过共同的</w:t>
            </w:r>
            <w:r w:rsidR="00D049DE" w:rsidRPr="00293633">
              <w:rPr>
                <w:rFonts w:cs="Calibri" w:hint="eastAsia"/>
                <w:b w:val="0"/>
                <w:bCs w:val="0"/>
                <w:lang w:eastAsia="zh-CN"/>
              </w:rPr>
              <w:t>风险登记单</w:t>
            </w:r>
            <w:r w:rsidR="00461C24" w:rsidRPr="00293633">
              <w:rPr>
                <w:rFonts w:cs="Calibri" w:hint="eastAsia"/>
                <w:b w:val="0"/>
                <w:bCs w:val="0"/>
                <w:lang w:eastAsia="zh-CN"/>
              </w:rPr>
              <w:t>）</w:t>
            </w:r>
            <w:r w:rsidR="00AD1BC4" w:rsidRPr="00293633">
              <w:rPr>
                <w:rFonts w:cs="Calibri" w:hint="eastAsia"/>
                <w:b w:val="0"/>
                <w:bCs w:val="0"/>
                <w:lang w:eastAsia="zh-CN"/>
              </w:rPr>
              <w:t>使用</w:t>
            </w:r>
            <w:r w:rsidR="00461C24" w:rsidRPr="00293633">
              <w:rPr>
                <w:rFonts w:cs="Calibri" w:hint="eastAsia"/>
                <w:b w:val="0"/>
                <w:bCs w:val="0"/>
                <w:lang w:eastAsia="zh-CN"/>
              </w:rPr>
              <w:t>的风险管理方式和方法。</w:t>
            </w:r>
          </w:p>
          <w:p w14:paraId="669A0E6B" w14:textId="05653513"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促进机会管理、远见和创新，而不是只着眼于避害</w:t>
            </w:r>
            <w:r w:rsidR="005E7F34" w:rsidRPr="00293633">
              <w:rPr>
                <w:rFonts w:cs="Calibri" w:hint="eastAsia"/>
                <w:b w:val="0"/>
                <w:bCs w:val="0"/>
                <w:lang w:eastAsia="zh-CN"/>
              </w:rPr>
              <w:t>及</w:t>
            </w:r>
            <w:r w:rsidR="00461C24" w:rsidRPr="00293633">
              <w:rPr>
                <w:rFonts w:cs="Calibri" w:hint="eastAsia"/>
                <w:b w:val="0"/>
                <w:bCs w:val="0"/>
                <w:lang w:eastAsia="zh-CN"/>
              </w:rPr>
              <w:t>在出现问题时被动应对的方法。</w:t>
            </w:r>
          </w:p>
          <w:p w14:paraId="3F28139C" w14:textId="16B1C391"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风险偏好、类别和影响之间</w:t>
            </w:r>
            <w:r w:rsidR="005C42A4" w:rsidRPr="00293633">
              <w:rPr>
                <w:rFonts w:cs="Calibri" w:hint="eastAsia"/>
                <w:b w:val="0"/>
                <w:bCs w:val="0"/>
                <w:lang w:eastAsia="zh-CN"/>
              </w:rPr>
              <w:t>更趋一致</w:t>
            </w:r>
            <w:r w:rsidR="00461C24" w:rsidRPr="00293633">
              <w:rPr>
                <w:rFonts w:cs="Calibri" w:hint="eastAsia"/>
                <w:b w:val="0"/>
                <w:bCs w:val="0"/>
                <w:lang w:eastAsia="zh-CN"/>
              </w:rPr>
              <w:t>，确保风险管理与国际电联</w:t>
            </w:r>
            <w:r w:rsidR="00EB39D8" w:rsidRPr="00293633">
              <w:rPr>
                <w:rFonts w:cs="Calibri" w:hint="eastAsia"/>
                <w:b w:val="0"/>
                <w:bCs w:val="0"/>
                <w:lang w:eastAsia="zh-CN"/>
              </w:rPr>
              <w:t>的</w:t>
            </w:r>
            <w:r w:rsidR="005C42A4" w:rsidRPr="00293633">
              <w:rPr>
                <w:rFonts w:cs="Calibri" w:hint="eastAsia"/>
                <w:b w:val="0"/>
                <w:bCs w:val="0"/>
                <w:lang w:eastAsia="zh-CN"/>
              </w:rPr>
              <w:t>视角</w:t>
            </w:r>
            <w:r w:rsidR="00EB39D8" w:rsidRPr="00293633">
              <w:rPr>
                <w:rFonts w:cs="Calibri" w:hint="eastAsia"/>
                <w:b w:val="0"/>
                <w:bCs w:val="0"/>
                <w:lang w:eastAsia="zh-CN"/>
              </w:rPr>
              <w:t>以及</w:t>
            </w:r>
            <w:r w:rsidR="00461C24" w:rsidRPr="00293633">
              <w:rPr>
                <w:rFonts w:cs="Calibri" w:hint="eastAsia"/>
                <w:b w:val="0"/>
                <w:bCs w:val="0"/>
                <w:lang w:eastAsia="zh-CN"/>
              </w:rPr>
              <w:t>在关键领域接受风险的意愿</w:t>
            </w:r>
            <w:r w:rsidR="00EB39D8" w:rsidRPr="00293633">
              <w:rPr>
                <w:rFonts w:cs="Calibri" w:hint="eastAsia"/>
                <w:b w:val="0"/>
                <w:bCs w:val="0"/>
                <w:lang w:eastAsia="zh-CN"/>
              </w:rPr>
              <w:t>同步发展</w:t>
            </w:r>
            <w:r w:rsidR="00461C24" w:rsidRPr="00293633">
              <w:rPr>
                <w:rFonts w:cs="Calibri" w:hint="eastAsia"/>
                <w:b w:val="0"/>
                <w:bCs w:val="0"/>
                <w:lang w:eastAsia="zh-CN"/>
              </w:rPr>
              <w:t>。</w:t>
            </w:r>
          </w:p>
          <w:p w14:paraId="7F85215C" w14:textId="3CA844DA"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253433" w:rsidRPr="00293633">
              <w:rPr>
                <w:rFonts w:cs="Calibri" w:hint="eastAsia"/>
                <w:b w:val="0"/>
                <w:bCs w:val="0"/>
                <w:lang w:eastAsia="zh-CN"/>
              </w:rPr>
              <w:t>在组织的最高级别系统性</w:t>
            </w:r>
            <w:r w:rsidR="005C42A4" w:rsidRPr="00293633">
              <w:rPr>
                <w:rFonts w:cs="Calibri" w:hint="eastAsia"/>
                <w:b w:val="0"/>
                <w:bCs w:val="0"/>
                <w:lang w:eastAsia="zh-CN"/>
              </w:rPr>
              <w:t>地</w:t>
            </w:r>
            <w:r w:rsidR="00253433" w:rsidRPr="00293633">
              <w:rPr>
                <w:rFonts w:cs="Calibri" w:hint="eastAsia"/>
                <w:b w:val="0"/>
                <w:bCs w:val="0"/>
                <w:lang w:eastAsia="zh-CN"/>
              </w:rPr>
              <w:t>整合风险报告，以进行决策。</w:t>
            </w:r>
          </w:p>
          <w:p w14:paraId="315DB086" w14:textId="6D569F22" w:rsidR="00461C24"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461C24" w:rsidRPr="00293633">
              <w:rPr>
                <w:rFonts w:cs="Calibri" w:hint="eastAsia"/>
                <w:b w:val="0"/>
                <w:bCs w:val="0"/>
                <w:lang w:eastAsia="zh-CN"/>
              </w:rPr>
              <w:t>在修订国际电联的问责制和透明度框架的过程中，确保与</w:t>
            </w:r>
            <w:r w:rsidR="00793056" w:rsidRPr="00293633">
              <w:rPr>
                <w:rFonts w:cs="Calibri" w:hint="eastAsia"/>
                <w:b w:val="0"/>
                <w:bCs w:val="0"/>
                <w:lang w:eastAsia="zh-CN"/>
              </w:rPr>
              <w:t>本</w:t>
            </w:r>
            <w:r w:rsidR="00461C24" w:rsidRPr="00293633">
              <w:rPr>
                <w:rFonts w:cs="Calibri" w:hint="eastAsia"/>
                <w:b w:val="0"/>
                <w:bCs w:val="0"/>
                <w:lang w:eastAsia="zh-CN"/>
              </w:rPr>
              <w:t>组织的问责制框架</w:t>
            </w:r>
            <w:r w:rsidR="008334EE" w:rsidRPr="00293633">
              <w:rPr>
                <w:rFonts w:cs="Calibri" w:hint="eastAsia"/>
                <w:b w:val="0"/>
                <w:bCs w:val="0"/>
                <w:lang w:eastAsia="zh-CN"/>
              </w:rPr>
              <w:t>（第</w:t>
            </w:r>
            <w:r>
              <w:fldChar w:fldCharType="begin"/>
            </w:r>
            <w:r>
              <w:rPr>
                <w:lang w:eastAsia="zh-CN"/>
              </w:rPr>
              <w:instrText xml:space="preserve"> HYPERLINK "https://www.itu.int/md/S20-CL-C-0043/en" </w:instrText>
            </w:r>
            <w:r>
              <w:fldChar w:fldCharType="separate"/>
            </w:r>
            <w:r w:rsidRPr="0076410A">
              <w:rPr>
                <w:rStyle w:val="Hyperlink"/>
                <w:b w:val="0"/>
                <w:bCs w:val="0"/>
                <w:lang w:eastAsia="zh-CN"/>
              </w:rPr>
              <w:t>C20/43</w:t>
            </w:r>
            <w:r>
              <w:rPr>
                <w:rStyle w:val="Hyperlink"/>
              </w:rPr>
              <w:fldChar w:fldCharType="end"/>
            </w:r>
            <w:r w:rsidR="008334EE" w:rsidRPr="00293633">
              <w:rPr>
                <w:rFonts w:cs="Calibri" w:hint="eastAsia"/>
                <w:b w:val="0"/>
                <w:bCs w:val="0"/>
                <w:lang w:eastAsia="zh-CN"/>
              </w:rPr>
              <w:t>号文件中介绍的现行框架）</w:t>
            </w:r>
            <w:r w:rsidR="00461C24" w:rsidRPr="00293633">
              <w:rPr>
                <w:rFonts w:cs="Calibri" w:hint="eastAsia"/>
                <w:b w:val="0"/>
                <w:bCs w:val="0"/>
                <w:lang w:eastAsia="zh-CN"/>
              </w:rPr>
              <w:t>保持一致。</w:t>
            </w:r>
          </w:p>
          <w:p w14:paraId="286950F7" w14:textId="52FFFBEE" w:rsidR="00461C24"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proofErr w:type="gramStart"/>
            <w:r w:rsidR="00461C24" w:rsidRPr="00293633">
              <w:rPr>
                <w:rFonts w:cs="Calibri" w:hint="eastAsia"/>
                <w:b w:val="0"/>
                <w:bCs w:val="0"/>
                <w:lang w:eastAsia="zh-CN"/>
              </w:rPr>
              <w:t>在风险管理政策中引入了“</w:t>
            </w:r>
            <w:proofErr w:type="gramEnd"/>
            <w:r w:rsidR="00461C24" w:rsidRPr="00293633">
              <w:rPr>
                <w:rFonts w:cs="Calibri" w:hint="eastAsia"/>
                <w:b w:val="0"/>
                <w:bCs w:val="0"/>
                <w:lang w:eastAsia="zh-CN"/>
              </w:rPr>
              <w:t>三道防线”</w:t>
            </w:r>
            <w:r w:rsidR="005E4D41" w:rsidRPr="00293633">
              <w:rPr>
                <w:rFonts w:cs="Calibri" w:hint="eastAsia"/>
                <w:b w:val="0"/>
                <w:bCs w:val="0"/>
                <w:lang w:eastAsia="zh-CN"/>
              </w:rPr>
              <w:t>模型</w:t>
            </w:r>
            <w:r w:rsidR="00461C24" w:rsidRPr="00293633">
              <w:rPr>
                <w:rFonts w:cs="Calibri" w:hint="eastAsia"/>
                <w:b w:val="0"/>
                <w:bCs w:val="0"/>
                <w:lang w:eastAsia="zh-CN"/>
              </w:rPr>
              <w:t>，作为风险管理和治理的坚实基础。</w:t>
            </w:r>
          </w:p>
        </w:tc>
        <w:tc>
          <w:tcPr>
            <w:tcW w:w="1134" w:type="dxa"/>
          </w:tcPr>
          <w:p w14:paraId="6B53CAA7" w14:textId="0E9486E4"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p>
        </w:tc>
      </w:tr>
      <w:tr w:rsidR="008E6A9D" w:rsidRPr="008E6A9D" w14:paraId="1DA21283"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6EE01D74" w14:textId="141AFD6C" w:rsidR="008E6A9D" w:rsidRPr="00EF1625" w:rsidRDefault="00EF1625" w:rsidP="00EF1625">
            <w:pPr>
              <w:pStyle w:val="Tabletext"/>
              <w:tabs>
                <w:tab w:val="clear" w:pos="284"/>
              </w:tabs>
              <w:rPr>
                <w:lang w:eastAsia="zh-CN"/>
              </w:rPr>
            </w:pPr>
            <w:r>
              <w:rPr>
                <w:lang w:eastAsia="zh-CN"/>
              </w:rPr>
              <w:t>6)</w:t>
            </w:r>
            <w:r>
              <w:rPr>
                <w:lang w:eastAsia="zh-CN"/>
              </w:rPr>
              <w:tab/>
            </w:r>
            <w:r w:rsidR="00824D00" w:rsidRPr="00EF1625">
              <w:rPr>
                <w:rFonts w:hint="eastAsia"/>
                <w:lang w:eastAsia="zh-CN"/>
              </w:rPr>
              <w:t>审议</w:t>
            </w:r>
            <w:r w:rsidR="000E7D80" w:rsidRPr="00EF1625">
              <w:rPr>
                <w:rFonts w:hint="eastAsia"/>
                <w:lang w:eastAsia="zh-CN"/>
              </w:rPr>
              <w:t>内控</w:t>
            </w:r>
            <w:r w:rsidR="00E12C05" w:rsidRPr="00EF1625">
              <w:rPr>
                <w:rFonts w:hint="eastAsia"/>
                <w:lang w:eastAsia="zh-CN"/>
              </w:rPr>
              <w:t>措施</w:t>
            </w:r>
            <w:r w:rsidR="008334EE" w:rsidRPr="00EF1625">
              <w:rPr>
                <w:rFonts w:hint="eastAsia"/>
                <w:lang w:eastAsia="zh-CN"/>
              </w:rPr>
              <w:t>的有效性</w:t>
            </w:r>
          </w:p>
          <w:p w14:paraId="26D6F0F7" w14:textId="4170CC8D" w:rsidR="008334EE"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8334EE" w:rsidRPr="00293633">
              <w:rPr>
                <w:rFonts w:cs="Calibri" w:hint="eastAsia"/>
                <w:b w:val="0"/>
                <w:bCs w:val="0"/>
                <w:lang w:eastAsia="zh-CN"/>
              </w:rPr>
              <w:t>正在开发一个新的</w:t>
            </w:r>
            <w:r w:rsidR="00D049DE" w:rsidRPr="00293633">
              <w:rPr>
                <w:rFonts w:cs="Calibri" w:hint="eastAsia"/>
                <w:b w:val="0"/>
                <w:bCs w:val="0"/>
                <w:lang w:eastAsia="zh-CN"/>
              </w:rPr>
              <w:t>风险登记单</w:t>
            </w:r>
            <w:r w:rsidR="008334EE" w:rsidRPr="00293633">
              <w:rPr>
                <w:rFonts w:cs="Calibri" w:hint="eastAsia"/>
                <w:b w:val="0"/>
                <w:bCs w:val="0"/>
                <w:lang w:eastAsia="zh-CN"/>
              </w:rPr>
              <w:t>模板，该模板整合了已有的控制措施以及这些措施对估计</w:t>
            </w:r>
            <w:r w:rsidR="0035448E" w:rsidRPr="00293633">
              <w:rPr>
                <w:rFonts w:cs="Calibri" w:hint="eastAsia"/>
                <w:b w:val="0"/>
                <w:bCs w:val="0"/>
                <w:lang w:eastAsia="zh-CN"/>
              </w:rPr>
              <w:t>残留风险</w:t>
            </w:r>
            <w:r w:rsidR="008334EE" w:rsidRPr="00293633">
              <w:rPr>
                <w:rFonts w:cs="Calibri" w:hint="eastAsia"/>
                <w:b w:val="0"/>
                <w:bCs w:val="0"/>
                <w:lang w:eastAsia="zh-CN"/>
              </w:rPr>
              <w:t>的有效性。下半年将进行进一步整合，特别是通过整合来自</w:t>
            </w:r>
            <w:r w:rsidR="008334EE" w:rsidRPr="00293633">
              <w:rPr>
                <w:rFonts w:cs="Calibri" w:hint="eastAsia"/>
                <w:b w:val="0"/>
                <w:bCs w:val="0"/>
                <w:lang w:eastAsia="zh-CN"/>
              </w:rPr>
              <w:t>SAP</w:t>
            </w:r>
            <w:r w:rsidR="008334EE" w:rsidRPr="00293633">
              <w:rPr>
                <w:rFonts w:cs="Calibri" w:hint="eastAsia"/>
                <w:b w:val="0"/>
                <w:bCs w:val="0"/>
                <w:lang w:eastAsia="zh-CN"/>
              </w:rPr>
              <w:t>自动化流程的关键控制措施</w:t>
            </w:r>
            <w:r w:rsidR="00E12C05" w:rsidRPr="00293633">
              <w:rPr>
                <w:rFonts w:cs="Calibri" w:hint="eastAsia"/>
                <w:b w:val="0"/>
                <w:bCs w:val="0"/>
                <w:lang w:eastAsia="zh-CN"/>
              </w:rPr>
              <w:t>来实现</w:t>
            </w:r>
            <w:r w:rsidR="008334EE" w:rsidRPr="00293633">
              <w:rPr>
                <w:rFonts w:cs="Calibri" w:hint="eastAsia"/>
                <w:b w:val="0"/>
                <w:bCs w:val="0"/>
                <w:lang w:eastAsia="zh-CN"/>
              </w:rPr>
              <w:t>。</w:t>
            </w:r>
          </w:p>
        </w:tc>
        <w:tc>
          <w:tcPr>
            <w:tcW w:w="1134" w:type="dxa"/>
          </w:tcPr>
          <w:p w14:paraId="1EE6F718" w14:textId="5DD5927C"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8" w:name="lt_pId067"/>
            <w:r w:rsidRPr="00CF00B7">
              <w:rPr>
                <w:rFonts w:cstheme="minorHAnsi" w:hint="eastAsia"/>
                <w:sz w:val="22"/>
                <w:szCs w:val="22"/>
                <w:lang w:eastAsia="zh-CN"/>
              </w:rPr>
              <w:t>在理事会</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会议之前</w:t>
            </w:r>
            <w:r w:rsidR="008E6A9D" w:rsidRPr="008E6A9D">
              <w:rPr>
                <w:rFonts w:cstheme="minorHAnsi"/>
                <w:sz w:val="22"/>
                <w:szCs w:val="22"/>
                <w:lang w:eastAsia="zh-CN"/>
              </w:rPr>
              <w:t>/</w:t>
            </w:r>
            <w:r>
              <w:rPr>
                <w:rFonts w:cstheme="minorHAnsi" w:hint="eastAsia"/>
                <w:sz w:val="22"/>
                <w:szCs w:val="22"/>
                <w:lang w:eastAsia="zh-CN"/>
              </w:rPr>
              <w:t>仍在进行中</w:t>
            </w:r>
            <w:bookmarkEnd w:id="8"/>
          </w:p>
        </w:tc>
      </w:tr>
      <w:tr w:rsidR="008E6A9D" w:rsidRPr="008E6A9D" w14:paraId="1AA0553D"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DACE74E" w14:textId="3A9B6F37" w:rsidR="008E6A9D" w:rsidRPr="00EF1625" w:rsidRDefault="00EF1625" w:rsidP="00EF1625">
            <w:pPr>
              <w:pStyle w:val="Tabletext"/>
              <w:tabs>
                <w:tab w:val="clear" w:pos="284"/>
              </w:tabs>
              <w:rPr>
                <w:lang w:eastAsia="zh-CN"/>
              </w:rPr>
            </w:pPr>
            <w:r>
              <w:rPr>
                <w:lang w:eastAsia="zh-CN"/>
              </w:rPr>
              <w:t>7)</w:t>
            </w:r>
            <w:r>
              <w:rPr>
                <w:lang w:eastAsia="zh-CN"/>
              </w:rPr>
              <w:tab/>
            </w:r>
            <w:r w:rsidR="00546895" w:rsidRPr="00EF1625">
              <w:rPr>
                <w:rFonts w:hint="eastAsia"/>
                <w:lang w:eastAsia="zh-CN"/>
              </w:rPr>
              <w:t>利用新的</w:t>
            </w:r>
            <w:r w:rsidR="00D049DE" w:rsidRPr="00EF1625">
              <w:rPr>
                <w:rFonts w:hint="eastAsia"/>
                <w:lang w:eastAsia="zh-CN"/>
              </w:rPr>
              <w:t>风险登记单</w:t>
            </w:r>
            <w:r w:rsidR="00546895" w:rsidRPr="00EF1625">
              <w:rPr>
                <w:rFonts w:hint="eastAsia"/>
                <w:lang w:eastAsia="zh-CN"/>
              </w:rPr>
              <w:t>开发风险管理仪表板</w:t>
            </w:r>
          </w:p>
          <w:p w14:paraId="1D3292A0" w14:textId="1F641710" w:rsidR="008334EE"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8334EE" w:rsidRPr="00293633">
              <w:rPr>
                <w:rFonts w:cs="Calibri" w:hint="eastAsia"/>
                <w:b w:val="0"/>
                <w:bCs w:val="0"/>
                <w:lang w:eastAsia="zh-CN"/>
              </w:rPr>
              <w:t>将实施一个风险管理仪表板（使用商业智能工具）</w:t>
            </w:r>
            <w:r w:rsidR="00B25AEC" w:rsidRPr="00293633">
              <w:rPr>
                <w:rFonts w:cs="Calibri" w:hint="eastAsia"/>
                <w:b w:val="0"/>
                <w:bCs w:val="0"/>
                <w:lang w:eastAsia="zh-CN"/>
              </w:rPr>
              <w:t>，监测</w:t>
            </w:r>
            <w:r w:rsidR="008334EE" w:rsidRPr="00293633">
              <w:rPr>
                <w:rFonts w:cs="Calibri" w:hint="eastAsia"/>
                <w:b w:val="0"/>
                <w:bCs w:val="0"/>
                <w:lang w:eastAsia="zh-CN"/>
              </w:rPr>
              <w:t>和传达与风险管理有关的信息，并提供可视界面来浏览组织的</w:t>
            </w:r>
            <w:r w:rsidR="00D049DE" w:rsidRPr="00293633">
              <w:rPr>
                <w:rFonts w:cs="Calibri" w:hint="eastAsia"/>
                <w:b w:val="0"/>
                <w:bCs w:val="0"/>
                <w:lang w:eastAsia="zh-CN"/>
              </w:rPr>
              <w:t>风险登记单</w:t>
            </w:r>
            <w:r w:rsidR="008334EE" w:rsidRPr="00293633">
              <w:rPr>
                <w:rFonts w:cs="Calibri" w:hint="eastAsia"/>
                <w:b w:val="0"/>
                <w:bCs w:val="0"/>
                <w:lang w:eastAsia="zh-CN"/>
              </w:rPr>
              <w:t>。</w:t>
            </w:r>
          </w:p>
        </w:tc>
        <w:tc>
          <w:tcPr>
            <w:tcW w:w="1134" w:type="dxa"/>
          </w:tcPr>
          <w:p w14:paraId="382FBE32" w14:textId="008C9092" w:rsidR="00E415E6"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F00B7">
              <w:rPr>
                <w:rFonts w:cstheme="minorHAnsi" w:hint="eastAsia"/>
                <w:sz w:val="22"/>
                <w:szCs w:val="22"/>
                <w:lang w:eastAsia="zh-CN"/>
              </w:rPr>
              <w:t>在</w:t>
            </w:r>
            <w:r w:rsidRPr="00CF00B7">
              <w:rPr>
                <w:rFonts w:cstheme="minorHAnsi" w:hint="eastAsia"/>
                <w:sz w:val="22"/>
                <w:szCs w:val="22"/>
                <w:lang w:eastAsia="zh-CN"/>
              </w:rPr>
              <w:t>2020</w:t>
            </w:r>
            <w:r w:rsidRPr="00CF00B7">
              <w:rPr>
                <w:rFonts w:cstheme="minorHAnsi" w:hint="eastAsia"/>
                <w:sz w:val="22"/>
                <w:szCs w:val="22"/>
                <w:lang w:eastAsia="zh-CN"/>
              </w:rPr>
              <w:t>年</w:t>
            </w:r>
            <w:r>
              <w:rPr>
                <w:rFonts w:cstheme="minorHAnsi" w:hint="eastAsia"/>
                <w:sz w:val="22"/>
                <w:szCs w:val="22"/>
                <w:lang w:eastAsia="zh-CN"/>
              </w:rPr>
              <w:t>第三季度之前</w:t>
            </w:r>
          </w:p>
        </w:tc>
      </w:tr>
      <w:tr w:rsidR="008E6A9D" w:rsidRPr="008E6A9D" w14:paraId="34310658"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13F2CD2B" w14:textId="29E94434" w:rsidR="008E6A9D" w:rsidRPr="00EF1625" w:rsidRDefault="00EF1625" w:rsidP="00EF1625">
            <w:pPr>
              <w:pStyle w:val="Tabletext"/>
              <w:tabs>
                <w:tab w:val="clear" w:pos="284"/>
              </w:tabs>
              <w:rPr>
                <w:lang w:eastAsia="zh-CN"/>
              </w:rPr>
            </w:pPr>
            <w:r>
              <w:rPr>
                <w:lang w:eastAsia="zh-CN"/>
              </w:rPr>
              <w:t>8)</w:t>
            </w:r>
            <w:r>
              <w:rPr>
                <w:lang w:eastAsia="zh-CN"/>
              </w:rPr>
              <w:tab/>
            </w:r>
            <w:r w:rsidR="00B25AEC" w:rsidRPr="00EF1625">
              <w:rPr>
                <w:rFonts w:hint="eastAsia"/>
                <w:lang w:eastAsia="zh-CN"/>
              </w:rPr>
              <w:t>提高职员风险管理能力</w:t>
            </w:r>
          </w:p>
          <w:p w14:paraId="64B5B373" w14:textId="6561786F" w:rsidR="00B25AE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本行动项目将结合以上第</w:t>
            </w:r>
            <w:r w:rsidR="00B25AEC" w:rsidRPr="00293633">
              <w:rPr>
                <w:rFonts w:cs="Calibri" w:hint="eastAsia"/>
                <w:b w:val="0"/>
                <w:bCs w:val="0"/>
                <w:lang w:eastAsia="zh-CN"/>
              </w:rPr>
              <w:t>4</w:t>
            </w:r>
            <w:r w:rsidR="00B25AEC" w:rsidRPr="00293633">
              <w:rPr>
                <w:rFonts w:cs="Calibri" w:hint="eastAsia"/>
                <w:b w:val="0"/>
                <w:bCs w:val="0"/>
                <w:lang w:eastAsia="zh-CN"/>
              </w:rPr>
              <w:t>点落实，利用培训和风险管理讲习班来提高认识并增强管理者管理风险的能力。</w:t>
            </w:r>
          </w:p>
        </w:tc>
        <w:tc>
          <w:tcPr>
            <w:tcW w:w="1134" w:type="dxa"/>
          </w:tcPr>
          <w:p w14:paraId="29B231E6" w14:textId="17426149" w:rsidR="00E415E6"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0D0B886C" w14:textId="77777777" w:rsidTr="00461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57CD23E0" w14:textId="577816E9" w:rsidR="008E6A9D" w:rsidRPr="00EF1625" w:rsidRDefault="00230BBB" w:rsidP="00EF1625">
            <w:pPr>
              <w:pStyle w:val="Tabletext"/>
              <w:tabs>
                <w:tab w:val="clear" w:pos="284"/>
              </w:tabs>
              <w:rPr>
                <w:lang w:eastAsia="zh-CN"/>
              </w:rPr>
            </w:pPr>
            <w:r>
              <w:rPr>
                <w:lang w:eastAsia="zh-CN"/>
              </w:rPr>
              <w:t>9</w:t>
            </w:r>
            <w:r w:rsidR="00EF1625">
              <w:rPr>
                <w:lang w:eastAsia="zh-CN"/>
              </w:rPr>
              <w:t>)</w:t>
            </w:r>
            <w:r w:rsidR="00EF1625">
              <w:rPr>
                <w:lang w:eastAsia="zh-CN"/>
              </w:rPr>
              <w:tab/>
            </w:r>
            <w:r w:rsidR="00B25AEC" w:rsidRPr="00EF1625">
              <w:rPr>
                <w:rFonts w:hint="eastAsia"/>
                <w:lang w:eastAsia="zh-CN"/>
              </w:rPr>
              <w:t>旨在将风险管理纳入职员绩效管理系统</w:t>
            </w:r>
          </w:p>
          <w:p w14:paraId="6502DBD7" w14:textId="67562EE9" w:rsidR="00B25AEC"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开发</w:t>
            </w:r>
            <w:r w:rsidR="00AA4EBD" w:rsidRPr="00293633">
              <w:rPr>
                <w:rFonts w:cs="Calibri" w:hint="eastAsia"/>
                <w:b w:val="0"/>
                <w:bCs w:val="0"/>
                <w:lang w:eastAsia="zh-CN"/>
              </w:rPr>
              <w:t>统一</w:t>
            </w:r>
            <w:r w:rsidR="00B25AEC" w:rsidRPr="00293633">
              <w:rPr>
                <w:rFonts w:cs="Calibri" w:hint="eastAsia"/>
                <w:b w:val="0"/>
                <w:bCs w:val="0"/>
                <w:lang w:eastAsia="zh-CN"/>
              </w:rPr>
              <w:t>的流程</w:t>
            </w:r>
            <w:r w:rsidR="00AA4EBD" w:rsidRPr="00293633">
              <w:rPr>
                <w:rFonts w:cs="Calibri" w:hint="eastAsia"/>
                <w:b w:val="0"/>
                <w:bCs w:val="0"/>
                <w:lang w:eastAsia="zh-CN"/>
              </w:rPr>
              <w:t>、</w:t>
            </w:r>
            <w:r w:rsidR="00B25AEC" w:rsidRPr="00293633">
              <w:rPr>
                <w:rFonts w:cs="Calibri" w:hint="eastAsia"/>
                <w:b w:val="0"/>
                <w:bCs w:val="0"/>
                <w:lang w:eastAsia="zh-CN"/>
              </w:rPr>
              <w:t>系统和工具，</w:t>
            </w:r>
            <w:r w:rsidR="00AA4EBD" w:rsidRPr="00293633">
              <w:rPr>
                <w:rFonts w:cs="Calibri" w:hint="eastAsia"/>
                <w:b w:val="0"/>
                <w:bCs w:val="0"/>
                <w:lang w:eastAsia="zh-CN"/>
              </w:rPr>
              <w:t>使运作</w:t>
            </w:r>
            <w:r w:rsidR="00B25AEC" w:rsidRPr="00293633">
              <w:rPr>
                <w:rFonts w:cs="Calibri" w:hint="eastAsia"/>
                <w:b w:val="0"/>
                <w:bCs w:val="0"/>
                <w:lang w:eastAsia="zh-CN"/>
              </w:rPr>
              <w:t>团队</w:t>
            </w:r>
            <w:r w:rsidR="00AA4EBD" w:rsidRPr="00293633">
              <w:rPr>
                <w:rFonts w:cs="Calibri" w:hint="eastAsia"/>
                <w:b w:val="0"/>
                <w:bCs w:val="0"/>
                <w:lang w:eastAsia="zh-CN"/>
              </w:rPr>
              <w:t>感受</w:t>
            </w:r>
            <w:r w:rsidR="00271AFD" w:rsidRPr="00293633">
              <w:rPr>
                <w:rFonts w:cs="Calibri" w:hint="eastAsia"/>
                <w:b w:val="0"/>
                <w:bCs w:val="0"/>
                <w:lang w:eastAsia="zh-CN"/>
              </w:rPr>
              <w:t>更有能力，能够</w:t>
            </w:r>
            <w:r w:rsidR="00B25AEC" w:rsidRPr="00293633">
              <w:rPr>
                <w:rFonts w:cs="Calibri" w:hint="eastAsia"/>
                <w:b w:val="0"/>
                <w:bCs w:val="0"/>
                <w:lang w:eastAsia="zh-CN"/>
              </w:rPr>
              <w:t>控制他们的风险，</w:t>
            </w:r>
            <w:r w:rsidR="00AA4EBD" w:rsidRPr="00293633">
              <w:rPr>
                <w:rFonts w:cs="Calibri" w:hint="eastAsia"/>
                <w:b w:val="0"/>
                <w:bCs w:val="0"/>
                <w:lang w:eastAsia="zh-CN"/>
              </w:rPr>
              <w:t>从而</w:t>
            </w:r>
            <w:r w:rsidR="00B25AEC" w:rsidRPr="00293633">
              <w:rPr>
                <w:rFonts w:cs="Calibri" w:hint="eastAsia"/>
                <w:b w:val="0"/>
                <w:bCs w:val="0"/>
                <w:lang w:eastAsia="zh-CN"/>
              </w:rPr>
              <w:t>支持将风险管理</w:t>
            </w:r>
            <w:r w:rsidR="00271AFD" w:rsidRPr="00293633">
              <w:rPr>
                <w:rFonts w:cs="Calibri" w:hint="eastAsia"/>
                <w:b w:val="0"/>
                <w:bCs w:val="0"/>
                <w:lang w:eastAsia="zh-CN"/>
              </w:rPr>
              <w:t>融入</w:t>
            </w:r>
            <w:r w:rsidR="00B25AEC" w:rsidRPr="00293633">
              <w:rPr>
                <w:rFonts w:cs="Calibri" w:hint="eastAsia"/>
                <w:b w:val="0"/>
                <w:bCs w:val="0"/>
                <w:lang w:eastAsia="zh-CN"/>
              </w:rPr>
              <w:t>组织</w:t>
            </w:r>
            <w:r w:rsidR="00793056" w:rsidRPr="00293633">
              <w:rPr>
                <w:rFonts w:cs="Calibri" w:hint="eastAsia"/>
                <w:b w:val="0"/>
                <w:bCs w:val="0"/>
                <w:lang w:eastAsia="zh-CN"/>
              </w:rPr>
              <w:t>当</w:t>
            </w:r>
            <w:r w:rsidR="00B25AEC" w:rsidRPr="00293633">
              <w:rPr>
                <w:rFonts w:cs="Calibri" w:hint="eastAsia"/>
                <w:b w:val="0"/>
                <w:bCs w:val="0"/>
                <w:lang w:eastAsia="zh-CN"/>
              </w:rPr>
              <w:t>中。</w:t>
            </w:r>
          </w:p>
          <w:p w14:paraId="39B8C01E" w14:textId="705292C2" w:rsidR="00B25AEC" w:rsidRPr="00293633" w:rsidRDefault="00293633" w:rsidP="00293633">
            <w:pPr>
              <w:pStyle w:val="Tabletext"/>
              <w:tabs>
                <w:tab w:val="clear" w:pos="284"/>
                <w:tab w:val="clear" w:pos="567"/>
                <w:tab w:val="clear" w:pos="851"/>
              </w:tabs>
              <w:ind w:left="1170" w:hanging="567"/>
              <w:rPr>
                <w:rFonts w:cs="Calibri"/>
                <w:b w:val="0"/>
                <w:bCs w:val="0"/>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风险</w:t>
            </w:r>
            <w:r w:rsidR="00271AFD" w:rsidRPr="00293633">
              <w:rPr>
                <w:rFonts w:cs="Calibri" w:hint="eastAsia"/>
                <w:b w:val="0"/>
                <w:bCs w:val="0"/>
                <w:lang w:eastAsia="zh-CN"/>
              </w:rPr>
              <w:t>问责制</w:t>
            </w:r>
            <w:r w:rsidR="00B25AEC" w:rsidRPr="00293633">
              <w:rPr>
                <w:rFonts w:cs="Calibri" w:hint="eastAsia"/>
                <w:b w:val="0"/>
                <w:bCs w:val="0"/>
                <w:lang w:eastAsia="zh-CN"/>
              </w:rPr>
              <w:t>以及将风险管理纳入日常</w:t>
            </w:r>
            <w:r w:rsidR="00D70F39" w:rsidRPr="00293633">
              <w:rPr>
                <w:rFonts w:cs="Calibri" w:hint="eastAsia"/>
                <w:b w:val="0"/>
                <w:bCs w:val="0"/>
                <w:lang w:eastAsia="zh-CN"/>
              </w:rPr>
              <w:t>运作</w:t>
            </w:r>
            <w:r w:rsidR="00B25AEC" w:rsidRPr="00293633">
              <w:rPr>
                <w:rFonts w:cs="Calibri" w:hint="eastAsia"/>
                <w:b w:val="0"/>
                <w:bCs w:val="0"/>
                <w:lang w:eastAsia="zh-CN"/>
              </w:rPr>
              <w:t>决策的能力，应是所有</w:t>
            </w:r>
            <w:r w:rsidR="00E73B7F" w:rsidRPr="00293633">
              <w:rPr>
                <w:rFonts w:cs="Calibri" w:hint="eastAsia"/>
                <w:b w:val="0"/>
                <w:bCs w:val="0"/>
                <w:lang w:eastAsia="zh-CN"/>
              </w:rPr>
              <w:t>单</w:t>
            </w:r>
            <w:r w:rsidR="00D70F39" w:rsidRPr="00293633">
              <w:rPr>
                <w:rFonts w:cs="Calibri" w:hint="eastAsia"/>
                <w:b w:val="0"/>
                <w:bCs w:val="0"/>
                <w:lang w:eastAsia="zh-CN"/>
              </w:rPr>
              <w:t>个</w:t>
            </w:r>
            <w:r w:rsidR="00B25AEC" w:rsidRPr="00293633">
              <w:rPr>
                <w:rFonts w:cs="Calibri" w:hint="eastAsia"/>
                <w:b w:val="0"/>
                <w:bCs w:val="0"/>
                <w:lang w:eastAsia="zh-CN"/>
              </w:rPr>
              <w:t>绩效管理流程的核心方面。</w:t>
            </w:r>
          </w:p>
          <w:p w14:paraId="271AB4C9" w14:textId="2AD50ED2" w:rsidR="00B25AE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B25AEC" w:rsidRPr="00293633">
              <w:rPr>
                <w:rFonts w:cs="Calibri" w:hint="eastAsia"/>
                <w:b w:val="0"/>
                <w:bCs w:val="0"/>
                <w:lang w:eastAsia="zh-CN"/>
              </w:rPr>
              <w:t>通过在风险管理政策中准确设定所有</w:t>
            </w:r>
            <w:r w:rsidR="00E73B7F" w:rsidRPr="00293633">
              <w:rPr>
                <w:rFonts w:cs="Calibri" w:hint="eastAsia"/>
                <w:b w:val="0"/>
                <w:bCs w:val="0"/>
                <w:lang w:eastAsia="zh-CN"/>
              </w:rPr>
              <w:t>职员</w:t>
            </w:r>
            <w:r w:rsidR="00B25AEC" w:rsidRPr="00293633">
              <w:rPr>
                <w:rFonts w:cs="Calibri" w:hint="eastAsia"/>
                <w:b w:val="0"/>
                <w:bCs w:val="0"/>
                <w:lang w:eastAsia="zh-CN"/>
              </w:rPr>
              <w:t>的</w:t>
            </w:r>
            <w:r w:rsidR="00E73B7F" w:rsidRPr="00293633">
              <w:rPr>
                <w:rFonts w:cs="Calibri" w:hint="eastAsia"/>
                <w:b w:val="0"/>
                <w:bCs w:val="0"/>
                <w:lang w:eastAsia="zh-CN"/>
              </w:rPr>
              <w:t>作用</w:t>
            </w:r>
            <w:r w:rsidR="00B25AEC" w:rsidRPr="00293633">
              <w:rPr>
                <w:rFonts w:cs="Calibri" w:hint="eastAsia"/>
                <w:b w:val="0"/>
                <w:bCs w:val="0"/>
                <w:lang w:eastAsia="zh-CN"/>
              </w:rPr>
              <w:t>和职责，这项工作已经开始。</w:t>
            </w:r>
          </w:p>
        </w:tc>
        <w:tc>
          <w:tcPr>
            <w:tcW w:w="1134" w:type="dxa"/>
          </w:tcPr>
          <w:p w14:paraId="46963F69" w14:textId="17FE7097"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hint="eastAsia"/>
                <w:sz w:val="22"/>
                <w:szCs w:val="22"/>
                <w:lang w:eastAsia="zh-CN"/>
              </w:rPr>
              <w:t>在</w:t>
            </w:r>
            <w:r w:rsidRPr="008E6A9D">
              <w:rPr>
                <w:rFonts w:cstheme="minorHAnsi"/>
                <w:sz w:val="22"/>
                <w:szCs w:val="22"/>
              </w:rPr>
              <w:t>2020</w:t>
            </w:r>
            <w:r>
              <w:rPr>
                <w:rFonts w:cstheme="minorHAnsi" w:hint="eastAsia"/>
                <w:sz w:val="22"/>
                <w:szCs w:val="22"/>
                <w:lang w:eastAsia="zh-CN"/>
              </w:rPr>
              <w:t>年年底之前</w:t>
            </w:r>
          </w:p>
        </w:tc>
      </w:tr>
      <w:tr w:rsidR="008E6A9D" w:rsidRPr="008E6A9D" w14:paraId="774CC698" w14:textId="77777777" w:rsidTr="00461C24">
        <w:tc>
          <w:tcPr>
            <w:cnfStyle w:val="001000000000" w:firstRow="0" w:lastRow="0" w:firstColumn="1" w:lastColumn="0" w:oddVBand="0" w:evenVBand="0" w:oddHBand="0" w:evenHBand="0" w:firstRowFirstColumn="0" w:firstRowLastColumn="0" w:lastRowFirstColumn="0" w:lastRowLastColumn="0"/>
            <w:tcW w:w="8505" w:type="dxa"/>
          </w:tcPr>
          <w:p w14:paraId="0E7D5295" w14:textId="100B5038" w:rsidR="008E6A9D" w:rsidRPr="00EF1625" w:rsidRDefault="00EF1625" w:rsidP="00EF1625">
            <w:pPr>
              <w:pStyle w:val="Tabletext"/>
              <w:tabs>
                <w:tab w:val="clear" w:pos="284"/>
              </w:tabs>
              <w:rPr>
                <w:lang w:eastAsia="zh-CN"/>
              </w:rPr>
            </w:pPr>
            <w:r>
              <w:rPr>
                <w:rFonts w:hint="eastAsia"/>
                <w:lang w:eastAsia="zh-CN"/>
              </w:rPr>
              <w:t>1</w:t>
            </w:r>
            <w:r>
              <w:rPr>
                <w:lang w:eastAsia="zh-CN"/>
              </w:rPr>
              <w:t>0)</w:t>
            </w:r>
            <w:r>
              <w:rPr>
                <w:lang w:eastAsia="zh-CN"/>
              </w:rPr>
              <w:tab/>
            </w:r>
            <w:r w:rsidR="00EE258C" w:rsidRPr="00EF1625">
              <w:rPr>
                <w:rFonts w:hint="eastAsia"/>
                <w:lang w:eastAsia="zh-CN"/>
              </w:rPr>
              <w:t>系统性</w:t>
            </w:r>
            <w:r w:rsidR="00BC365F" w:rsidRPr="00EF1625">
              <w:rPr>
                <w:rFonts w:hint="eastAsia"/>
                <w:lang w:eastAsia="zh-CN"/>
              </w:rPr>
              <w:t>地</w:t>
            </w:r>
            <w:r w:rsidR="00EE258C" w:rsidRPr="00EF1625">
              <w:rPr>
                <w:rFonts w:hint="eastAsia"/>
                <w:lang w:eastAsia="zh-CN"/>
              </w:rPr>
              <w:t>把风险信息传达和报告给成员</w:t>
            </w:r>
          </w:p>
          <w:p w14:paraId="78D5CC35" w14:textId="4AA648F5" w:rsidR="00EE258C" w:rsidRPr="008E6A9D" w:rsidRDefault="00293633" w:rsidP="00293633">
            <w:pPr>
              <w:pStyle w:val="Tabletext"/>
              <w:tabs>
                <w:tab w:val="clear" w:pos="284"/>
                <w:tab w:val="clear" w:pos="567"/>
                <w:tab w:val="clear" w:pos="851"/>
              </w:tabs>
              <w:ind w:left="1170" w:hanging="567"/>
              <w:rPr>
                <w:rFonts w:cs="Calibri"/>
                <w:szCs w:val="22"/>
                <w:lang w:eastAsia="zh-CN"/>
              </w:rPr>
            </w:pPr>
            <w:r w:rsidRPr="007D5EFF">
              <w:rPr>
                <w:rFonts w:cs="Calibri"/>
                <w:b w:val="0"/>
                <w:bCs w:val="0"/>
                <w:lang w:eastAsia="zh-CN"/>
              </w:rPr>
              <w:t>–</w:t>
            </w:r>
            <w:r>
              <w:rPr>
                <w:rFonts w:cs="Calibri"/>
                <w:lang w:eastAsia="zh-CN"/>
              </w:rPr>
              <w:tab/>
            </w:r>
            <w:r w:rsidR="00EE258C" w:rsidRPr="00293633">
              <w:rPr>
                <w:rFonts w:cs="Calibri" w:hint="eastAsia"/>
                <w:b w:val="0"/>
                <w:bCs w:val="0"/>
                <w:lang w:eastAsia="zh-CN"/>
              </w:rPr>
              <w:t>秘书处将继续向</w:t>
            </w:r>
            <w:r w:rsidR="00DD2469" w:rsidRPr="00293633">
              <w:rPr>
                <w:rFonts w:cs="Calibri" w:hint="eastAsia"/>
                <w:b w:val="0"/>
                <w:bCs w:val="0"/>
                <w:lang w:eastAsia="zh-CN"/>
              </w:rPr>
              <w:t>理事会财务和人力资源工作组</w:t>
            </w:r>
            <w:r w:rsidR="00EE258C" w:rsidRPr="00293633">
              <w:rPr>
                <w:rFonts w:cs="Calibri" w:hint="eastAsia"/>
                <w:b w:val="0"/>
                <w:bCs w:val="0"/>
                <w:lang w:eastAsia="zh-CN"/>
              </w:rPr>
              <w:t>报告风险管理安排，同时</w:t>
            </w:r>
            <w:r w:rsidR="005F3B13" w:rsidRPr="00293633">
              <w:rPr>
                <w:rFonts w:cs="Calibri" w:hint="eastAsia"/>
                <w:b w:val="0"/>
                <w:bCs w:val="0"/>
                <w:lang w:eastAsia="zh-CN"/>
              </w:rPr>
              <w:t>向成员</w:t>
            </w:r>
            <w:r w:rsidR="00DD2469" w:rsidRPr="00293633">
              <w:rPr>
                <w:rFonts w:cs="Calibri" w:hint="eastAsia"/>
                <w:b w:val="0"/>
                <w:bCs w:val="0"/>
                <w:lang w:eastAsia="zh-CN"/>
              </w:rPr>
              <w:t>介绍关于</w:t>
            </w:r>
            <w:r w:rsidR="00EE258C" w:rsidRPr="00293633">
              <w:rPr>
                <w:rFonts w:cs="Calibri" w:hint="eastAsia"/>
                <w:b w:val="0"/>
                <w:bCs w:val="0"/>
                <w:lang w:eastAsia="zh-CN"/>
              </w:rPr>
              <w:t>更新后的</w:t>
            </w:r>
            <w:r w:rsidR="00D049DE" w:rsidRPr="00293633">
              <w:rPr>
                <w:rFonts w:cs="Calibri" w:hint="eastAsia"/>
                <w:b w:val="0"/>
                <w:bCs w:val="0"/>
                <w:lang w:eastAsia="zh-CN"/>
              </w:rPr>
              <w:t>风险登记单</w:t>
            </w:r>
            <w:r w:rsidR="00EE258C" w:rsidRPr="00293633">
              <w:rPr>
                <w:rFonts w:cs="Calibri" w:hint="eastAsia"/>
                <w:b w:val="0"/>
                <w:bCs w:val="0"/>
                <w:lang w:eastAsia="zh-CN"/>
              </w:rPr>
              <w:t>和风险管理仪表板的报告。</w:t>
            </w:r>
          </w:p>
        </w:tc>
        <w:tc>
          <w:tcPr>
            <w:tcW w:w="1134" w:type="dxa"/>
          </w:tcPr>
          <w:p w14:paraId="3D08024B" w14:textId="0F1C9A1C" w:rsidR="008E6A9D" w:rsidRPr="008E6A9D" w:rsidRDefault="00E415E6" w:rsidP="008E6A9D">
            <w:pPr>
              <w:tabs>
                <w:tab w:val="clear" w:pos="794"/>
                <w:tab w:val="clear" w:pos="1191"/>
                <w:tab w:val="clear" w:pos="1588"/>
                <w:tab w:val="clear" w:pos="1985"/>
                <w:tab w:val="left" w:pos="567"/>
                <w:tab w:val="left" w:pos="1134"/>
                <w:tab w:val="left" w:pos="1701"/>
                <w:tab w:val="left" w:pos="2268"/>
                <w:tab w:val="left" w:pos="2835"/>
              </w:tabs>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bookmarkStart w:id="9" w:name="lt_pId081"/>
            <w:r>
              <w:rPr>
                <w:rFonts w:cstheme="minorHAnsi" w:hint="eastAsia"/>
                <w:sz w:val="22"/>
                <w:szCs w:val="22"/>
                <w:lang w:eastAsia="zh-CN"/>
              </w:rPr>
              <w:t>仍在进行中</w:t>
            </w:r>
            <w:r w:rsidRPr="008E6A9D">
              <w:rPr>
                <w:rFonts w:cstheme="minorHAnsi"/>
                <w:sz w:val="22"/>
                <w:szCs w:val="22"/>
                <w:lang w:eastAsia="zh-CN"/>
              </w:rPr>
              <w:t xml:space="preserve"> – </w:t>
            </w:r>
            <w:r>
              <w:rPr>
                <w:rFonts w:cstheme="minorHAnsi" w:hint="eastAsia"/>
                <w:sz w:val="22"/>
                <w:szCs w:val="22"/>
                <w:lang w:eastAsia="zh-CN"/>
              </w:rPr>
              <w:t>理事会</w:t>
            </w:r>
            <w:r>
              <w:rPr>
                <w:rFonts w:cstheme="minorHAnsi" w:hint="eastAsia"/>
                <w:sz w:val="22"/>
                <w:szCs w:val="22"/>
                <w:lang w:eastAsia="zh-CN"/>
              </w:rPr>
              <w:t>2</w:t>
            </w:r>
            <w:r>
              <w:rPr>
                <w:rFonts w:cstheme="minorHAnsi"/>
                <w:sz w:val="22"/>
                <w:szCs w:val="22"/>
                <w:lang w:eastAsia="zh-CN"/>
              </w:rPr>
              <w:t>020</w:t>
            </w:r>
            <w:r>
              <w:rPr>
                <w:rFonts w:cstheme="minorHAnsi" w:hint="eastAsia"/>
                <w:sz w:val="22"/>
                <w:szCs w:val="22"/>
                <w:lang w:eastAsia="zh-CN"/>
              </w:rPr>
              <w:t>年会议</w:t>
            </w:r>
            <w:bookmarkEnd w:id="9"/>
          </w:p>
        </w:tc>
      </w:tr>
    </w:tbl>
    <w:p w14:paraId="576B9CC5" w14:textId="574D389A" w:rsidR="008E6A9D" w:rsidRPr="008E6A9D" w:rsidRDefault="007D5EFF" w:rsidP="007D5EFF">
      <w:pPr>
        <w:pStyle w:val="Heading1"/>
        <w:rPr>
          <w:rFonts w:eastAsia="Times New Roman"/>
          <w:lang w:eastAsia="zh-CN"/>
        </w:rPr>
      </w:pPr>
      <w:r>
        <w:rPr>
          <w:rFonts w:hint="eastAsia"/>
          <w:lang w:eastAsia="zh-CN"/>
        </w:rPr>
        <w:t>2</w:t>
      </w:r>
      <w:r>
        <w:rPr>
          <w:lang w:eastAsia="zh-CN"/>
        </w:rPr>
        <w:tab/>
      </w:r>
      <w:r w:rsidR="004A55D7">
        <w:rPr>
          <w:rFonts w:hint="eastAsia"/>
          <w:lang w:eastAsia="zh-CN"/>
        </w:rPr>
        <w:t>建议</w:t>
      </w:r>
    </w:p>
    <w:p w14:paraId="566A0C9A" w14:textId="65ABF866" w:rsidR="008E6A9D" w:rsidRPr="005F1AE0" w:rsidRDefault="00293633" w:rsidP="00293633">
      <w:pPr>
        <w:rPr>
          <w:lang w:eastAsia="zh-CN"/>
        </w:rPr>
      </w:pPr>
      <w:r>
        <w:rPr>
          <w:lang w:eastAsia="zh-CN"/>
        </w:rPr>
        <w:t>2.1</w:t>
      </w:r>
      <w:r>
        <w:rPr>
          <w:lang w:eastAsia="zh-CN"/>
        </w:rPr>
        <w:tab/>
      </w:r>
      <w:r w:rsidR="005F1AE0" w:rsidRPr="005F1AE0">
        <w:rPr>
          <w:rFonts w:hint="eastAsia"/>
          <w:lang w:eastAsia="zh-CN"/>
        </w:rPr>
        <w:t>关于落实旨在</w:t>
      </w:r>
      <w:r w:rsidR="005F1AE0" w:rsidRPr="005F1AE0">
        <w:rPr>
          <w:lang w:eastAsia="zh-CN"/>
        </w:rPr>
        <w:t>加强国际电联风险管理框架的行动计划</w:t>
      </w:r>
      <w:r w:rsidR="005F1AE0" w:rsidRPr="005F1AE0">
        <w:rPr>
          <w:rFonts w:hint="eastAsia"/>
          <w:lang w:eastAsia="zh-CN"/>
        </w:rPr>
        <w:t>的中期报告</w:t>
      </w:r>
      <w:r w:rsidR="005F3B13" w:rsidRPr="00EE258C">
        <w:rPr>
          <w:rFonts w:hint="eastAsia"/>
          <w:lang w:eastAsia="zh-CN"/>
        </w:rPr>
        <w:t>提出了以下建议：</w:t>
      </w:r>
    </w:p>
    <w:p w14:paraId="37EADADB" w14:textId="6C2D9207" w:rsidR="005F3B13" w:rsidRPr="005604A4" w:rsidRDefault="00293633" w:rsidP="00293633">
      <w:pPr>
        <w:pStyle w:val="enumlev1"/>
        <w:rPr>
          <w:lang w:eastAsia="zh-CN"/>
        </w:rPr>
      </w:pPr>
      <w:r>
        <w:rPr>
          <w:rFonts w:hint="eastAsia"/>
          <w:lang w:eastAsia="zh-CN"/>
        </w:rPr>
        <w:t>1</w:t>
      </w:r>
      <w:r>
        <w:rPr>
          <w:lang w:eastAsia="zh-CN"/>
        </w:rPr>
        <w:t>)</w:t>
      </w:r>
      <w:r>
        <w:rPr>
          <w:lang w:eastAsia="zh-CN"/>
        </w:rPr>
        <w:tab/>
      </w:r>
      <w:r w:rsidR="005F3B13" w:rsidRPr="005604A4">
        <w:rPr>
          <w:lang w:eastAsia="zh-CN"/>
        </w:rPr>
        <w:t>通过</w:t>
      </w:r>
      <w:r w:rsidR="00793056">
        <w:rPr>
          <w:rFonts w:hint="eastAsia"/>
          <w:lang w:eastAsia="zh-CN"/>
        </w:rPr>
        <w:t>经</w:t>
      </w:r>
      <w:r w:rsidR="005F3B13" w:rsidRPr="005604A4">
        <w:rPr>
          <w:lang w:eastAsia="zh-CN"/>
        </w:rPr>
        <w:t>修订的国际电联风险管理政策（本报告附件</w:t>
      </w:r>
      <w:r w:rsidR="005F3B13" w:rsidRPr="005604A4">
        <w:rPr>
          <w:lang w:eastAsia="zh-CN"/>
        </w:rPr>
        <w:t>A</w:t>
      </w:r>
      <w:proofErr w:type="gramStart"/>
      <w:r w:rsidR="005F3B13" w:rsidRPr="005604A4">
        <w:rPr>
          <w:lang w:eastAsia="zh-CN"/>
        </w:rPr>
        <w:t>）；</w:t>
      </w:r>
      <w:proofErr w:type="gramEnd"/>
    </w:p>
    <w:p w14:paraId="47DADBE6" w14:textId="3193A881" w:rsidR="005F3B13" w:rsidRPr="005604A4" w:rsidRDefault="00293633" w:rsidP="00293633">
      <w:pPr>
        <w:pStyle w:val="enumlev1"/>
        <w:rPr>
          <w:lang w:eastAsia="zh-CN"/>
        </w:rPr>
      </w:pPr>
      <w:r>
        <w:rPr>
          <w:lang w:eastAsia="zh-CN"/>
        </w:rPr>
        <w:t>2)</w:t>
      </w:r>
      <w:r>
        <w:rPr>
          <w:lang w:eastAsia="zh-CN"/>
        </w:rPr>
        <w:tab/>
      </w:r>
      <w:r w:rsidR="005F3B13" w:rsidRPr="005604A4">
        <w:rPr>
          <w:lang w:eastAsia="zh-CN"/>
        </w:rPr>
        <w:t>通过</w:t>
      </w:r>
      <w:r w:rsidR="00793056">
        <w:rPr>
          <w:rFonts w:hint="eastAsia"/>
          <w:lang w:eastAsia="zh-CN"/>
        </w:rPr>
        <w:t>经</w:t>
      </w:r>
      <w:r w:rsidR="005F3B13" w:rsidRPr="005604A4">
        <w:rPr>
          <w:lang w:eastAsia="zh-CN"/>
        </w:rPr>
        <w:t>修订的国际电联风险偏好</w:t>
      </w:r>
      <w:r w:rsidR="00CF63C9" w:rsidRPr="005604A4">
        <w:rPr>
          <w:lang w:eastAsia="zh-CN"/>
        </w:rPr>
        <w:t>陈述书</w:t>
      </w:r>
      <w:r w:rsidR="005F3B13" w:rsidRPr="005604A4">
        <w:rPr>
          <w:lang w:eastAsia="zh-CN"/>
        </w:rPr>
        <w:t>（本报告附件</w:t>
      </w:r>
      <w:r w:rsidR="005F3B13" w:rsidRPr="005604A4">
        <w:rPr>
          <w:lang w:eastAsia="zh-CN"/>
        </w:rPr>
        <w:t>B</w:t>
      </w:r>
      <w:proofErr w:type="gramStart"/>
      <w:r w:rsidR="005F3B13" w:rsidRPr="005604A4">
        <w:rPr>
          <w:lang w:eastAsia="zh-CN"/>
        </w:rPr>
        <w:t>）；</w:t>
      </w:r>
      <w:proofErr w:type="gramEnd"/>
    </w:p>
    <w:p w14:paraId="21A637E3" w14:textId="0076192D" w:rsidR="005F3B13" w:rsidRPr="005604A4" w:rsidRDefault="00293633" w:rsidP="00293633">
      <w:pPr>
        <w:pStyle w:val="enumlev1"/>
        <w:rPr>
          <w:lang w:eastAsia="zh-CN"/>
        </w:rPr>
      </w:pPr>
      <w:r>
        <w:rPr>
          <w:lang w:eastAsia="zh-CN"/>
        </w:rPr>
        <w:lastRenderedPageBreak/>
        <w:t>3)</w:t>
      </w:r>
      <w:r>
        <w:rPr>
          <w:lang w:eastAsia="zh-CN"/>
        </w:rPr>
        <w:tab/>
      </w:r>
      <w:r w:rsidR="005F3B13" w:rsidRPr="005604A4">
        <w:rPr>
          <w:lang w:eastAsia="zh-CN"/>
        </w:rPr>
        <w:t>在</w:t>
      </w:r>
      <w:r w:rsidR="00CF63C9" w:rsidRPr="005604A4">
        <w:rPr>
          <w:lang w:eastAsia="zh-CN"/>
        </w:rPr>
        <w:t>可用</w:t>
      </w:r>
      <w:r w:rsidR="005F3B13" w:rsidRPr="005604A4">
        <w:rPr>
          <w:lang w:eastAsia="zh-CN"/>
        </w:rPr>
        <w:t>预算范围内，在总秘书处内</w:t>
      </w:r>
      <w:r w:rsidR="00D60618" w:rsidRPr="005604A4">
        <w:rPr>
          <w:lang w:eastAsia="zh-CN"/>
        </w:rPr>
        <w:t>设置</w:t>
      </w:r>
      <w:r w:rsidR="005F3B13" w:rsidRPr="005604A4">
        <w:rPr>
          <w:lang w:eastAsia="zh-CN"/>
        </w:rPr>
        <w:t>风险和</w:t>
      </w:r>
      <w:r w:rsidR="000E7D80" w:rsidRPr="005604A4">
        <w:rPr>
          <w:lang w:eastAsia="zh-CN"/>
        </w:rPr>
        <w:t>内控</w:t>
      </w:r>
      <w:r w:rsidR="005F3B13" w:rsidRPr="005604A4">
        <w:rPr>
          <w:lang w:eastAsia="zh-CN"/>
        </w:rPr>
        <w:t>的新职能。该职能的主要职责应是：</w:t>
      </w:r>
    </w:p>
    <w:p w14:paraId="757CDE98" w14:textId="160D4577" w:rsidR="00CF63C9" w:rsidRPr="005604A4" w:rsidRDefault="00293633" w:rsidP="00293633">
      <w:pPr>
        <w:pStyle w:val="enumlev2"/>
        <w:rPr>
          <w:lang w:eastAsia="zh-CN"/>
        </w:rPr>
      </w:pPr>
      <w:r>
        <w:rPr>
          <w:lang w:eastAsia="zh-CN"/>
        </w:rPr>
        <w:t>–</w:t>
      </w:r>
      <w:r>
        <w:rPr>
          <w:lang w:eastAsia="zh-CN"/>
        </w:rPr>
        <w:tab/>
      </w:r>
      <w:proofErr w:type="gramStart"/>
      <w:r w:rsidR="00CF63C9" w:rsidRPr="005604A4">
        <w:rPr>
          <w:lang w:eastAsia="zh-CN"/>
        </w:rPr>
        <w:t>为</w:t>
      </w:r>
      <w:r w:rsidR="00A36A52">
        <w:rPr>
          <w:rFonts w:hint="eastAsia"/>
          <w:lang w:eastAsia="zh-CN"/>
        </w:rPr>
        <w:t>本</w:t>
      </w:r>
      <w:r w:rsidR="00CF63C9" w:rsidRPr="005604A4">
        <w:rPr>
          <w:lang w:eastAsia="zh-CN"/>
        </w:rPr>
        <w:t>组织采用最佳风险管理</w:t>
      </w:r>
      <w:r w:rsidR="006D73FF" w:rsidRPr="005604A4">
        <w:rPr>
          <w:lang w:eastAsia="zh-CN"/>
        </w:rPr>
        <w:t>做法</w:t>
      </w:r>
      <w:r w:rsidR="00CF63C9" w:rsidRPr="005604A4">
        <w:rPr>
          <w:lang w:eastAsia="zh-CN"/>
        </w:rPr>
        <w:t>以及不断</w:t>
      </w:r>
      <w:r w:rsidR="006D73FF" w:rsidRPr="005604A4">
        <w:rPr>
          <w:lang w:eastAsia="zh-CN"/>
        </w:rPr>
        <w:t>完善</w:t>
      </w:r>
      <w:r w:rsidR="00CF63C9" w:rsidRPr="005604A4">
        <w:rPr>
          <w:lang w:eastAsia="zh-CN"/>
        </w:rPr>
        <w:t>其</w:t>
      </w:r>
      <w:r w:rsidR="000E7D80" w:rsidRPr="005604A4">
        <w:rPr>
          <w:lang w:eastAsia="zh-CN"/>
        </w:rPr>
        <w:t>内控</w:t>
      </w:r>
      <w:r w:rsidR="00CF63C9" w:rsidRPr="005604A4">
        <w:rPr>
          <w:lang w:eastAsia="zh-CN"/>
        </w:rPr>
        <w:t>环境提供建议；</w:t>
      </w:r>
      <w:proofErr w:type="gramEnd"/>
    </w:p>
    <w:p w14:paraId="527465C7" w14:textId="345D98F0" w:rsidR="00CF63C9" w:rsidRPr="005604A4" w:rsidRDefault="00230BBB" w:rsidP="00293633">
      <w:pPr>
        <w:pStyle w:val="enumlev2"/>
        <w:rPr>
          <w:lang w:eastAsia="zh-CN"/>
        </w:rPr>
      </w:pPr>
      <w:r>
        <w:rPr>
          <w:lang w:eastAsia="zh-CN"/>
        </w:rPr>
        <w:t>–</w:t>
      </w:r>
      <w:r>
        <w:rPr>
          <w:lang w:eastAsia="zh-CN"/>
        </w:rPr>
        <w:tab/>
      </w:r>
      <w:r w:rsidR="00CF63C9" w:rsidRPr="005604A4">
        <w:rPr>
          <w:lang w:eastAsia="zh-CN"/>
        </w:rPr>
        <w:t>建议通过风险政策</w:t>
      </w:r>
      <w:r w:rsidR="00083B88">
        <w:rPr>
          <w:rFonts w:hint="eastAsia"/>
          <w:lang w:eastAsia="zh-CN"/>
        </w:rPr>
        <w:t>，</w:t>
      </w:r>
      <w:r w:rsidR="006D73FF" w:rsidRPr="005604A4">
        <w:rPr>
          <w:lang w:eastAsia="zh-CN"/>
        </w:rPr>
        <w:t>风险偏好陈述书</w:t>
      </w:r>
      <w:r w:rsidR="00083B88">
        <w:rPr>
          <w:rFonts w:hint="eastAsia"/>
          <w:lang w:eastAsia="zh-CN"/>
        </w:rPr>
        <w:t>，</w:t>
      </w:r>
      <w:r w:rsidR="00CF63C9" w:rsidRPr="005604A4">
        <w:rPr>
          <w:lang w:eastAsia="zh-CN"/>
        </w:rPr>
        <w:t>手册和向国际电联高级管理团队报告</w:t>
      </w:r>
      <w:r w:rsidR="0016586F" w:rsidRPr="005604A4">
        <w:rPr>
          <w:lang w:eastAsia="zh-CN"/>
        </w:rPr>
        <w:t>、</w:t>
      </w:r>
      <w:proofErr w:type="gramStart"/>
      <w:r w:rsidR="0016586F" w:rsidRPr="005604A4">
        <w:rPr>
          <w:lang w:eastAsia="zh-CN"/>
        </w:rPr>
        <w:t>升级和降级风险敞口</w:t>
      </w:r>
      <w:r w:rsidR="00083B88">
        <w:rPr>
          <w:rFonts w:hint="eastAsia"/>
          <w:lang w:eastAsia="zh-CN"/>
        </w:rPr>
        <w:t>的规程</w:t>
      </w:r>
      <w:r w:rsidR="00CF63C9" w:rsidRPr="005604A4">
        <w:rPr>
          <w:lang w:eastAsia="zh-CN"/>
        </w:rPr>
        <w:t>；</w:t>
      </w:r>
      <w:proofErr w:type="gramEnd"/>
    </w:p>
    <w:p w14:paraId="5671672C" w14:textId="162E9823" w:rsidR="00CF63C9" w:rsidRPr="005604A4" w:rsidRDefault="00293633" w:rsidP="00293633">
      <w:pPr>
        <w:pStyle w:val="enumlev2"/>
        <w:rPr>
          <w:lang w:eastAsia="zh-CN"/>
        </w:rPr>
      </w:pPr>
      <w:r>
        <w:rPr>
          <w:lang w:eastAsia="zh-CN"/>
        </w:rPr>
        <w:t>–</w:t>
      </w:r>
      <w:r>
        <w:rPr>
          <w:lang w:eastAsia="zh-CN"/>
        </w:rPr>
        <w:tab/>
      </w:r>
      <w:r w:rsidR="0016586F" w:rsidRPr="005604A4">
        <w:rPr>
          <w:lang w:eastAsia="zh-CN"/>
        </w:rPr>
        <w:t>建立</w:t>
      </w:r>
      <w:r w:rsidR="00CF63C9" w:rsidRPr="005604A4">
        <w:rPr>
          <w:lang w:eastAsia="zh-CN"/>
        </w:rPr>
        <w:t>用于</w:t>
      </w:r>
      <w:r w:rsidR="00087F16" w:rsidRPr="005604A4">
        <w:rPr>
          <w:lang w:eastAsia="zh-CN"/>
        </w:rPr>
        <w:t>确定</w:t>
      </w:r>
      <w:r w:rsidR="0016586F" w:rsidRPr="005604A4">
        <w:rPr>
          <w:lang w:eastAsia="zh-CN"/>
        </w:rPr>
        <w:t>、</w:t>
      </w:r>
      <w:r w:rsidR="00CF63C9" w:rsidRPr="005604A4">
        <w:rPr>
          <w:lang w:eastAsia="zh-CN"/>
        </w:rPr>
        <w:t>评估</w:t>
      </w:r>
      <w:r w:rsidR="0016586F" w:rsidRPr="005604A4">
        <w:rPr>
          <w:lang w:eastAsia="zh-CN"/>
        </w:rPr>
        <w:t>、</w:t>
      </w:r>
      <w:r w:rsidR="00CF63C9" w:rsidRPr="005604A4">
        <w:rPr>
          <w:lang w:eastAsia="zh-CN"/>
        </w:rPr>
        <w:t>监测和报告国际电联风险敞口的方法和工具，包括与业务连续性和危机管理（</w:t>
      </w:r>
      <w:r w:rsidR="00CF63C9" w:rsidRPr="005604A4">
        <w:rPr>
          <w:lang w:eastAsia="zh-CN"/>
        </w:rPr>
        <w:t>ORMS</w:t>
      </w:r>
      <w:r w:rsidR="00CF63C9" w:rsidRPr="005604A4">
        <w:rPr>
          <w:lang w:eastAsia="zh-CN"/>
        </w:rPr>
        <w:t>项目）</w:t>
      </w:r>
      <w:proofErr w:type="gramStart"/>
      <w:r w:rsidR="00CF63C9" w:rsidRPr="005604A4">
        <w:rPr>
          <w:lang w:eastAsia="zh-CN"/>
        </w:rPr>
        <w:t>有关的风险敞口；</w:t>
      </w:r>
      <w:proofErr w:type="gramEnd"/>
    </w:p>
    <w:p w14:paraId="578FE1B1" w14:textId="148F2925" w:rsidR="00CF63C9" w:rsidRPr="005604A4" w:rsidRDefault="00293633" w:rsidP="00293633">
      <w:pPr>
        <w:pStyle w:val="enumlev2"/>
        <w:rPr>
          <w:lang w:eastAsia="zh-CN"/>
        </w:rPr>
      </w:pPr>
      <w:r>
        <w:rPr>
          <w:lang w:eastAsia="zh-CN"/>
        </w:rPr>
        <w:t>–</w:t>
      </w:r>
      <w:r>
        <w:rPr>
          <w:lang w:eastAsia="zh-CN"/>
        </w:rPr>
        <w:tab/>
      </w:r>
      <w:r w:rsidR="00CF63C9" w:rsidRPr="005604A4">
        <w:rPr>
          <w:lang w:eastAsia="zh-CN"/>
        </w:rPr>
        <w:t>评估所记录的控制措施的</w:t>
      </w:r>
      <w:r w:rsidR="008F098D" w:rsidRPr="005604A4">
        <w:rPr>
          <w:lang w:eastAsia="zh-CN"/>
        </w:rPr>
        <w:t>执行</w:t>
      </w:r>
      <w:r w:rsidR="00CF63C9" w:rsidRPr="005604A4">
        <w:rPr>
          <w:lang w:eastAsia="zh-CN"/>
        </w:rPr>
        <w:t>有效性（控制措施在一段时间内是否有效</w:t>
      </w:r>
      <w:r w:rsidR="008F098D" w:rsidRPr="005604A4">
        <w:rPr>
          <w:lang w:eastAsia="zh-CN"/>
        </w:rPr>
        <w:t>执行</w:t>
      </w:r>
      <w:r w:rsidR="00CF63C9" w:rsidRPr="005604A4">
        <w:rPr>
          <w:lang w:eastAsia="zh-CN"/>
        </w:rPr>
        <w:t>，从而实际上</w:t>
      </w:r>
      <w:r w:rsidR="008F098D" w:rsidRPr="005604A4">
        <w:rPr>
          <w:lang w:eastAsia="zh-CN"/>
        </w:rPr>
        <w:t>缓解</w:t>
      </w:r>
      <w:r w:rsidR="00CF63C9" w:rsidRPr="005604A4">
        <w:rPr>
          <w:lang w:eastAsia="zh-CN"/>
        </w:rPr>
        <w:t>了相关风险</w:t>
      </w:r>
      <w:proofErr w:type="gramStart"/>
      <w:r w:rsidR="00CF63C9" w:rsidRPr="005604A4">
        <w:rPr>
          <w:lang w:eastAsia="zh-CN"/>
        </w:rPr>
        <w:t>）；</w:t>
      </w:r>
      <w:proofErr w:type="gramEnd"/>
    </w:p>
    <w:p w14:paraId="45D233EB" w14:textId="532A2D48" w:rsidR="00CF63C9" w:rsidRPr="005604A4" w:rsidRDefault="00293633" w:rsidP="00293633">
      <w:pPr>
        <w:pStyle w:val="enumlev2"/>
        <w:rPr>
          <w:lang w:eastAsia="zh-CN"/>
        </w:rPr>
      </w:pPr>
      <w:r>
        <w:rPr>
          <w:lang w:eastAsia="zh-CN"/>
        </w:rPr>
        <w:t>–</w:t>
      </w:r>
      <w:r>
        <w:rPr>
          <w:lang w:eastAsia="zh-CN"/>
        </w:rPr>
        <w:tab/>
      </w:r>
      <w:r w:rsidR="008F098D" w:rsidRPr="005604A4">
        <w:rPr>
          <w:lang w:eastAsia="zh-CN"/>
        </w:rPr>
        <w:t>发起</w:t>
      </w:r>
      <w:r w:rsidR="00CF63C9" w:rsidRPr="005604A4">
        <w:rPr>
          <w:lang w:eastAsia="zh-CN"/>
        </w:rPr>
        <w:t>企业风险管理和控制框架，</w:t>
      </w:r>
      <w:proofErr w:type="gramStart"/>
      <w:r w:rsidR="00CF63C9" w:rsidRPr="005604A4">
        <w:rPr>
          <w:lang w:eastAsia="zh-CN"/>
        </w:rPr>
        <w:t>包括三道防线的运作以及</w:t>
      </w:r>
      <w:r w:rsidR="008F098D" w:rsidRPr="005604A4">
        <w:rPr>
          <w:lang w:eastAsia="zh-CN"/>
        </w:rPr>
        <w:t>遵守和使用</w:t>
      </w:r>
      <w:r w:rsidR="00CF63C9" w:rsidRPr="005604A4">
        <w:rPr>
          <w:lang w:eastAsia="zh-CN"/>
        </w:rPr>
        <w:t>风险偏好措施；</w:t>
      </w:r>
      <w:proofErr w:type="gramEnd"/>
    </w:p>
    <w:p w14:paraId="2C1E9870" w14:textId="14180FE1" w:rsidR="00CF63C9" w:rsidRPr="005604A4" w:rsidRDefault="00293633" w:rsidP="00293633">
      <w:pPr>
        <w:pStyle w:val="enumlev2"/>
        <w:rPr>
          <w:lang w:eastAsia="zh-CN"/>
        </w:rPr>
      </w:pPr>
      <w:r>
        <w:rPr>
          <w:lang w:eastAsia="zh-CN"/>
        </w:rPr>
        <w:t>–</w:t>
      </w:r>
      <w:r>
        <w:rPr>
          <w:lang w:eastAsia="zh-CN"/>
        </w:rPr>
        <w:tab/>
      </w:r>
      <w:r w:rsidR="008F098D" w:rsidRPr="005604A4">
        <w:rPr>
          <w:lang w:eastAsia="zh-CN"/>
        </w:rPr>
        <w:t>牵头</w:t>
      </w:r>
      <w:r w:rsidR="00CF63C9" w:rsidRPr="005604A4">
        <w:rPr>
          <w:lang w:eastAsia="zh-CN"/>
        </w:rPr>
        <w:t>将风险管理</w:t>
      </w:r>
      <w:r w:rsidR="008F098D" w:rsidRPr="005604A4">
        <w:rPr>
          <w:lang w:eastAsia="zh-CN"/>
        </w:rPr>
        <w:t>融入</w:t>
      </w:r>
      <w:r w:rsidR="00CF63C9" w:rsidRPr="005604A4">
        <w:rPr>
          <w:lang w:eastAsia="zh-CN"/>
        </w:rPr>
        <w:t>整个组织</w:t>
      </w:r>
      <w:r w:rsidR="008F098D" w:rsidRPr="005604A4">
        <w:rPr>
          <w:lang w:eastAsia="zh-CN"/>
        </w:rPr>
        <w:t>的工作</w:t>
      </w:r>
      <w:r w:rsidR="00CF63C9" w:rsidRPr="005604A4">
        <w:rPr>
          <w:lang w:eastAsia="zh-CN"/>
        </w:rPr>
        <w:t>，</w:t>
      </w:r>
      <w:r w:rsidR="008F098D" w:rsidRPr="005604A4">
        <w:rPr>
          <w:lang w:eastAsia="zh-CN"/>
        </w:rPr>
        <w:t>升级</w:t>
      </w:r>
      <w:r w:rsidR="00CF63C9" w:rsidRPr="005604A4">
        <w:rPr>
          <w:lang w:eastAsia="zh-CN"/>
        </w:rPr>
        <w:t>企业风险管理工具和能力，</w:t>
      </w:r>
      <w:proofErr w:type="gramStart"/>
      <w:r w:rsidR="00CF63C9" w:rsidRPr="005604A4">
        <w:rPr>
          <w:lang w:eastAsia="zh-CN"/>
        </w:rPr>
        <w:t>根据领先的最佳</w:t>
      </w:r>
      <w:r w:rsidR="008F098D" w:rsidRPr="005604A4">
        <w:rPr>
          <w:lang w:eastAsia="zh-CN"/>
        </w:rPr>
        <w:t>做法</w:t>
      </w:r>
      <w:r w:rsidR="00CF63C9" w:rsidRPr="005604A4">
        <w:rPr>
          <w:lang w:eastAsia="zh-CN"/>
        </w:rPr>
        <w:t>不断</w:t>
      </w:r>
      <w:r w:rsidR="008F098D" w:rsidRPr="005604A4">
        <w:rPr>
          <w:lang w:eastAsia="zh-CN"/>
        </w:rPr>
        <w:t>推进</w:t>
      </w:r>
      <w:r w:rsidR="00CF63C9" w:rsidRPr="005604A4">
        <w:rPr>
          <w:lang w:eastAsia="zh-CN"/>
        </w:rPr>
        <w:t>风险管理；</w:t>
      </w:r>
      <w:proofErr w:type="gramEnd"/>
    </w:p>
    <w:p w14:paraId="2CCAC0E7" w14:textId="7A25F3B7" w:rsidR="00CF63C9" w:rsidRPr="005604A4" w:rsidRDefault="00293633" w:rsidP="00293633">
      <w:pPr>
        <w:pStyle w:val="enumlev2"/>
        <w:rPr>
          <w:lang w:eastAsia="zh-CN"/>
        </w:rPr>
      </w:pPr>
      <w:r>
        <w:rPr>
          <w:lang w:eastAsia="zh-CN"/>
        </w:rPr>
        <w:t>–</w:t>
      </w:r>
      <w:r>
        <w:rPr>
          <w:lang w:eastAsia="zh-CN"/>
        </w:rPr>
        <w:tab/>
      </w:r>
      <w:proofErr w:type="gramStart"/>
      <w:r w:rsidR="00CF63C9" w:rsidRPr="005604A4">
        <w:rPr>
          <w:lang w:eastAsia="zh-CN"/>
        </w:rPr>
        <w:t>在</w:t>
      </w:r>
      <w:r w:rsidR="00916D67" w:rsidRPr="005604A4">
        <w:rPr>
          <w:lang w:eastAsia="zh-CN"/>
        </w:rPr>
        <w:t>跨机构</w:t>
      </w:r>
      <w:r w:rsidR="00CF63C9" w:rsidRPr="005604A4">
        <w:rPr>
          <w:lang w:eastAsia="zh-CN"/>
        </w:rPr>
        <w:t>层面上作为</w:t>
      </w:r>
      <w:r w:rsidR="00AF4EDF" w:rsidRPr="005604A4">
        <w:rPr>
          <w:lang w:eastAsia="zh-CN"/>
        </w:rPr>
        <w:t>分享</w:t>
      </w:r>
      <w:r w:rsidR="00916D67" w:rsidRPr="005604A4">
        <w:rPr>
          <w:lang w:eastAsia="zh-CN"/>
        </w:rPr>
        <w:t>企业风险管理</w:t>
      </w:r>
      <w:r w:rsidR="00CF63C9" w:rsidRPr="005604A4">
        <w:rPr>
          <w:lang w:eastAsia="zh-CN"/>
        </w:rPr>
        <w:t>最佳做法的联络点；</w:t>
      </w:r>
      <w:proofErr w:type="gramEnd"/>
    </w:p>
    <w:p w14:paraId="4E6341AA" w14:textId="1D03B08A" w:rsidR="00AF4EDF" w:rsidRPr="00AF4EDF" w:rsidRDefault="00293633" w:rsidP="00293633">
      <w:pPr>
        <w:pStyle w:val="enumlev2"/>
        <w:rPr>
          <w:lang w:eastAsia="zh-CN"/>
        </w:rPr>
      </w:pPr>
      <w:r>
        <w:rPr>
          <w:lang w:eastAsia="zh-CN"/>
        </w:rPr>
        <w:t>–</w:t>
      </w:r>
      <w:r>
        <w:rPr>
          <w:lang w:eastAsia="zh-CN"/>
        </w:rPr>
        <w:tab/>
      </w:r>
      <w:r w:rsidR="00CF63C9" w:rsidRPr="005604A4">
        <w:rPr>
          <w:lang w:eastAsia="zh-CN"/>
        </w:rPr>
        <w:t>管理</w:t>
      </w:r>
      <w:r w:rsidR="00AF4EDF">
        <w:rPr>
          <w:rFonts w:hint="eastAsia"/>
          <w:lang w:eastAsia="zh-CN"/>
        </w:rPr>
        <w:t>与</w:t>
      </w:r>
      <w:r w:rsidR="00CF63C9" w:rsidRPr="005604A4">
        <w:rPr>
          <w:lang w:eastAsia="zh-CN"/>
        </w:rPr>
        <w:t>企业实施风险管理</w:t>
      </w:r>
      <w:r w:rsidR="00AF4EDF">
        <w:rPr>
          <w:rFonts w:hint="eastAsia"/>
          <w:lang w:eastAsia="zh-CN"/>
        </w:rPr>
        <w:t>的</w:t>
      </w:r>
      <w:r w:rsidR="00CF63C9" w:rsidRPr="005604A4">
        <w:rPr>
          <w:lang w:eastAsia="zh-CN"/>
        </w:rPr>
        <w:t>第三道防线的接口，并响应外部各方（包括外部审计师</w:t>
      </w:r>
      <w:r w:rsidR="00916D67" w:rsidRPr="005604A4">
        <w:rPr>
          <w:lang w:eastAsia="zh-CN"/>
        </w:rPr>
        <w:t>、</w:t>
      </w:r>
      <w:r w:rsidR="00CF63C9" w:rsidRPr="005604A4">
        <w:rPr>
          <w:lang w:eastAsia="zh-CN"/>
        </w:rPr>
        <w:t>联合检查组和捐助方）有关风险管理的</w:t>
      </w:r>
      <w:r w:rsidR="00824D00" w:rsidRPr="005604A4">
        <w:rPr>
          <w:lang w:eastAsia="zh-CN"/>
        </w:rPr>
        <w:t>审议</w:t>
      </w:r>
      <w:r w:rsidR="00CF63C9" w:rsidRPr="005604A4">
        <w:rPr>
          <w:lang w:eastAsia="zh-CN"/>
        </w:rPr>
        <w:t>。</w:t>
      </w:r>
    </w:p>
    <w:p w14:paraId="2B459EF1" w14:textId="3495B999" w:rsidR="008E6A9D" w:rsidRPr="00CF63C9" w:rsidRDefault="00293633" w:rsidP="00293633">
      <w:pPr>
        <w:pStyle w:val="enumlev1"/>
        <w:rPr>
          <w:rFonts w:eastAsia="Times New Roman"/>
          <w:lang w:eastAsia="zh-CN"/>
        </w:rPr>
      </w:pPr>
      <w:r>
        <w:rPr>
          <w:lang w:eastAsia="zh-CN"/>
        </w:rPr>
        <w:t>4)</w:t>
      </w:r>
      <w:r>
        <w:rPr>
          <w:lang w:eastAsia="zh-CN"/>
        </w:rPr>
        <w:tab/>
      </w:r>
      <w:r w:rsidR="00916D67" w:rsidRPr="005604A4">
        <w:rPr>
          <w:lang w:eastAsia="zh-CN"/>
        </w:rPr>
        <w:t>因为第</w:t>
      </w:r>
      <w:r w:rsidR="001115C8">
        <w:fldChar w:fldCharType="begin"/>
      </w:r>
      <w:r w:rsidR="001115C8">
        <w:rPr>
          <w:lang w:eastAsia="zh-CN"/>
        </w:rPr>
        <w:instrText xml:space="preserve"> HYPERLINK "https://www.itu.int/md/S20-CL-C-0015/en" </w:instrText>
      </w:r>
      <w:r w:rsidR="001115C8">
        <w:fldChar w:fldCharType="separate"/>
      </w:r>
      <w:r w:rsidR="00916D67" w:rsidRPr="005604A4">
        <w:rPr>
          <w:rFonts w:eastAsia="Times New Roman"/>
          <w:color w:val="0000FF"/>
          <w:u w:val="single"/>
          <w:lang w:eastAsia="zh-CN"/>
        </w:rPr>
        <w:t>C20/15</w:t>
      </w:r>
      <w:r w:rsidR="001115C8">
        <w:rPr>
          <w:rFonts w:eastAsia="Times New Roman"/>
          <w:color w:val="0000FF"/>
          <w:u w:val="single"/>
          <w:lang w:eastAsia="zh-CN"/>
        </w:rPr>
        <w:fldChar w:fldCharType="end"/>
      </w:r>
      <w:r w:rsidR="00916D67" w:rsidRPr="005604A4">
        <w:rPr>
          <w:lang w:eastAsia="zh-CN"/>
        </w:rPr>
        <w:t>号文</w:t>
      </w:r>
      <w:r w:rsidR="00916D67" w:rsidRPr="009E649F">
        <w:rPr>
          <w:rFonts w:asciiTheme="minorEastAsia" w:eastAsiaTheme="minorEastAsia" w:hAnsiTheme="minorEastAsia"/>
          <w:lang w:eastAsia="zh-CN"/>
        </w:rPr>
        <w:t>件“组织复原力管理系统”</w:t>
      </w:r>
      <w:r w:rsidR="00916D67" w:rsidRPr="005604A4">
        <w:rPr>
          <w:lang w:eastAsia="zh-CN"/>
        </w:rPr>
        <w:t>（</w:t>
      </w:r>
      <w:r w:rsidR="00916D67" w:rsidRPr="005604A4">
        <w:rPr>
          <w:rFonts w:eastAsia="Times New Roman"/>
          <w:lang w:eastAsia="zh-CN"/>
        </w:rPr>
        <w:t>ORMS</w:t>
      </w:r>
      <w:r w:rsidR="00916D67" w:rsidRPr="005604A4">
        <w:rPr>
          <w:lang w:eastAsia="zh-CN"/>
        </w:rPr>
        <w:t>）建议在可用预算范围内设立一个具体的业务风险</w:t>
      </w:r>
      <w:r w:rsidR="009E649F">
        <w:rPr>
          <w:rFonts w:hint="eastAsia"/>
          <w:lang w:eastAsia="zh-CN"/>
        </w:rPr>
        <w:t>管理人员</w:t>
      </w:r>
      <w:r w:rsidR="00916D67" w:rsidRPr="005604A4">
        <w:rPr>
          <w:lang w:eastAsia="zh-CN"/>
        </w:rPr>
        <w:t>职位，因此建议将该职位用于风险和</w:t>
      </w:r>
      <w:r w:rsidR="000E7D80" w:rsidRPr="005604A4">
        <w:rPr>
          <w:lang w:eastAsia="zh-CN"/>
        </w:rPr>
        <w:t>内控</w:t>
      </w:r>
      <w:r w:rsidR="00916D67" w:rsidRPr="005604A4">
        <w:rPr>
          <w:lang w:eastAsia="zh-CN"/>
        </w:rPr>
        <w:t>职能，其活动范围包括业务连续性和危机管理。</w:t>
      </w:r>
      <w:r w:rsidR="008E6A9D" w:rsidRPr="00CF63C9">
        <w:rPr>
          <w:rFonts w:eastAsia="Times New Roman"/>
          <w:lang w:eastAsia="zh-CN"/>
        </w:rPr>
        <w:br w:type="page"/>
      </w:r>
    </w:p>
    <w:p w14:paraId="28EF3D9F" w14:textId="427B0724" w:rsidR="008E6A9D" w:rsidRPr="008E6A9D" w:rsidRDefault="001F77FD" w:rsidP="00F85972">
      <w:pPr>
        <w:pStyle w:val="AnnexNo"/>
        <w:rPr>
          <w:rFonts w:eastAsia="Times New Roman"/>
          <w:lang w:eastAsia="zh-CN"/>
        </w:rPr>
      </w:pPr>
      <w:bookmarkStart w:id="10" w:name="lt_pId097"/>
      <w:r>
        <w:rPr>
          <w:rFonts w:hint="eastAsia"/>
          <w:lang w:eastAsia="zh-CN"/>
        </w:rPr>
        <w:lastRenderedPageBreak/>
        <w:t>附件</w:t>
      </w:r>
      <w:r w:rsidR="008E6A9D" w:rsidRPr="008E6A9D">
        <w:rPr>
          <w:rFonts w:eastAsia="Times New Roman"/>
          <w:lang w:eastAsia="zh-CN"/>
        </w:rPr>
        <w:t>A</w:t>
      </w:r>
      <w:bookmarkEnd w:id="10"/>
    </w:p>
    <w:p w14:paraId="7D1BCDD5" w14:textId="0808EDE6" w:rsidR="008E6A9D" w:rsidRPr="008E6A9D" w:rsidRDefault="001F77FD" w:rsidP="00F85972">
      <w:pPr>
        <w:pStyle w:val="Annextitle"/>
        <w:rPr>
          <w:rFonts w:eastAsia="Times New Roman"/>
          <w:lang w:eastAsia="zh-CN"/>
        </w:rPr>
      </w:pPr>
      <w:r>
        <w:rPr>
          <w:rFonts w:hint="eastAsia"/>
          <w:lang w:eastAsia="zh-CN"/>
        </w:rPr>
        <w:t>国际电联</w:t>
      </w:r>
      <w:r>
        <w:rPr>
          <w:rFonts w:eastAsia="Times New Roman"/>
          <w:lang w:eastAsia="zh-CN"/>
        </w:rPr>
        <w:t>2020</w:t>
      </w:r>
      <w:r>
        <w:rPr>
          <w:rFonts w:hint="eastAsia"/>
          <w:lang w:eastAsia="zh-CN"/>
        </w:rPr>
        <w:t>年风险管理政策</w:t>
      </w:r>
    </w:p>
    <w:p w14:paraId="2EB452C0" w14:textId="08F04F40" w:rsidR="008E6A9D" w:rsidRPr="008E6A9D" w:rsidRDefault="008E6A9D" w:rsidP="00F85972">
      <w:pPr>
        <w:pStyle w:val="Heading1"/>
        <w:rPr>
          <w:lang w:eastAsia="zh-CN"/>
        </w:rPr>
      </w:pPr>
      <w:r w:rsidRPr="008E6A9D">
        <w:rPr>
          <w:lang w:eastAsia="zh-CN"/>
        </w:rPr>
        <w:t>1</w:t>
      </w:r>
      <w:r w:rsidRPr="008E6A9D">
        <w:rPr>
          <w:lang w:eastAsia="zh-CN"/>
        </w:rPr>
        <w:tab/>
      </w:r>
      <w:r w:rsidR="00B30C23">
        <w:rPr>
          <w:rFonts w:ascii="SimSun" w:hAnsi="SimSun" w:cs="SimSun" w:hint="eastAsia"/>
          <w:lang w:eastAsia="zh-CN"/>
        </w:rPr>
        <w:t>引言</w:t>
      </w:r>
    </w:p>
    <w:p w14:paraId="56D758A7" w14:textId="061D02C0" w:rsidR="008E6A9D" w:rsidRPr="008E6A9D" w:rsidRDefault="008E6A9D" w:rsidP="00F85972">
      <w:pPr>
        <w:pStyle w:val="Heading2"/>
        <w:rPr>
          <w:rFonts w:asciiTheme="minorHAnsi" w:eastAsia="Times New Roman" w:hAnsiTheme="minorHAnsi"/>
          <w:lang w:eastAsia="zh-CN"/>
        </w:rPr>
      </w:pPr>
      <w:r w:rsidRPr="008E6A9D">
        <w:rPr>
          <w:rFonts w:asciiTheme="minorHAnsi" w:eastAsia="Times New Roman" w:hAnsiTheme="minorHAnsi"/>
          <w:lang w:eastAsia="zh-CN"/>
        </w:rPr>
        <w:t>1.1</w:t>
      </w:r>
      <w:r w:rsidRPr="008E6A9D">
        <w:rPr>
          <w:rFonts w:asciiTheme="minorHAnsi" w:eastAsia="Times New Roman" w:hAnsiTheme="minorHAnsi"/>
          <w:lang w:eastAsia="zh-CN"/>
        </w:rPr>
        <w:tab/>
      </w:r>
      <w:r w:rsidR="00972954">
        <w:rPr>
          <w:rFonts w:hint="eastAsia"/>
          <w:lang w:eastAsia="zh-CN"/>
        </w:rPr>
        <w:t>国际电联的使命和总体战略目标</w:t>
      </w:r>
    </w:p>
    <w:p w14:paraId="1E70F4C2" w14:textId="32DB5D6A" w:rsidR="008E6A9D" w:rsidRPr="00F1274A" w:rsidRDefault="00B30C23" w:rsidP="00F85972">
      <w:pPr>
        <w:ind w:firstLineChars="200" w:firstLine="480"/>
        <w:rPr>
          <w:rFonts w:asciiTheme="minorHAnsi" w:eastAsia="Times New Roman" w:hAnsiTheme="minorHAnsi" w:cstheme="minorHAnsi"/>
          <w:color w:val="0D0D0D" w:themeColor="text1" w:themeTint="F2"/>
          <w:lang w:eastAsia="zh-CN"/>
        </w:rPr>
      </w:pPr>
      <w:bookmarkStart w:id="11" w:name="lt_pId103"/>
      <w:r w:rsidRPr="00406A87">
        <w:rPr>
          <w:rFonts w:ascii="STKaiti" w:hAnsi="STKaiti" w:hint="eastAsia"/>
          <w:lang w:eastAsia="zh-CN"/>
        </w:rPr>
        <w:t>国际电联的</w:t>
      </w:r>
      <w:r w:rsidR="009439CF" w:rsidRPr="00406A87">
        <w:rPr>
          <w:rFonts w:ascii="STKaiti" w:hAnsi="STKaiti" w:hint="eastAsia"/>
          <w:lang w:eastAsia="zh-CN"/>
        </w:rPr>
        <w:t>使命是</w:t>
      </w:r>
      <w:r w:rsidR="00E46E0A" w:rsidRPr="00406A87">
        <w:rPr>
          <w:rFonts w:ascii="STKaiti" w:hAnsi="STKaiti" w:hint="eastAsia"/>
          <w:lang w:eastAsia="zh-CN"/>
        </w:rPr>
        <w:t>“</w:t>
      </w:r>
      <w:r w:rsidR="00E46E0A" w:rsidRPr="00F85972">
        <w:rPr>
          <w:rFonts w:ascii="STKaiti" w:eastAsia="STKaiti" w:hAnsi="STKaiti" w:hint="eastAsia"/>
          <w:lang w:eastAsia="zh-CN"/>
        </w:rPr>
        <w:t>推动、推进并促进对电信/信息通信技术网络、服务和应用的价格可承受的普遍接入，并将其用于社会、经济和在环境方面具有可持续性的增长和发展</w:t>
      </w:r>
      <w:r w:rsidR="00E46E0A" w:rsidRPr="00406A87">
        <w:rPr>
          <w:rFonts w:hint="eastAsia"/>
          <w:lang w:eastAsia="zh-CN"/>
        </w:rPr>
        <w:t>。</w:t>
      </w:r>
      <w:r w:rsidR="00E46E0A" w:rsidRPr="00406A87">
        <w:rPr>
          <w:rFonts w:ascii="STKaiti" w:hAnsi="STKaiti" w:hint="eastAsia"/>
          <w:lang w:eastAsia="zh-CN"/>
        </w:rPr>
        <w:t>”</w:t>
      </w:r>
      <w:r w:rsidR="009439CF" w:rsidRPr="00F1274A">
        <w:rPr>
          <w:rFonts w:asciiTheme="minorHAnsi" w:hAnsiTheme="minorHAnsi" w:cstheme="minorHAnsi"/>
          <w:bCs/>
          <w:color w:val="0D0D0D" w:themeColor="text1" w:themeTint="F2"/>
          <w:lang w:eastAsia="zh-CN"/>
        </w:rPr>
        <w:t>（第</w:t>
      </w:r>
      <w:r w:rsidR="009439CF" w:rsidRPr="00F1274A">
        <w:rPr>
          <w:rFonts w:asciiTheme="minorHAnsi" w:hAnsiTheme="minorHAnsi" w:cstheme="minorHAnsi"/>
          <w:bCs/>
          <w:color w:val="0D0D0D" w:themeColor="text1" w:themeTint="F2"/>
          <w:lang w:eastAsia="zh-CN"/>
        </w:rPr>
        <w:t>71</w:t>
      </w:r>
      <w:r w:rsidR="009439CF" w:rsidRPr="00F1274A">
        <w:rPr>
          <w:rFonts w:asciiTheme="minorHAnsi" w:hAnsiTheme="minorHAnsi" w:cstheme="minorHAnsi"/>
          <w:bCs/>
          <w:color w:val="0D0D0D" w:themeColor="text1" w:themeTint="F2"/>
          <w:lang w:eastAsia="zh-CN"/>
        </w:rPr>
        <w:t>号决议（</w:t>
      </w:r>
      <w:r w:rsidR="009439CF" w:rsidRPr="00F1274A">
        <w:rPr>
          <w:rFonts w:asciiTheme="minorHAnsi" w:hAnsiTheme="minorHAnsi" w:cstheme="minorHAnsi"/>
          <w:bCs/>
          <w:color w:val="0D0D0D" w:themeColor="text1" w:themeTint="F2"/>
          <w:lang w:eastAsia="zh-CN"/>
        </w:rPr>
        <w:t>2018</w:t>
      </w:r>
      <w:r w:rsidR="009439CF" w:rsidRPr="00F1274A">
        <w:rPr>
          <w:rFonts w:asciiTheme="minorHAnsi" w:hAnsiTheme="minorHAnsi" w:cstheme="minorHAnsi"/>
          <w:bCs/>
          <w:color w:val="0D0D0D" w:themeColor="text1" w:themeTint="F2"/>
          <w:lang w:eastAsia="zh-CN"/>
        </w:rPr>
        <w:t>年，迪拜，修订版）附件</w:t>
      </w:r>
      <w:r w:rsidR="009439CF" w:rsidRPr="00F1274A">
        <w:rPr>
          <w:rFonts w:asciiTheme="minorHAnsi" w:hAnsiTheme="minorHAnsi" w:cstheme="minorHAnsi"/>
          <w:bCs/>
          <w:color w:val="0D0D0D" w:themeColor="text1" w:themeTint="F2"/>
          <w:lang w:eastAsia="zh-CN"/>
        </w:rPr>
        <w:t>1</w:t>
      </w:r>
      <w:r w:rsidR="009439CF" w:rsidRPr="00F1274A">
        <w:rPr>
          <w:rFonts w:asciiTheme="minorHAnsi" w:hAnsiTheme="minorHAnsi" w:cstheme="minorHAnsi"/>
          <w:bCs/>
          <w:color w:val="0D0D0D" w:themeColor="text1" w:themeTint="F2"/>
          <w:lang w:eastAsia="zh-CN"/>
        </w:rPr>
        <w:t>）</w:t>
      </w:r>
      <w:bookmarkEnd w:id="11"/>
      <w:r w:rsidR="00F85972" w:rsidRPr="00F1274A">
        <w:rPr>
          <w:rFonts w:asciiTheme="minorHAnsi" w:hAnsiTheme="minorHAnsi" w:cstheme="minorHAnsi"/>
          <w:bCs/>
          <w:color w:val="0D0D0D" w:themeColor="text1" w:themeTint="F2"/>
          <w:lang w:eastAsia="zh-CN"/>
        </w:rPr>
        <w:t>。</w:t>
      </w:r>
    </w:p>
    <w:p w14:paraId="6E6A7424" w14:textId="1933F000" w:rsidR="008E6A9D" w:rsidRPr="00406A87" w:rsidRDefault="009439CF" w:rsidP="00F85972">
      <w:pPr>
        <w:ind w:firstLineChars="200" w:firstLine="480"/>
        <w:rPr>
          <w:rFonts w:eastAsia="Times New Roman"/>
          <w:lang w:eastAsia="zh-CN"/>
        </w:rPr>
      </w:pPr>
      <w:r w:rsidRPr="00406A87">
        <w:rPr>
          <w:rFonts w:hint="eastAsia"/>
          <w:lang w:eastAsia="zh-CN"/>
        </w:rPr>
        <w:t>国际电联致力于通过以下五个总体战略目标实现其使命：</w:t>
      </w:r>
    </w:p>
    <w:p w14:paraId="04F675BA" w14:textId="496AA089"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1</w:t>
      </w:r>
      <w:r w:rsidR="00E46E0A" w:rsidRPr="00406A87">
        <w:rPr>
          <w:rFonts w:hint="eastAsia"/>
          <w:lang w:eastAsia="zh-CN"/>
        </w:rPr>
        <w:t>：增长</w:t>
      </w:r>
      <w:r w:rsidR="00E46E0A" w:rsidRPr="00406A87">
        <w:rPr>
          <w:lang w:eastAsia="zh-CN"/>
        </w:rPr>
        <w:t xml:space="preserve"> – </w:t>
      </w:r>
      <w:r w:rsidR="00E46E0A" w:rsidRPr="00406A87">
        <w:rPr>
          <w:rFonts w:hint="eastAsia"/>
          <w:lang w:eastAsia="zh-CN"/>
        </w:rPr>
        <w:t>为支持数字经济和社会，促成并推进电信</w:t>
      </w:r>
      <w:r w:rsidR="00E46E0A" w:rsidRPr="00406A87">
        <w:rPr>
          <w:lang w:eastAsia="zh-CN"/>
        </w:rPr>
        <w:t>/</w:t>
      </w:r>
      <w:proofErr w:type="gramStart"/>
      <w:r w:rsidR="00E46E0A" w:rsidRPr="00406A87">
        <w:rPr>
          <w:lang w:eastAsia="zh-CN"/>
        </w:rPr>
        <w:t>ICT</w:t>
      </w:r>
      <w:r w:rsidR="00E46E0A" w:rsidRPr="00406A87">
        <w:rPr>
          <w:rFonts w:hint="eastAsia"/>
          <w:lang w:eastAsia="zh-CN"/>
        </w:rPr>
        <w:t>的获取并加强其使用</w:t>
      </w:r>
      <w:r w:rsidR="009439CF" w:rsidRPr="00406A87">
        <w:rPr>
          <w:rFonts w:hint="eastAsia"/>
          <w:lang w:eastAsia="zh-CN"/>
        </w:rPr>
        <w:t>；</w:t>
      </w:r>
      <w:proofErr w:type="gramEnd"/>
    </w:p>
    <w:p w14:paraId="7E0F22BB" w14:textId="1A9D87D5"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2</w:t>
      </w:r>
      <w:r w:rsidR="00E46E0A" w:rsidRPr="00406A87">
        <w:rPr>
          <w:rFonts w:hint="eastAsia"/>
          <w:lang w:eastAsia="zh-CN"/>
        </w:rPr>
        <w:t>：包容性</w:t>
      </w:r>
      <w:r w:rsidR="00E46E0A" w:rsidRPr="00406A87">
        <w:rPr>
          <w:lang w:eastAsia="zh-CN"/>
        </w:rPr>
        <w:t xml:space="preserve"> – </w:t>
      </w:r>
      <w:r w:rsidR="00E46E0A" w:rsidRPr="00406A87">
        <w:rPr>
          <w:rFonts w:hint="eastAsia"/>
          <w:lang w:eastAsia="zh-CN"/>
        </w:rPr>
        <w:t>弥合数字鸿沟，</w:t>
      </w:r>
      <w:proofErr w:type="gramStart"/>
      <w:r w:rsidR="00E46E0A" w:rsidRPr="00406A87">
        <w:rPr>
          <w:rFonts w:hint="eastAsia"/>
          <w:lang w:eastAsia="zh-CN"/>
        </w:rPr>
        <w:t>为所有人提供宽带接入</w:t>
      </w:r>
      <w:r w:rsidR="009439CF" w:rsidRPr="00406A87">
        <w:rPr>
          <w:rFonts w:hint="eastAsia"/>
          <w:lang w:eastAsia="zh-CN"/>
        </w:rPr>
        <w:t>；</w:t>
      </w:r>
      <w:proofErr w:type="gramEnd"/>
    </w:p>
    <w:p w14:paraId="25B448AF" w14:textId="2870A49D"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3</w:t>
      </w:r>
      <w:r w:rsidR="00E46E0A" w:rsidRPr="00406A87">
        <w:rPr>
          <w:rFonts w:hint="eastAsia"/>
          <w:lang w:eastAsia="zh-CN"/>
        </w:rPr>
        <w:t>：可持续性</w:t>
      </w:r>
      <w:r w:rsidR="00E46E0A" w:rsidRPr="00406A87">
        <w:rPr>
          <w:lang w:eastAsia="zh-CN"/>
        </w:rPr>
        <w:t xml:space="preserve"> – </w:t>
      </w:r>
      <w:r w:rsidR="00E46E0A" w:rsidRPr="00406A87">
        <w:rPr>
          <w:rFonts w:hint="eastAsia"/>
          <w:lang w:eastAsia="zh-CN"/>
        </w:rPr>
        <w:t>管理电信</w:t>
      </w:r>
      <w:r w:rsidR="00E46E0A" w:rsidRPr="00406A87">
        <w:rPr>
          <w:lang w:eastAsia="zh-CN"/>
        </w:rPr>
        <w:t>/ICT</w:t>
      </w:r>
      <w:r w:rsidR="00E46E0A" w:rsidRPr="00406A87">
        <w:rPr>
          <w:rFonts w:hint="eastAsia"/>
          <w:lang w:eastAsia="zh-CN"/>
        </w:rPr>
        <w:t>迅速发展带来的新风险、</w:t>
      </w:r>
      <w:proofErr w:type="gramStart"/>
      <w:r w:rsidR="00E46E0A" w:rsidRPr="00406A87">
        <w:rPr>
          <w:rFonts w:hint="eastAsia"/>
          <w:lang w:eastAsia="zh-CN"/>
        </w:rPr>
        <w:t>挑战和机遇</w:t>
      </w:r>
      <w:r w:rsidR="009439CF" w:rsidRPr="00406A87">
        <w:rPr>
          <w:rFonts w:hint="eastAsia"/>
          <w:lang w:eastAsia="zh-CN"/>
        </w:rPr>
        <w:t>；</w:t>
      </w:r>
      <w:proofErr w:type="gramEnd"/>
    </w:p>
    <w:p w14:paraId="10553905" w14:textId="0467D14A" w:rsidR="008E6A9D" w:rsidRPr="00406A87" w:rsidRDefault="00F85972" w:rsidP="00F85972">
      <w:pPr>
        <w:pStyle w:val="enumlev1"/>
        <w:rPr>
          <w:rFonts w:eastAsia="Times New Roman"/>
          <w:lang w:eastAsia="zh-CN"/>
        </w:rPr>
      </w:pPr>
      <w:r>
        <w:rPr>
          <w:lang w:eastAsia="zh-CN"/>
        </w:rPr>
        <w:t>–</w:t>
      </w:r>
      <w:r>
        <w:rPr>
          <w:lang w:eastAsia="zh-CN"/>
        </w:rPr>
        <w:tab/>
      </w:r>
      <w:r w:rsidR="00E46E0A" w:rsidRPr="00406A87">
        <w:rPr>
          <w:rFonts w:hint="eastAsia"/>
          <w:lang w:eastAsia="zh-CN"/>
        </w:rPr>
        <w:t>总体目标</w:t>
      </w:r>
      <w:r w:rsidR="00E46E0A" w:rsidRPr="00406A87">
        <w:rPr>
          <w:lang w:eastAsia="zh-CN"/>
        </w:rPr>
        <w:t>4</w:t>
      </w:r>
      <w:r w:rsidR="00E46E0A" w:rsidRPr="00406A87">
        <w:rPr>
          <w:rFonts w:hint="eastAsia"/>
          <w:lang w:eastAsia="zh-CN"/>
        </w:rPr>
        <w:t>：创新</w:t>
      </w:r>
      <w:r w:rsidR="00E46E0A" w:rsidRPr="00406A87">
        <w:rPr>
          <w:lang w:eastAsia="zh-CN"/>
        </w:rPr>
        <w:t xml:space="preserve"> – </w:t>
      </w:r>
      <w:r w:rsidR="00E46E0A" w:rsidRPr="00406A87">
        <w:rPr>
          <w:rFonts w:hint="eastAsia"/>
          <w:lang w:eastAsia="zh-CN"/>
        </w:rPr>
        <w:t>为支持社会数字变革促进电信</w:t>
      </w:r>
      <w:r w:rsidR="00E46E0A" w:rsidRPr="00406A87">
        <w:rPr>
          <w:lang w:eastAsia="zh-CN"/>
        </w:rPr>
        <w:t>/</w:t>
      </w:r>
      <w:proofErr w:type="gramStart"/>
      <w:r w:rsidR="00E46E0A" w:rsidRPr="00406A87">
        <w:rPr>
          <w:lang w:eastAsia="zh-CN"/>
        </w:rPr>
        <w:t>ICT</w:t>
      </w:r>
      <w:r w:rsidR="00E46E0A" w:rsidRPr="00406A87">
        <w:rPr>
          <w:rFonts w:hint="eastAsia"/>
          <w:lang w:eastAsia="zh-CN"/>
        </w:rPr>
        <w:t>的创新</w:t>
      </w:r>
      <w:r w:rsidR="009439CF" w:rsidRPr="00406A87">
        <w:rPr>
          <w:rFonts w:hint="eastAsia"/>
          <w:lang w:eastAsia="zh-CN"/>
        </w:rPr>
        <w:t>；</w:t>
      </w:r>
      <w:proofErr w:type="gramEnd"/>
    </w:p>
    <w:p w14:paraId="30792752" w14:textId="1DD4A47B" w:rsidR="008E6A9D" w:rsidRPr="00406A87" w:rsidRDefault="00F85972" w:rsidP="00F85972">
      <w:pPr>
        <w:pStyle w:val="enumlev1"/>
        <w:rPr>
          <w:rFonts w:eastAsia="Times New Roman"/>
          <w:lang w:eastAsia="zh-CN"/>
        </w:rPr>
      </w:pPr>
      <w:bookmarkStart w:id="12" w:name="lt_pId109"/>
      <w:r>
        <w:rPr>
          <w:lang w:eastAsia="zh-CN"/>
        </w:rPr>
        <w:t>–</w:t>
      </w:r>
      <w:r>
        <w:rPr>
          <w:lang w:eastAsia="zh-CN"/>
        </w:rPr>
        <w:tab/>
      </w:r>
      <w:r w:rsidR="00E46E0A" w:rsidRPr="00406A87">
        <w:rPr>
          <w:rFonts w:hint="eastAsia"/>
          <w:bCs/>
          <w:lang w:eastAsia="zh-CN"/>
        </w:rPr>
        <w:t>总体目标</w:t>
      </w:r>
      <w:r w:rsidR="00E46E0A" w:rsidRPr="00406A87">
        <w:rPr>
          <w:rFonts w:eastAsia="Calibri" w:cs="Arial"/>
          <w:lang w:val="en-US" w:eastAsia="zh-CN"/>
        </w:rPr>
        <w:t>5</w:t>
      </w:r>
      <w:r w:rsidR="00E46E0A" w:rsidRPr="00406A87">
        <w:rPr>
          <w:rFonts w:ascii="SimSun" w:hAnsi="SimSun" w:cs="Arial" w:hint="eastAsia"/>
          <w:lang w:val="en-US" w:eastAsia="zh-CN"/>
        </w:rPr>
        <w:t>：</w:t>
      </w:r>
      <w:r w:rsidR="00E46E0A" w:rsidRPr="00406A87">
        <w:rPr>
          <w:rFonts w:hint="eastAsia"/>
          <w:lang w:val="en-US" w:eastAsia="zh-CN"/>
        </w:rPr>
        <w:t>伙伴关系</w:t>
      </w:r>
      <w:r w:rsidR="00E46E0A" w:rsidRPr="00406A87">
        <w:rPr>
          <w:lang w:val="en-US" w:eastAsia="zh-CN"/>
        </w:rPr>
        <w:t xml:space="preserve"> </w:t>
      </w:r>
      <w:r w:rsidR="00E46E0A" w:rsidRPr="00406A87">
        <w:rPr>
          <w:lang w:eastAsia="zh-CN"/>
        </w:rPr>
        <w:t xml:space="preserve">– </w:t>
      </w:r>
      <w:r w:rsidR="00E46E0A" w:rsidRPr="00406A87">
        <w:rPr>
          <w:rFonts w:hint="eastAsia"/>
          <w:lang w:val="en-US" w:eastAsia="zh-CN"/>
        </w:rPr>
        <w:t>加强国际电联成员与所有其他利益攸关方的合作，以便为国际电联的所有总体战略目标提供支持</w:t>
      </w:r>
      <w:bookmarkEnd w:id="12"/>
      <w:r w:rsidR="009439CF" w:rsidRPr="009831DC">
        <w:rPr>
          <w:rFonts w:ascii="SimSun" w:hAnsi="SimSun" w:cs="SimSun" w:hint="eastAsia"/>
          <w:b/>
          <w:color w:val="000000" w:themeColor="text1"/>
          <w:lang w:eastAsia="zh-CN"/>
        </w:rPr>
        <w:t>。</w:t>
      </w:r>
    </w:p>
    <w:p w14:paraId="32E6389A" w14:textId="6A9FA4B9" w:rsidR="008E6A9D" w:rsidRPr="008E6A9D" w:rsidRDefault="008E6A9D" w:rsidP="00F85972">
      <w:pPr>
        <w:pStyle w:val="Heading2"/>
        <w:rPr>
          <w:rFonts w:asciiTheme="minorHAnsi" w:eastAsia="Times New Roman" w:hAnsiTheme="minorHAnsi"/>
          <w:lang w:eastAsia="zh-CN"/>
        </w:rPr>
      </w:pPr>
      <w:r w:rsidRPr="008E6A9D">
        <w:rPr>
          <w:rFonts w:asciiTheme="minorHAnsi" w:eastAsia="Times New Roman" w:hAnsiTheme="minorHAnsi"/>
          <w:lang w:eastAsia="zh-CN"/>
        </w:rPr>
        <w:t>1.2</w:t>
      </w:r>
      <w:r w:rsidRPr="008E6A9D">
        <w:rPr>
          <w:rFonts w:asciiTheme="minorHAnsi" w:eastAsia="Times New Roman" w:hAnsiTheme="minorHAnsi"/>
          <w:lang w:eastAsia="zh-CN"/>
        </w:rPr>
        <w:tab/>
      </w:r>
      <w:r w:rsidR="0034682F">
        <w:rPr>
          <w:rFonts w:hint="eastAsia"/>
          <w:lang w:eastAsia="zh-CN"/>
        </w:rPr>
        <w:t>国际电联风险管理政策的目的和</w:t>
      </w:r>
      <w:r w:rsidR="00F33A5F">
        <w:rPr>
          <w:rFonts w:hint="eastAsia"/>
          <w:lang w:eastAsia="zh-CN"/>
        </w:rPr>
        <w:t>部门</w:t>
      </w:r>
      <w:r w:rsidR="0034682F">
        <w:rPr>
          <w:rFonts w:hint="eastAsia"/>
          <w:lang w:eastAsia="zh-CN"/>
        </w:rPr>
        <w:t>目标</w:t>
      </w:r>
    </w:p>
    <w:p w14:paraId="622DD51E" w14:textId="2FEDA587" w:rsidR="00931722" w:rsidRPr="00931722" w:rsidRDefault="00AA4845" w:rsidP="00F85972">
      <w:pPr>
        <w:ind w:firstLineChars="200" w:firstLine="480"/>
        <w:rPr>
          <w:rFonts w:eastAsia="Times New Roman"/>
          <w:lang w:eastAsia="zh-CN"/>
        </w:rPr>
      </w:pPr>
      <w:r>
        <w:rPr>
          <w:rFonts w:hint="eastAsia"/>
          <w:lang w:eastAsia="zh-CN"/>
        </w:rPr>
        <w:t>一个</w:t>
      </w:r>
      <w:r w:rsidR="00931722" w:rsidRPr="00931722">
        <w:rPr>
          <w:rFonts w:hint="eastAsia"/>
          <w:lang w:eastAsia="zh-CN"/>
        </w:rPr>
        <w:t>组织问责制框架的关键要素</w:t>
      </w:r>
      <w:r>
        <w:rPr>
          <w:rFonts w:hint="eastAsia"/>
          <w:lang w:eastAsia="zh-CN"/>
        </w:rPr>
        <w:t>在于稳健</w:t>
      </w:r>
      <w:r w:rsidR="00931722" w:rsidRPr="00931722">
        <w:rPr>
          <w:rFonts w:hint="eastAsia"/>
          <w:lang w:eastAsia="zh-CN"/>
        </w:rPr>
        <w:t>的风险管理和</w:t>
      </w:r>
      <w:r w:rsidR="000E7D80">
        <w:rPr>
          <w:rFonts w:hint="eastAsia"/>
          <w:lang w:eastAsia="zh-CN"/>
        </w:rPr>
        <w:t>内控</w:t>
      </w:r>
      <w:r w:rsidR="00931722" w:rsidRPr="00931722">
        <w:rPr>
          <w:rFonts w:hint="eastAsia"/>
          <w:lang w:eastAsia="zh-CN"/>
        </w:rPr>
        <w:t>系统。</w:t>
      </w:r>
      <w:r>
        <w:rPr>
          <w:rFonts w:hint="eastAsia"/>
          <w:lang w:eastAsia="zh-CN"/>
        </w:rPr>
        <w:t>本</w:t>
      </w:r>
      <w:r w:rsidR="00931722" w:rsidRPr="00931722">
        <w:rPr>
          <w:rFonts w:hint="eastAsia"/>
          <w:lang w:eastAsia="zh-CN"/>
        </w:rPr>
        <w:t>政策</w:t>
      </w:r>
      <w:r w:rsidR="00A12B14" w:rsidRPr="00931722">
        <w:rPr>
          <w:rFonts w:hint="eastAsia"/>
          <w:lang w:eastAsia="zh-CN"/>
        </w:rPr>
        <w:t>以一致且面向业务的方式</w:t>
      </w:r>
      <w:r w:rsidR="00A12B14">
        <w:rPr>
          <w:rFonts w:hint="eastAsia"/>
          <w:lang w:eastAsia="zh-CN"/>
        </w:rPr>
        <w:t>陈述</w:t>
      </w:r>
      <w:r w:rsidR="00931722" w:rsidRPr="00931722">
        <w:rPr>
          <w:rFonts w:hint="eastAsia"/>
          <w:lang w:eastAsia="zh-CN"/>
        </w:rPr>
        <w:t>了国际电联管理风险和控制</w:t>
      </w:r>
      <w:r w:rsidR="00A36D76">
        <w:rPr>
          <w:rFonts w:hint="eastAsia"/>
          <w:lang w:eastAsia="zh-CN"/>
        </w:rPr>
        <w:t>措施</w:t>
      </w:r>
      <w:r w:rsidR="00931722" w:rsidRPr="00931722">
        <w:rPr>
          <w:rFonts w:hint="eastAsia"/>
          <w:lang w:eastAsia="zh-CN"/>
        </w:rPr>
        <w:t>的方法，以支持实现</w:t>
      </w:r>
      <w:r>
        <w:rPr>
          <w:rFonts w:hint="eastAsia"/>
          <w:lang w:eastAsia="zh-CN"/>
        </w:rPr>
        <w:t>国际电</w:t>
      </w:r>
      <w:proofErr w:type="gramStart"/>
      <w:r>
        <w:rPr>
          <w:rFonts w:hint="eastAsia"/>
          <w:lang w:eastAsia="zh-CN"/>
        </w:rPr>
        <w:t>联总体</w:t>
      </w:r>
      <w:proofErr w:type="gramEnd"/>
      <w:r w:rsidR="00931722" w:rsidRPr="00931722">
        <w:rPr>
          <w:rFonts w:hint="eastAsia"/>
          <w:lang w:eastAsia="zh-CN"/>
        </w:rPr>
        <w:t>战略目标</w:t>
      </w:r>
      <w:r>
        <w:rPr>
          <w:rFonts w:hint="eastAsia"/>
          <w:lang w:eastAsia="zh-CN"/>
        </w:rPr>
        <w:t>、</w:t>
      </w:r>
      <w:r w:rsidR="00931722" w:rsidRPr="00931722">
        <w:rPr>
          <w:rFonts w:hint="eastAsia"/>
          <w:lang w:eastAsia="zh-CN"/>
        </w:rPr>
        <w:t>预期成果和项目</w:t>
      </w:r>
      <w:r>
        <w:rPr>
          <w:rFonts w:hint="eastAsia"/>
          <w:lang w:eastAsia="zh-CN"/>
        </w:rPr>
        <w:t>目标</w:t>
      </w:r>
      <w:r w:rsidR="00931722" w:rsidRPr="00931722">
        <w:rPr>
          <w:rFonts w:hint="eastAsia"/>
          <w:lang w:eastAsia="zh-CN"/>
        </w:rPr>
        <w:t>。</w:t>
      </w:r>
    </w:p>
    <w:p w14:paraId="1A06EDB3" w14:textId="55FFE080" w:rsidR="00AA4845" w:rsidRPr="0067720F" w:rsidRDefault="00AA4845" w:rsidP="00F85972">
      <w:pPr>
        <w:ind w:firstLineChars="200" w:firstLine="480"/>
        <w:rPr>
          <w:rFonts w:eastAsiaTheme="minorEastAsia"/>
          <w:lang w:eastAsia="zh-CN"/>
        </w:rPr>
      </w:pPr>
      <w:r w:rsidRPr="00931722">
        <w:rPr>
          <w:rFonts w:hint="eastAsia"/>
          <w:lang w:eastAsia="zh-CN"/>
        </w:rPr>
        <w:t>《风险管理手册》涵盖了国际电</w:t>
      </w:r>
      <w:proofErr w:type="gramStart"/>
      <w:r w:rsidRPr="00931722">
        <w:rPr>
          <w:rFonts w:hint="eastAsia"/>
          <w:lang w:eastAsia="zh-CN"/>
        </w:rPr>
        <w:t>联风险</w:t>
      </w:r>
      <w:proofErr w:type="gramEnd"/>
      <w:r w:rsidRPr="00931722">
        <w:rPr>
          <w:rFonts w:hint="eastAsia"/>
          <w:lang w:eastAsia="zh-CN"/>
        </w:rPr>
        <w:t>和控制管理的日常</w:t>
      </w:r>
      <w:r w:rsidR="00B627D9">
        <w:rPr>
          <w:rFonts w:hint="eastAsia"/>
          <w:lang w:eastAsia="zh-CN"/>
        </w:rPr>
        <w:t>运作</w:t>
      </w:r>
      <w:r w:rsidRPr="00931722">
        <w:rPr>
          <w:rFonts w:hint="eastAsia"/>
          <w:lang w:eastAsia="zh-CN"/>
        </w:rPr>
        <w:t>细节，是对本政策文件的补充。这两</w:t>
      </w:r>
      <w:r w:rsidRPr="0067720F">
        <w:rPr>
          <w:rFonts w:hint="eastAsia"/>
          <w:lang w:eastAsia="zh-CN"/>
        </w:rPr>
        <w:t>份文件以及风险偏好政策</w:t>
      </w:r>
      <w:r w:rsidR="00611332" w:rsidRPr="0067720F">
        <w:rPr>
          <w:rFonts w:hint="eastAsia"/>
          <w:lang w:eastAsia="zh-CN"/>
        </w:rPr>
        <w:t>构成</w:t>
      </w:r>
      <w:r w:rsidRPr="0067720F">
        <w:rPr>
          <w:rFonts w:hint="eastAsia"/>
          <w:lang w:eastAsia="zh-CN"/>
        </w:rPr>
        <w:t>了国际电联的风险管理框架。</w:t>
      </w:r>
    </w:p>
    <w:p w14:paraId="53297121" w14:textId="5F7FDBF1" w:rsidR="008E6A9D" w:rsidRPr="0067720F" w:rsidRDefault="00540A7B" w:rsidP="00F85972">
      <w:pPr>
        <w:ind w:firstLineChars="200" w:firstLine="480"/>
        <w:rPr>
          <w:lang w:eastAsia="zh-CN"/>
        </w:rPr>
      </w:pPr>
      <w:r w:rsidRPr="0067720F">
        <w:rPr>
          <w:rFonts w:hint="eastAsia"/>
          <w:lang w:eastAsia="zh-CN"/>
        </w:rPr>
        <w:t>国际电</w:t>
      </w:r>
      <w:proofErr w:type="gramStart"/>
      <w:r w:rsidRPr="0067720F">
        <w:rPr>
          <w:rFonts w:hint="eastAsia"/>
          <w:lang w:eastAsia="zh-CN"/>
        </w:rPr>
        <w:t>联</w:t>
      </w:r>
      <w:r w:rsidRPr="0067720F">
        <w:rPr>
          <w:lang w:eastAsia="zh-CN"/>
        </w:rPr>
        <w:t>风险</w:t>
      </w:r>
      <w:proofErr w:type="gramEnd"/>
      <w:r w:rsidRPr="0067720F">
        <w:rPr>
          <w:lang w:eastAsia="zh-CN"/>
        </w:rPr>
        <w:t>管理政策的</w:t>
      </w:r>
      <w:r w:rsidR="0034682F" w:rsidRPr="0067720F">
        <w:rPr>
          <w:rFonts w:hint="eastAsia"/>
          <w:lang w:eastAsia="zh-CN"/>
        </w:rPr>
        <w:t>主要</w:t>
      </w:r>
      <w:r w:rsidR="00BB79C8">
        <w:rPr>
          <w:rFonts w:hint="eastAsia"/>
          <w:lang w:eastAsia="zh-CN"/>
        </w:rPr>
        <w:t>部门</w:t>
      </w:r>
      <w:r w:rsidRPr="0067720F">
        <w:rPr>
          <w:lang w:eastAsia="zh-CN"/>
        </w:rPr>
        <w:t>目标</w:t>
      </w:r>
      <w:r w:rsidR="0034682F" w:rsidRPr="0067720F">
        <w:rPr>
          <w:rFonts w:hint="eastAsia"/>
          <w:lang w:eastAsia="zh-CN"/>
        </w:rPr>
        <w:t>如下：</w:t>
      </w:r>
    </w:p>
    <w:p w14:paraId="77E5F0CD" w14:textId="14721910" w:rsidR="008E6A9D" w:rsidRPr="00F85972" w:rsidRDefault="00F85972" w:rsidP="00F85972">
      <w:pPr>
        <w:pStyle w:val="enumlev1"/>
        <w:rPr>
          <w:lang w:eastAsia="zh-CN"/>
        </w:rPr>
      </w:pPr>
      <w:r>
        <w:rPr>
          <w:lang w:eastAsia="zh-CN"/>
        </w:rPr>
        <w:t>–</w:t>
      </w:r>
      <w:r>
        <w:rPr>
          <w:lang w:eastAsia="zh-CN"/>
        </w:rPr>
        <w:tab/>
      </w:r>
      <w:r w:rsidR="00540A7B" w:rsidRPr="00F85972">
        <w:rPr>
          <w:lang w:eastAsia="zh-CN"/>
        </w:rPr>
        <w:t>借鉴最佳做法</w:t>
      </w:r>
      <w:r w:rsidR="00540A7B" w:rsidRPr="00F85972">
        <w:rPr>
          <w:rFonts w:hint="eastAsia"/>
          <w:lang w:eastAsia="zh-CN"/>
        </w:rPr>
        <w:t>，</w:t>
      </w:r>
      <w:proofErr w:type="gramStart"/>
      <w:r w:rsidR="00540A7B" w:rsidRPr="00F85972">
        <w:rPr>
          <w:rFonts w:hint="eastAsia"/>
          <w:lang w:eastAsia="zh-CN"/>
        </w:rPr>
        <w:t>将</w:t>
      </w:r>
      <w:r w:rsidR="00540A7B" w:rsidRPr="00F85972">
        <w:rPr>
          <w:lang w:eastAsia="zh-CN"/>
        </w:rPr>
        <w:t>风险管理纳入电联的业务</w:t>
      </w:r>
      <w:r w:rsidR="00BB79C8" w:rsidRPr="00F85972">
        <w:rPr>
          <w:rFonts w:hint="eastAsia"/>
          <w:lang w:eastAsia="zh-CN"/>
        </w:rPr>
        <w:t>流程</w:t>
      </w:r>
      <w:r w:rsidR="00540A7B" w:rsidRPr="00F85972">
        <w:rPr>
          <w:lang w:eastAsia="zh-CN"/>
        </w:rPr>
        <w:t>；</w:t>
      </w:r>
      <w:proofErr w:type="gramEnd"/>
    </w:p>
    <w:p w14:paraId="4B53E54E" w14:textId="78383853" w:rsidR="008E6A9D" w:rsidRPr="00F85972" w:rsidRDefault="00F85972" w:rsidP="00F85972">
      <w:pPr>
        <w:pStyle w:val="enumlev1"/>
        <w:rPr>
          <w:lang w:eastAsia="zh-CN"/>
        </w:rPr>
      </w:pPr>
      <w:bookmarkStart w:id="13" w:name="lt_pId118"/>
      <w:r>
        <w:rPr>
          <w:lang w:eastAsia="zh-CN"/>
        </w:rPr>
        <w:t>–</w:t>
      </w:r>
      <w:r>
        <w:rPr>
          <w:lang w:eastAsia="zh-CN"/>
        </w:rPr>
        <w:tab/>
      </w:r>
      <w:r w:rsidR="00540A7B" w:rsidRPr="00F85972">
        <w:rPr>
          <w:rFonts w:hint="eastAsia"/>
          <w:lang w:eastAsia="zh-CN"/>
        </w:rPr>
        <w:t>实现</w:t>
      </w:r>
      <w:r w:rsidR="00BB79C8" w:rsidRPr="00F85972">
        <w:rPr>
          <w:rFonts w:hint="eastAsia"/>
          <w:lang w:eastAsia="zh-CN"/>
        </w:rPr>
        <w:t>本组织</w:t>
      </w:r>
      <w:r w:rsidR="00540A7B" w:rsidRPr="00F85972">
        <w:rPr>
          <w:lang w:eastAsia="zh-CN"/>
        </w:rPr>
        <w:t>的总体目标和</w:t>
      </w:r>
      <w:r w:rsidR="00BB79C8" w:rsidRPr="00F85972">
        <w:rPr>
          <w:rFonts w:hint="eastAsia"/>
          <w:lang w:eastAsia="zh-CN"/>
        </w:rPr>
        <w:t>部门</w:t>
      </w:r>
      <w:r w:rsidR="00540A7B" w:rsidRPr="00F85972">
        <w:rPr>
          <w:lang w:eastAsia="zh-CN"/>
        </w:rPr>
        <w:t>目标，培养风险意识文化和</w:t>
      </w:r>
      <w:r w:rsidR="00540A7B" w:rsidRPr="00F85972">
        <w:rPr>
          <w:rFonts w:hint="eastAsia"/>
          <w:lang w:eastAsia="zh-CN"/>
        </w:rPr>
        <w:t>机构</w:t>
      </w:r>
      <w:r w:rsidR="00540A7B" w:rsidRPr="00F85972">
        <w:rPr>
          <w:lang w:eastAsia="zh-CN"/>
        </w:rPr>
        <w:t>复原力</w:t>
      </w:r>
      <w:bookmarkEnd w:id="13"/>
      <w:r w:rsidR="00931722" w:rsidRPr="00F85972">
        <w:rPr>
          <w:rFonts w:hint="eastAsia"/>
          <w:lang w:eastAsia="zh-CN"/>
        </w:rPr>
        <w:t>；以及</w:t>
      </w:r>
    </w:p>
    <w:p w14:paraId="6C90AC7D" w14:textId="1FD5CD3A" w:rsidR="008E6A9D" w:rsidRPr="00F85972" w:rsidRDefault="00F85972" w:rsidP="00F85972">
      <w:pPr>
        <w:pStyle w:val="enumlev1"/>
        <w:rPr>
          <w:lang w:eastAsia="zh-CN"/>
        </w:rPr>
      </w:pPr>
      <w:r>
        <w:rPr>
          <w:lang w:eastAsia="zh-CN"/>
        </w:rPr>
        <w:t>–</w:t>
      </w:r>
      <w:r>
        <w:rPr>
          <w:lang w:eastAsia="zh-CN"/>
        </w:rPr>
        <w:tab/>
      </w:r>
      <w:r w:rsidR="00931722" w:rsidRPr="00F85972">
        <w:rPr>
          <w:rFonts w:hint="eastAsia"/>
          <w:lang w:eastAsia="zh-CN"/>
        </w:rPr>
        <w:t>在</w:t>
      </w:r>
      <w:r w:rsidR="00F00A0F" w:rsidRPr="00F85972">
        <w:rPr>
          <w:rFonts w:hint="eastAsia"/>
          <w:lang w:eastAsia="zh-CN"/>
        </w:rPr>
        <w:t>本</w:t>
      </w:r>
      <w:r w:rsidR="00931722" w:rsidRPr="00F85972">
        <w:rPr>
          <w:rFonts w:hint="eastAsia"/>
          <w:lang w:eastAsia="zh-CN"/>
        </w:rPr>
        <w:t>组织规定的风险范围内，考虑创新和变化与相关风险之间的平衡。</w:t>
      </w:r>
    </w:p>
    <w:p w14:paraId="0536185F" w14:textId="1FCF6345" w:rsidR="008E6A9D" w:rsidRPr="008E6A9D" w:rsidRDefault="008E6A9D" w:rsidP="00F85972">
      <w:pPr>
        <w:pStyle w:val="Heading2"/>
        <w:rPr>
          <w:lang w:eastAsia="zh-CN"/>
        </w:rPr>
      </w:pPr>
      <w:r w:rsidRPr="008E6A9D">
        <w:rPr>
          <w:lang w:eastAsia="zh-CN"/>
        </w:rPr>
        <w:t>1.3</w:t>
      </w:r>
      <w:r w:rsidRPr="008E6A9D">
        <w:rPr>
          <w:lang w:eastAsia="zh-CN"/>
        </w:rPr>
        <w:tab/>
      </w:r>
      <w:r w:rsidR="00931722">
        <w:rPr>
          <w:rFonts w:ascii="SimSun" w:hAnsi="SimSun" w:cs="SimSun" w:hint="eastAsia"/>
          <w:lang w:eastAsia="zh-CN"/>
        </w:rPr>
        <w:t>驱动原则</w:t>
      </w:r>
    </w:p>
    <w:p w14:paraId="2491713D" w14:textId="21C90B19" w:rsidR="00611332" w:rsidRPr="00611332" w:rsidRDefault="00611332" w:rsidP="00421130">
      <w:pPr>
        <w:ind w:firstLineChars="200" w:firstLine="480"/>
        <w:rPr>
          <w:rFonts w:eastAsiaTheme="minorEastAsia"/>
          <w:lang w:eastAsia="zh-CN"/>
        </w:rPr>
      </w:pPr>
      <w:r w:rsidRPr="00931722">
        <w:rPr>
          <w:rFonts w:hint="eastAsia"/>
          <w:lang w:eastAsia="zh-CN"/>
        </w:rPr>
        <w:t>国际电联的企业风险管理框架与</w:t>
      </w:r>
      <w:r w:rsidRPr="00931722">
        <w:rPr>
          <w:rFonts w:eastAsia="Times New Roman" w:hint="eastAsia"/>
          <w:lang w:eastAsia="zh-CN"/>
        </w:rPr>
        <w:t>2017</w:t>
      </w:r>
      <w:r w:rsidRPr="00931722">
        <w:rPr>
          <w:rFonts w:hint="eastAsia"/>
          <w:lang w:eastAsia="zh-CN"/>
        </w:rPr>
        <w:t>年</w:t>
      </w:r>
      <w:r w:rsidRPr="00931722">
        <w:rPr>
          <w:rFonts w:eastAsia="Times New Roman" w:hint="eastAsia"/>
          <w:lang w:eastAsia="zh-CN"/>
        </w:rPr>
        <w:t>COSO</w:t>
      </w:r>
      <w:r w:rsidRPr="008E6A9D">
        <w:rPr>
          <w:rFonts w:eastAsia="Times New Roman"/>
          <w:position w:val="6"/>
          <w:sz w:val="20"/>
        </w:rPr>
        <w:footnoteReference w:id="1"/>
      </w:r>
      <w:r w:rsidRPr="00931722">
        <w:rPr>
          <w:rFonts w:hint="eastAsia"/>
          <w:lang w:eastAsia="zh-CN"/>
        </w:rPr>
        <w:t>企业风险管理框架保持一致，</w:t>
      </w:r>
      <w:r w:rsidR="00BB79C8">
        <w:rPr>
          <w:rFonts w:hint="eastAsia"/>
          <w:lang w:eastAsia="zh-CN"/>
        </w:rPr>
        <w:t>该</w:t>
      </w:r>
      <w:r w:rsidRPr="00931722">
        <w:rPr>
          <w:rFonts w:hint="eastAsia"/>
          <w:lang w:eastAsia="zh-CN"/>
        </w:rPr>
        <w:t>框架整合了风险</w:t>
      </w:r>
      <w:r w:rsidR="00CF3B48">
        <w:rPr>
          <w:rFonts w:hint="eastAsia"/>
          <w:lang w:eastAsia="zh-CN"/>
        </w:rPr>
        <w:t>、</w:t>
      </w:r>
      <w:r w:rsidRPr="00931722">
        <w:rPr>
          <w:rFonts w:hint="eastAsia"/>
          <w:lang w:eastAsia="zh-CN"/>
        </w:rPr>
        <w:t>战略</w:t>
      </w:r>
      <w:r w:rsidR="00CF3B48">
        <w:rPr>
          <w:rFonts w:hint="eastAsia"/>
          <w:lang w:eastAsia="zh-CN"/>
        </w:rPr>
        <w:t>、</w:t>
      </w:r>
      <w:r w:rsidRPr="00931722">
        <w:rPr>
          <w:rFonts w:hint="eastAsia"/>
          <w:lang w:eastAsia="zh-CN"/>
        </w:rPr>
        <w:t>控制和绩效之间的关系。国际电联的风险管理活动基于</w:t>
      </w:r>
      <w:r w:rsidRPr="00931722">
        <w:rPr>
          <w:rFonts w:eastAsia="Times New Roman" w:hint="eastAsia"/>
          <w:lang w:eastAsia="zh-CN"/>
        </w:rPr>
        <w:t>COSO</w:t>
      </w:r>
      <w:r w:rsidRPr="00931722">
        <w:rPr>
          <w:rFonts w:hint="eastAsia"/>
          <w:lang w:eastAsia="zh-CN"/>
        </w:rPr>
        <w:t>的五个组成部分：</w:t>
      </w:r>
    </w:p>
    <w:p w14:paraId="768E4B3A" w14:textId="50A78A63" w:rsidR="00931722" w:rsidRPr="00931722" w:rsidRDefault="00421130" w:rsidP="00421130">
      <w:pPr>
        <w:pStyle w:val="enumlev1"/>
        <w:rPr>
          <w:rFonts w:eastAsia="Times New Roman"/>
          <w:lang w:eastAsia="zh-CN"/>
        </w:rPr>
      </w:pPr>
      <w:r w:rsidRPr="00421130">
        <w:rPr>
          <w:rFonts w:eastAsia="Times New Roman"/>
          <w:lang w:val="fr-FR" w:eastAsia="zh-CN"/>
        </w:rPr>
        <w:lastRenderedPageBreak/>
        <w:t>i)</w:t>
      </w:r>
      <w:r w:rsidRPr="00421130">
        <w:rPr>
          <w:rFonts w:eastAsia="Times New Roman"/>
          <w:lang w:val="fr-FR" w:eastAsia="zh-CN"/>
        </w:rPr>
        <w:tab/>
      </w:r>
      <w:r w:rsidR="00931722" w:rsidRPr="000237C0">
        <w:rPr>
          <w:rFonts w:hint="eastAsia"/>
          <w:lang w:eastAsia="zh-CN"/>
        </w:rPr>
        <w:t>治理和文化：治理和文化共同</w:t>
      </w:r>
      <w:r w:rsidR="00611332" w:rsidRPr="000237C0">
        <w:rPr>
          <w:rFonts w:hint="eastAsia"/>
          <w:lang w:eastAsia="zh-CN"/>
        </w:rPr>
        <w:t>支撑着</w:t>
      </w:r>
      <w:r w:rsidR="00931722" w:rsidRPr="000237C0">
        <w:rPr>
          <w:rFonts w:hint="eastAsia"/>
          <w:lang w:eastAsia="zh-CN"/>
        </w:rPr>
        <w:t>企业风险管理的所有组成部分。治理确立了监督责任，并加强了</w:t>
      </w:r>
      <w:r w:rsidR="00F1274A" w:rsidRPr="00F1274A">
        <w:rPr>
          <w:rFonts w:ascii="SimSun" w:hAnsi="SimSun" w:cs="Calibri"/>
          <w:lang w:eastAsia="zh-CN"/>
        </w:rPr>
        <w:t>“</w:t>
      </w:r>
      <w:r w:rsidR="00931722" w:rsidRPr="000237C0">
        <w:rPr>
          <w:rFonts w:hint="eastAsia"/>
          <w:lang w:eastAsia="zh-CN"/>
        </w:rPr>
        <w:t>三道防线</w:t>
      </w:r>
      <w:r w:rsidR="00F1274A" w:rsidRPr="00F1274A">
        <w:rPr>
          <w:rFonts w:ascii="SimSun" w:hAnsi="SimSun" w:cs="Calibri"/>
          <w:lang w:eastAsia="zh-CN"/>
        </w:rPr>
        <w:t>”</w:t>
      </w:r>
      <w:r w:rsidR="00931722" w:rsidRPr="000237C0">
        <w:rPr>
          <w:rFonts w:hint="eastAsia"/>
          <w:lang w:eastAsia="zh-CN"/>
        </w:rPr>
        <w:t>的问责制</w:t>
      </w:r>
      <w:r w:rsidR="00931722" w:rsidRPr="00931722">
        <w:rPr>
          <w:rFonts w:hint="eastAsia"/>
          <w:lang w:eastAsia="zh-CN"/>
        </w:rPr>
        <w:t>，</w:t>
      </w:r>
      <w:r w:rsidR="00B627D9">
        <w:rPr>
          <w:rFonts w:hint="eastAsia"/>
          <w:lang w:eastAsia="zh-CN"/>
        </w:rPr>
        <w:t>这种</w:t>
      </w:r>
      <w:r w:rsidR="005E4D41">
        <w:rPr>
          <w:rFonts w:hint="eastAsia"/>
          <w:lang w:eastAsia="zh-CN"/>
        </w:rPr>
        <w:t>模型</w:t>
      </w:r>
      <w:r w:rsidR="00B627D9" w:rsidRPr="008E6A9D">
        <w:rPr>
          <w:rFonts w:eastAsia="Times New Roman"/>
          <w:position w:val="6"/>
          <w:sz w:val="20"/>
        </w:rPr>
        <w:footnoteReference w:id="2"/>
      </w:r>
      <w:r w:rsidR="00B627D9">
        <w:rPr>
          <w:rFonts w:hint="eastAsia"/>
          <w:lang w:eastAsia="zh-CN"/>
        </w:rPr>
        <w:t>是</w:t>
      </w:r>
      <w:r w:rsidR="00931722" w:rsidRPr="00931722">
        <w:rPr>
          <w:rFonts w:eastAsia="Times New Roman" w:hint="eastAsia"/>
          <w:lang w:eastAsia="zh-CN"/>
        </w:rPr>
        <w:t>IMAC</w:t>
      </w:r>
      <w:r w:rsidR="00931722" w:rsidRPr="00931722">
        <w:rPr>
          <w:rFonts w:hint="eastAsia"/>
          <w:lang w:eastAsia="zh-CN"/>
        </w:rPr>
        <w:t>于</w:t>
      </w:r>
      <w:r w:rsidR="00931722" w:rsidRPr="00931722">
        <w:rPr>
          <w:rFonts w:eastAsia="Times New Roman" w:hint="eastAsia"/>
          <w:lang w:eastAsia="zh-CN"/>
        </w:rPr>
        <w:t>2019</w:t>
      </w:r>
      <w:r w:rsidR="00931722" w:rsidRPr="00931722">
        <w:rPr>
          <w:rFonts w:hint="eastAsia"/>
          <w:lang w:eastAsia="zh-CN"/>
        </w:rPr>
        <w:t>年建议国际电联采用</w:t>
      </w:r>
      <w:r w:rsidR="00B627D9">
        <w:rPr>
          <w:rFonts w:hint="eastAsia"/>
          <w:lang w:eastAsia="zh-CN"/>
        </w:rPr>
        <w:t>的。而文化则体现在</w:t>
      </w:r>
      <w:r w:rsidR="00931722" w:rsidRPr="00931722">
        <w:rPr>
          <w:rFonts w:hint="eastAsia"/>
          <w:lang w:eastAsia="zh-CN"/>
        </w:rPr>
        <w:t>随后的透明度和风险决策质量</w:t>
      </w:r>
      <w:r w:rsidR="000237C0">
        <w:rPr>
          <w:rFonts w:hint="eastAsia"/>
          <w:lang w:eastAsia="zh-CN"/>
        </w:rPr>
        <w:t>当</w:t>
      </w:r>
      <w:r w:rsidR="00B627D9">
        <w:rPr>
          <w:rFonts w:hint="eastAsia"/>
          <w:lang w:eastAsia="zh-CN"/>
        </w:rPr>
        <w:t>中</w:t>
      </w:r>
      <w:r w:rsidR="00931722" w:rsidRPr="00931722">
        <w:rPr>
          <w:rFonts w:hint="eastAsia"/>
          <w:lang w:eastAsia="zh-CN"/>
        </w:rPr>
        <w:t>。</w:t>
      </w:r>
    </w:p>
    <w:p w14:paraId="4BE8E08A" w14:textId="221FD172" w:rsidR="00931722" w:rsidRPr="00931722" w:rsidRDefault="00421130" w:rsidP="00421130">
      <w:pPr>
        <w:pStyle w:val="enumlev1"/>
        <w:rPr>
          <w:rFonts w:eastAsia="Times New Roman"/>
          <w:lang w:eastAsia="zh-CN"/>
        </w:rPr>
      </w:pPr>
      <w:r w:rsidRPr="00421130">
        <w:rPr>
          <w:rFonts w:eastAsia="Times New Roman"/>
          <w:lang w:val="fr-FR" w:eastAsia="zh-CN"/>
        </w:rPr>
        <w:t>i</w:t>
      </w:r>
      <w:r>
        <w:rPr>
          <w:rFonts w:eastAsia="Times New Roman"/>
          <w:lang w:val="fr-FR" w:eastAsia="zh-CN"/>
        </w:rPr>
        <w:t>i</w:t>
      </w:r>
      <w:r w:rsidRPr="00421130">
        <w:rPr>
          <w:rFonts w:eastAsia="Times New Roman"/>
          <w:lang w:val="fr-FR" w:eastAsia="zh-CN"/>
        </w:rPr>
        <w:t>)</w:t>
      </w:r>
      <w:r w:rsidRPr="00421130">
        <w:rPr>
          <w:rFonts w:eastAsia="Times New Roman"/>
          <w:lang w:val="fr-FR" w:eastAsia="zh-CN"/>
        </w:rPr>
        <w:tab/>
      </w:r>
      <w:r w:rsidR="00931722" w:rsidRPr="00931722">
        <w:rPr>
          <w:rFonts w:hint="eastAsia"/>
          <w:lang w:eastAsia="zh-CN"/>
        </w:rPr>
        <w:t>战略和</w:t>
      </w:r>
      <w:r w:rsidR="000237C0">
        <w:rPr>
          <w:rFonts w:hint="eastAsia"/>
          <w:lang w:eastAsia="zh-CN"/>
        </w:rPr>
        <w:t>部门</w:t>
      </w:r>
      <w:r w:rsidR="00931722" w:rsidRPr="00931722">
        <w:rPr>
          <w:rFonts w:hint="eastAsia"/>
          <w:lang w:eastAsia="zh-CN"/>
        </w:rPr>
        <w:t>目标</w:t>
      </w:r>
      <w:r w:rsidR="00B627D9">
        <w:rPr>
          <w:rFonts w:hint="eastAsia"/>
          <w:lang w:eastAsia="zh-CN"/>
        </w:rPr>
        <w:t>的</w:t>
      </w:r>
      <w:r w:rsidR="00931722" w:rsidRPr="00931722">
        <w:rPr>
          <w:rFonts w:hint="eastAsia"/>
          <w:lang w:eastAsia="zh-CN"/>
        </w:rPr>
        <w:t>设定：国际电联的风险偏好</w:t>
      </w:r>
      <w:r w:rsidR="00B627D9" w:rsidRPr="008E6A9D">
        <w:rPr>
          <w:rFonts w:eastAsia="Times New Roman"/>
          <w:position w:val="6"/>
          <w:sz w:val="20"/>
        </w:rPr>
        <w:footnoteReference w:id="3"/>
      </w:r>
      <w:r w:rsidR="00931722" w:rsidRPr="00931722">
        <w:rPr>
          <w:rFonts w:hint="eastAsia"/>
          <w:lang w:eastAsia="zh-CN"/>
        </w:rPr>
        <w:t>与国际电联战略和</w:t>
      </w:r>
      <w:r w:rsidR="00B627D9">
        <w:rPr>
          <w:rFonts w:hint="eastAsia"/>
          <w:lang w:eastAsia="zh-CN"/>
        </w:rPr>
        <w:t>的运作规划保持</w:t>
      </w:r>
      <w:r w:rsidR="00931722" w:rsidRPr="00931722">
        <w:rPr>
          <w:rFonts w:hint="eastAsia"/>
          <w:lang w:eastAsia="zh-CN"/>
        </w:rPr>
        <w:t>一致，并支持在日常</w:t>
      </w:r>
      <w:r w:rsidR="00B627D9">
        <w:rPr>
          <w:rFonts w:hint="eastAsia"/>
          <w:lang w:eastAsia="zh-CN"/>
        </w:rPr>
        <w:t>运作</w:t>
      </w:r>
      <w:r w:rsidR="00931722" w:rsidRPr="00931722">
        <w:rPr>
          <w:rFonts w:hint="eastAsia"/>
          <w:lang w:eastAsia="zh-CN"/>
        </w:rPr>
        <w:t>和确定优先事项中实现</w:t>
      </w:r>
      <w:r w:rsidR="000237C0">
        <w:rPr>
          <w:rFonts w:hint="eastAsia"/>
          <w:lang w:eastAsia="zh-CN"/>
        </w:rPr>
        <w:t>部门</w:t>
      </w:r>
      <w:r w:rsidR="00931722" w:rsidRPr="00931722">
        <w:rPr>
          <w:rFonts w:hint="eastAsia"/>
          <w:lang w:eastAsia="zh-CN"/>
        </w:rPr>
        <w:t>目标。</w:t>
      </w:r>
    </w:p>
    <w:p w14:paraId="3FFADA56" w14:textId="18F5B21F" w:rsidR="00931722" w:rsidRPr="00931722" w:rsidRDefault="00421130" w:rsidP="00421130">
      <w:pPr>
        <w:pStyle w:val="enumlev1"/>
        <w:rPr>
          <w:rFonts w:eastAsia="Times New Roman"/>
          <w:lang w:eastAsia="zh-CN"/>
        </w:rPr>
      </w:pPr>
      <w:r w:rsidRPr="00421130">
        <w:rPr>
          <w:rFonts w:eastAsia="Times New Roman"/>
          <w:lang w:val="fr-FR" w:eastAsia="zh-CN"/>
        </w:rPr>
        <w:t>i</w:t>
      </w:r>
      <w:r>
        <w:rPr>
          <w:rFonts w:eastAsia="Times New Roman"/>
          <w:lang w:val="fr-FR" w:eastAsia="zh-CN"/>
        </w:rPr>
        <w:t>ii</w:t>
      </w:r>
      <w:r w:rsidRPr="00421130">
        <w:rPr>
          <w:rFonts w:eastAsia="Times New Roman"/>
          <w:lang w:val="fr-FR" w:eastAsia="zh-CN"/>
        </w:rPr>
        <w:t>)</w:t>
      </w:r>
      <w:r w:rsidRPr="00421130">
        <w:rPr>
          <w:rFonts w:eastAsia="Times New Roman"/>
          <w:lang w:val="fr-FR" w:eastAsia="zh-CN"/>
        </w:rPr>
        <w:tab/>
      </w:r>
      <w:r w:rsidR="00931722" w:rsidRPr="00931722">
        <w:rPr>
          <w:rFonts w:hint="eastAsia"/>
          <w:lang w:eastAsia="zh-CN"/>
        </w:rPr>
        <w:t>绩效：国际电联确定并评估</w:t>
      </w:r>
      <w:r w:rsidR="00795A1C">
        <w:rPr>
          <w:rFonts w:hint="eastAsia"/>
          <w:lang w:eastAsia="zh-CN"/>
        </w:rPr>
        <w:t>那些</w:t>
      </w:r>
      <w:r w:rsidR="00931722" w:rsidRPr="00931722">
        <w:rPr>
          <w:rFonts w:hint="eastAsia"/>
          <w:lang w:eastAsia="zh-CN"/>
        </w:rPr>
        <w:t>影响</w:t>
      </w:r>
      <w:r w:rsidR="000B70EE">
        <w:rPr>
          <w:rFonts w:hint="eastAsia"/>
          <w:lang w:eastAsia="zh-CN"/>
        </w:rPr>
        <w:t>其</w:t>
      </w:r>
      <w:r w:rsidR="00931722" w:rsidRPr="00931722">
        <w:rPr>
          <w:rFonts w:hint="eastAsia"/>
          <w:lang w:eastAsia="zh-CN"/>
        </w:rPr>
        <w:t>实现</w:t>
      </w:r>
      <w:r w:rsidR="00931722" w:rsidRPr="00931722">
        <w:rPr>
          <w:rFonts w:eastAsia="Times New Roman" w:hint="eastAsia"/>
          <w:lang w:eastAsia="zh-CN"/>
        </w:rPr>
        <w:t>5</w:t>
      </w:r>
      <w:r w:rsidR="00931722" w:rsidRPr="00931722">
        <w:rPr>
          <w:rFonts w:hint="eastAsia"/>
          <w:lang w:eastAsia="zh-CN"/>
        </w:rPr>
        <w:t>个</w:t>
      </w:r>
      <w:r w:rsidR="000B70EE">
        <w:rPr>
          <w:rFonts w:hint="eastAsia"/>
          <w:lang w:eastAsia="zh-CN"/>
        </w:rPr>
        <w:t>总体</w:t>
      </w:r>
      <w:r w:rsidR="00931722" w:rsidRPr="00931722">
        <w:rPr>
          <w:rFonts w:hint="eastAsia"/>
          <w:lang w:eastAsia="zh-CN"/>
        </w:rPr>
        <w:t>战略目标和</w:t>
      </w:r>
      <w:r w:rsidR="00931722" w:rsidRPr="00931722">
        <w:rPr>
          <w:rFonts w:eastAsia="Times New Roman" w:hint="eastAsia"/>
          <w:lang w:eastAsia="zh-CN"/>
        </w:rPr>
        <w:t>24</w:t>
      </w:r>
      <w:r w:rsidR="00931722" w:rsidRPr="00931722">
        <w:rPr>
          <w:rFonts w:hint="eastAsia"/>
          <w:lang w:eastAsia="zh-CN"/>
        </w:rPr>
        <w:t>个</w:t>
      </w:r>
      <w:r w:rsidR="000B70EE">
        <w:rPr>
          <w:rFonts w:hint="eastAsia"/>
          <w:lang w:eastAsia="zh-CN"/>
        </w:rPr>
        <w:t>具体</w:t>
      </w:r>
      <w:r w:rsidR="00931722" w:rsidRPr="00931722">
        <w:rPr>
          <w:rFonts w:hint="eastAsia"/>
          <w:lang w:eastAsia="zh-CN"/>
        </w:rPr>
        <w:t>战略目标的能力的风险，以及数十种</w:t>
      </w:r>
      <w:r w:rsidR="000B70EE" w:rsidRPr="00931722">
        <w:rPr>
          <w:rFonts w:hint="eastAsia"/>
          <w:lang w:eastAsia="zh-CN"/>
        </w:rPr>
        <w:t>可能会</w:t>
      </w:r>
      <w:r w:rsidR="0066649C">
        <w:rPr>
          <w:rFonts w:hint="eastAsia"/>
          <w:lang w:eastAsia="zh-CN"/>
        </w:rPr>
        <w:t>损害</w:t>
      </w:r>
      <w:r w:rsidR="000B70EE" w:rsidRPr="00931722">
        <w:rPr>
          <w:rFonts w:hint="eastAsia"/>
          <w:lang w:eastAsia="zh-CN"/>
        </w:rPr>
        <w:t>国际电联实现其</w:t>
      </w:r>
      <w:r w:rsidR="00242E77">
        <w:rPr>
          <w:rFonts w:hint="eastAsia"/>
          <w:lang w:eastAsia="zh-CN"/>
        </w:rPr>
        <w:t>部门</w:t>
      </w:r>
      <w:r w:rsidR="000B70EE" w:rsidRPr="00931722">
        <w:rPr>
          <w:rFonts w:hint="eastAsia"/>
          <w:lang w:eastAsia="zh-CN"/>
        </w:rPr>
        <w:t>目标能力</w:t>
      </w:r>
      <w:r w:rsidR="000B70EE">
        <w:rPr>
          <w:rFonts w:hint="eastAsia"/>
          <w:lang w:eastAsia="zh-CN"/>
        </w:rPr>
        <w:t>的运作</w:t>
      </w:r>
      <w:r w:rsidR="00931722" w:rsidRPr="00931722">
        <w:rPr>
          <w:rFonts w:hint="eastAsia"/>
          <w:lang w:eastAsia="zh-CN"/>
        </w:rPr>
        <w:t>风险。国际电联会根据</w:t>
      </w:r>
      <w:r w:rsidR="000B70EE">
        <w:rPr>
          <w:rFonts w:hint="eastAsia"/>
          <w:lang w:eastAsia="zh-CN"/>
        </w:rPr>
        <w:t>风险</w:t>
      </w:r>
      <w:r w:rsidR="00B32D74">
        <w:rPr>
          <w:rFonts w:hint="eastAsia"/>
          <w:lang w:eastAsia="zh-CN"/>
        </w:rPr>
        <w:t>的</w:t>
      </w:r>
      <w:r w:rsidR="00931722" w:rsidRPr="00931722">
        <w:rPr>
          <w:rFonts w:hint="eastAsia"/>
          <w:lang w:eastAsia="zh-CN"/>
        </w:rPr>
        <w:t>严重性并考虑国际电联的风险偏好，</w:t>
      </w:r>
      <w:r w:rsidR="00B32D74">
        <w:rPr>
          <w:rFonts w:hint="eastAsia"/>
          <w:lang w:eastAsia="zh-CN"/>
        </w:rPr>
        <w:t>确定</w:t>
      </w:r>
      <w:r w:rsidR="000B70EE">
        <w:rPr>
          <w:rFonts w:hint="eastAsia"/>
          <w:lang w:eastAsia="zh-CN"/>
        </w:rPr>
        <w:t>风险</w:t>
      </w:r>
      <w:r w:rsidR="00B32D74">
        <w:rPr>
          <w:rFonts w:hint="eastAsia"/>
          <w:lang w:eastAsia="zh-CN"/>
        </w:rPr>
        <w:t>的</w:t>
      </w:r>
      <w:r w:rsidR="00931722" w:rsidRPr="00931722">
        <w:rPr>
          <w:rFonts w:hint="eastAsia"/>
          <w:lang w:eastAsia="zh-CN"/>
        </w:rPr>
        <w:t>优先级</w:t>
      </w:r>
      <w:r w:rsidR="00B32D74">
        <w:rPr>
          <w:rFonts w:hint="eastAsia"/>
          <w:lang w:eastAsia="zh-CN"/>
        </w:rPr>
        <w:t>并做出应对。</w:t>
      </w:r>
    </w:p>
    <w:p w14:paraId="1596E4AB" w14:textId="24BF1745" w:rsidR="00931722" w:rsidRPr="00931722" w:rsidRDefault="00421130" w:rsidP="00421130">
      <w:pPr>
        <w:pStyle w:val="enumlev1"/>
        <w:rPr>
          <w:rFonts w:eastAsia="Times New Roman"/>
          <w:lang w:eastAsia="zh-CN"/>
        </w:rPr>
      </w:pPr>
      <w:proofErr w:type="spellStart"/>
      <w:r w:rsidRPr="00421130">
        <w:rPr>
          <w:rFonts w:eastAsia="Times New Roman"/>
          <w:lang w:val="fr-FR" w:eastAsia="zh-CN"/>
        </w:rPr>
        <w:t>i</w:t>
      </w:r>
      <w:r>
        <w:rPr>
          <w:rFonts w:eastAsia="Times New Roman"/>
          <w:lang w:val="fr-FR" w:eastAsia="zh-CN"/>
        </w:rPr>
        <w:t>V</w:t>
      </w:r>
      <w:proofErr w:type="spellEnd"/>
      <w:r w:rsidRPr="00421130">
        <w:rPr>
          <w:rFonts w:eastAsia="Times New Roman"/>
          <w:lang w:val="fr-FR" w:eastAsia="zh-CN"/>
        </w:rPr>
        <w:t>)</w:t>
      </w:r>
      <w:r w:rsidRPr="00421130">
        <w:rPr>
          <w:rFonts w:eastAsia="Times New Roman"/>
          <w:lang w:val="fr-FR" w:eastAsia="zh-CN"/>
        </w:rPr>
        <w:tab/>
      </w:r>
      <w:r w:rsidR="00824D00">
        <w:rPr>
          <w:rFonts w:hint="eastAsia"/>
          <w:lang w:eastAsia="zh-CN"/>
        </w:rPr>
        <w:t>审议</w:t>
      </w:r>
      <w:r w:rsidR="00931722" w:rsidRPr="00931722">
        <w:rPr>
          <w:rFonts w:hint="eastAsia"/>
          <w:lang w:eastAsia="zh-CN"/>
        </w:rPr>
        <w:t>和修订：国际电联旨在不断改进</w:t>
      </w:r>
      <w:r w:rsidR="00795A1C" w:rsidRPr="00931722">
        <w:rPr>
          <w:rFonts w:hint="eastAsia"/>
          <w:lang w:eastAsia="zh-CN"/>
        </w:rPr>
        <w:t>风险管理</w:t>
      </w:r>
      <w:r w:rsidR="00931722" w:rsidRPr="00931722">
        <w:rPr>
          <w:rFonts w:hint="eastAsia"/>
          <w:lang w:eastAsia="zh-CN"/>
        </w:rPr>
        <w:t>并增强风险管理</w:t>
      </w:r>
      <w:r w:rsidR="00795A1C">
        <w:rPr>
          <w:rFonts w:hint="eastAsia"/>
          <w:lang w:eastAsia="zh-CN"/>
        </w:rPr>
        <w:t>的韧性</w:t>
      </w:r>
      <w:r w:rsidR="00931722" w:rsidRPr="00931722">
        <w:rPr>
          <w:rFonts w:hint="eastAsia"/>
          <w:lang w:eastAsia="zh-CN"/>
        </w:rPr>
        <w:t>；</w:t>
      </w:r>
      <w:r w:rsidR="00795A1C" w:rsidRPr="00421130">
        <w:rPr>
          <w:lang w:eastAsia="zh-CN"/>
        </w:rPr>
        <w:t>随着</w:t>
      </w:r>
      <w:r w:rsidR="00795A1C" w:rsidRPr="00421130">
        <w:rPr>
          <w:rFonts w:hint="eastAsia"/>
          <w:lang w:eastAsia="zh-CN"/>
        </w:rPr>
        <w:t>国际电联</w:t>
      </w:r>
      <w:r w:rsidR="00795A1C" w:rsidRPr="00421130">
        <w:rPr>
          <w:lang w:eastAsia="zh-CN"/>
        </w:rPr>
        <w:t>寻求使其风险状况与风险偏好保持一致，预计其控制环境将</w:t>
      </w:r>
      <w:r w:rsidR="00795A1C" w:rsidRPr="00421130">
        <w:rPr>
          <w:rFonts w:hint="eastAsia"/>
          <w:lang w:eastAsia="zh-CN"/>
        </w:rPr>
        <w:t>不断</w:t>
      </w:r>
      <w:r w:rsidR="00242E77" w:rsidRPr="00421130">
        <w:rPr>
          <w:rFonts w:hint="eastAsia"/>
          <w:lang w:eastAsia="zh-CN"/>
        </w:rPr>
        <w:t>发展</w:t>
      </w:r>
      <w:r w:rsidR="00795A1C" w:rsidRPr="00421130">
        <w:rPr>
          <w:lang w:eastAsia="zh-CN"/>
        </w:rPr>
        <w:t>。</w:t>
      </w:r>
    </w:p>
    <w:p w14:paraId="28424478" w14:textId="7833924F" w:rsidR="00931722" w:rsidRPr="008E6A9D" w:rsidRDefault="00421130" w:rsidP="00421130">
      <w:pPr>
        <w:pStyle w:val="enumlev1"/>
        <w:rPr>
          <w:rFonts w:eastAsia="Times New Roman"/>
          <w:lang w:eastAsia="zh-CN"/>
        </w:rPr>
      </w:pPr>
      <w:r>
        <w:rPr>
          <w:rFonts w:eastAsia="Times New Roman"/>
          <w:lang w:val="fr-FR" w:eastAsia="zh-CN"/>
        </w:rPr>
        <w:t>V</w:t>
      </w:r>
      <w:r w:rsidRPr="00421130">
        <w:rPr>
          <w:rFonts w:eastAsia="Times New Roman"/>
          <w:lang w:val="fr-FR" w:eastAsia="zh-CN"/>
        </w:rPr>
        <w:t>)</w:t>
      </w:r>
      <w:r w:rsidRPr="00421130">
        <w:rPr>
          <w:rFonts w:eastAsia="Times New Roman"/>
          <w:lang w:val="fr-FR" w:eastAsia="zh-CN"/>
        </w:rPr>
        <w:tab/>
      </w:r>
      <w:r w:rsidR="00931722" w:rsidRPr="00931722">
        <w:rPr>
          <w:rFonts w:hint="eastAsia"/>
          <w:lang w:eastAsia="zh-CN"/>
        </w:rPr>
        <w:t>信息</w:t>
      </w:r>
      <w:r w:rsidR="00795A1C">
        <w:rPr>
          <w:rFonts w:hint="eastAsia"/>
          <w:lang w:eastAsia="zh-CN"/>
        </w:rPr>
        <w:t>、沟通</w:t>
      </w:r>
      <w:r w:rsidR="00931722" w:rsidRPr="00931722">
        <w:rPr>
          <w:rFonts w:hint="eastAsia"/>
          <w:lang w:eastAsia="zh-CN"/>
        </w:rPr>
        <w:t>和报告：国际电联调整并不断制定其风险偏好措施，以改善风险信息并</w:t>
      </w:r>
      <w:r w:rsidR="00795A1C">
        <w:rPr>
          <w:rFonts w:hint="eastAsia"/>
          <w:lang w:eastAsia="zh-CN"/>
        </w:rPr>
        <w:t>推动</w:t>
      </w:r>
      <w:r w:rsidR="00931722" w:rsidRPr="00931722">
        <w:rPr>
          <w:rFonts w:hint="eastAsia"/>
          <w:lang w:eastAsia="zh-CN"/>
        </w:rPr>
        <w:t>更具风险敏感性的决策。这有助于在整个组织中</w:t>
      </w:r>
      <w:r w:rsidR="00795A1C">
        <w:rPr>
          <w:rFonts w:hint="eastAsia"/>
          <w:lang w:eastAsia="zh-CN"/>
        </w:rPr>
        <w:t>纳入更有成效的</w:t>
      </w:r>
      <w:r w:rsidR="00931722" w:rsidRPr="00931722">
        <w:rPr>
          <w:rFonts w:hint="eastAsia"/>
          <w:lang w:eastAsia="zh-CN"/>
        </w:rPr>
        <w:t>风险文化。</w:t>
      </w:r>
    </w:p>
    <w:p w14:paraId="27AD03A9" w14:textId="78E131B5" w:rsidR="008E6A9D" w:rsidRPr="008E6A9D" w:rsidRDefault="008E6A9D" w:rsidP="00421130">
      <w:pPr>
        <w:pStyle w:val="Heading1"/>
        <w:rPr>
          <w:rFonts w:asciiTheme="minorHAnsi" w:eastAsia="Times New Roman" w:hAnsiTheme="minorHAnsi"/>
          <w:lang w:eastAsia="zh-CN"/>
        </w:rPr>
      </w:pPr>
      <w:r w:rsidRPr="008E6A9D">
        <w:rPr>
          <w:rFonts w:asciiTheme="minorHAnsi" w:eastAsia="Times New Roman" w:hAnsiTheme="minorHAnsi"/>
          <w:lang w:eastAsia="zh-CN"/>
        </w:rPr>
        <w:t>2</w:t>
      </w:r>
      <w:r w:rsidRPr="008E6A9D">
        <w:rPr>
          <w:rFonts w:asciiTheme="minorHAnsi" w:eastAsia="Times New Roman" w:hAnsiTheme="minorHAnsi"/>
          <w:lang w:eastAsia="zh-CN"/>
        </w:rPr>
        <w:tab/>
      </w:r>
      <w:r w:rsidR="00795A1C" w:rsidRPr="00795A1C">
        <w:rPr>
          <w:rFonts w:hint="eastAsia"/>
          <w:lang w:eastAsia="zh-CN"/>
        </w:rPr>
        <w:t>风险管理流程和方法</w:t>
      </w:r>
    </w:p>
    <w:p w14:paraId="7D43DC06" w14:textId="43C76672" w:rsidR="00C604EC" w:rsidRPr="00C604EC" w:rsidRDefault="00C604EC" w:rsidP="00421130">
      <w:pPr>
        <w:ind w:firstLineChars="200" w:firstLine="480"/>
        <w:rPr>
          <w:rFonts w:eastAsiaTheme="minorEastAsia"/>
          <w:lang w:eastAsia="zh-CN"/>
        </w:rPr>
      </w:pPr>
      <w:r w:rsidRPr="00795A1C">
        <w:rPr>
          <w:rFonts w:hint="eastAsia"/>
          <w:lang w:eastAsia="zh-CN"/>
        </w:rPr>
        <w:t>第一步，根据国际电</w:t>
      </w:r>
      <w:proofErr w:type="gramStart"/>
      <w:r w:rsidRPr="00795A1C">
        <w:rPr>
          <w:rFonts w:hint="eastAsia"/>
          <w:lang w:eastAsia="zh-CN"/>
        </w:rPr>
        <w:t>联分配</w:t>
      </w:r>
      <w:proofErr w:type="gramEnd"/>
      <w:r w:rsidRPr="00795A1C">
        <w:rPr>
          <w:rFonts w:hint="eastAsia"/>
          <w:lang w:eastAsia="zh-CN"/>
        </w:rPr>
        <w:t>的风险</w:t>
      </w:r>
      <w:r>
        <w:rPr>
          <w:rFonts w:hint="eastAsia"/>
          <w:lang w:eastAsia="zh-CN"/>
        </w:rPr>
        <w:t>视角</w:t>
      </w:r>
      <w:r w:rsidRPr="00795A1C">
        <w:rPr>
          <w:rFonts w:hint="eastAsia"/>
          <w:lang w:eastAsia="zh-CN"/>
        </w:rPr>
        <w:t>将其风险记录在</w:t>
      </w:r>
      <w:r w:rsidR="00D049DE">
        <w:rPr>
          <w:rFonts w:hint="eastAsia"/>
          <w:lang w:eastAsia="zh-CN"/>
        </w:rPr>
        <w:t>风险登记单</w:t>
      </w:r>
      <w:r w:rsidRPr="00795A1C">
        <w:rPr>
          <w:rFonts w:hint="eastAsia"/>
          <w:lang w:eastAsia="zh-CN"/>
        </w:rPr>
        <w:t>中。</w:t>
      </w:r>
    </w:p>
    <w:p w14:paraId="40CD6DB0" w14:textId="5032F68D" w:rsidR="008E6A9D" w:rsidRPr="008E6A9D" w:rsidRDefault="008E6A9D" w:rsidP="00421130">
      <w:pPr>
        <w:pStyle w:val="Heading2"/>
        <w:rPr>
          <w:lang w:eastAsia="zh-CN"/>
        </w:rPr>
      </w:pPr>
      <w:r w:rsidRPr="008E6A9D">
        <w:rPr>
          <w:lang w:eastAsia="zh-CN"/>
        </w:rPr>
        <w:t>2.1</w:t>
      </w:r>
      <w:r w:rsidRPr="008E6A9D">
        <w:rPr>
          <w:lang w:eastAsia="zh-CN"/>
        </w:rPr>
        <w:tab/>
      </w:r>
      <w:r w:rsidR="00C604EC">
        <w:rPr>
          <w:rFonts w:ascii="SimSun" w:hAnsi="SimSun" w:cs="SimSun" w:hint="eastAsia"/>
          <w:lang w:eastAsia="zh-CN"/>
        </w:rPr>
        <w:t>风险视角</w:t>
      </w:r>
    </w:p>
    <w:p w14:paraId="23F5BE9F" w14:textId="6D6AF013" w:rsidR="008E6A9D" w:rsidRPr="00421130" w:rsidRDefault="00C604EC" w:rsidP="00421130">
      <w:pPr>
        <w:ind w:firstLineChars="200" w:firstLine="480"/>
        <w:rPr>
          <w:lang w:eastAsia="zh-CN"/>
        </w:rPr>
      </w:pPr>
      <w:r w:rsidRPr="00421130">
        <w:rPr>
          <w:lang w:eastAsia="zh-CN"/>
        </w:rPr>
        <w:t>风险的主要类别，即所谓的视角，包括</w:t>
      </w:r>
      <w:r w:rsidR="00421130">
        <w:rPr>
          <w:rFonts w:hint="eastAsia"/>
          <w:lang w:eastAsia="zh-CN"/>
        </w:rPr>
        <w:t>：</w:t>
      </w:r>
    </w:p>
    <w:p w14:paraId="3C4B135A" w14:textId="2EE633A0" w:rsidR="00C604E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战略风险</w:t>
      </w:r>
      <w:r w:rsidR="00795A1C" w:rsidRPr="00421130">
        <w:rPr>
          <w:rFonts w:hint="eastAsia"/>
          <w:lang w:eastAsia="zh-CN"/>
        </w:rPr>
        <w:t>（例如与经济和竞争环境，技术与创新，国际政治环境，利益</w:t>
      </w:r>
      <w:r w:rsidR="00C604EC" w:rsidRPr="00421130">
        <w:rPr>
          <w:rFonts w:hint="eastAsia"/>
          <w:lang w:eastAsia="zh-CN"/>
        </w:rPr>
        <w:t>攸关方</w:t>
      </w:r>
      <w:r w:rsidR="00795A1C" w:rsidRPr="00421130">
        <w:rPr>
          <w:rFonts w:hint="eastAsia"/>
          <w:lang w:eastAsia="zh-CN"/>
        </w:rPr>
        <w:t>/</w:t>
      </w:r>
      <w:r w:rsidR="00795A1C" w:rsidRPr="00421130">
        <w:rPr>
          <w:rFonts w:hint="eastAsia"/>
          <w:lang w:eastAsia="zh-CN"/>
        </w:rPr>
        <w:t>捐助</w:t>
      </w:r>
      <w:r w:rsidR="00C604EC" w:rsidRPr="00421130">
        <w:rPr>
          <w:rFonts w:hint="eastAsia"/>
          <w:lang w:eastAsia="zh-CN"/>
        </w:rPr>
        <w:t>方</w:t>
      </w:r>
      <w:r w:rsidR="00795A1C" w:rsidRPr="00421130">
        <w:rPr>
          <w:rFonts w:hint="eastAsia"/>
          <w:lang w:eastAsia="zh-CN"/>
        </w:rPr>
        <w:t>，成员会费，声誉有关的风险</w:t>
      </w:r>
      <w:proofErr w:type="gramStart"/>
      <w:r w:rsidR="00795A1C" w:rsidRPr="00421130">
        <w:rPr>
          <w:rFonts w:hint="eastAsia"/>
          <w:lang w:eastAsia="zh-CN"/>
        </w:rPr>
        <w:t>）；</w:t>
      </w:r>
      <w:proofErr w:type="gramEnd"/>
    </w:p>
    <w:p w14:paraId="2693C12E" w14:textId="50575A5D" w:rsidR="00C604EC" w:rsidRPr="00421130" w:rsidRDefault="00421130" w:rsidP="00421130">
      <w:pPr>
        <w:pStyle w:val="enumlev1"/>
        <w:rPr>
          <w:lang w:eastAsia="zh-CN"/>
        </w:rPr>
      </w:pPr>
      <w:r>
        <w:rPr>
          <w:lang w:eastAsia="zh-CN"/>
        </w:rPr>
        <w:t>–</w:t>
      </w:r>
      <w:r>
        <w:rPr>
          <w:lang w:eastAsia="zh-CN"/>
        </w:rPr>
        <w:tab/>
      </w:r>
      <w:r w:rsidR="00C604EC" w:rsidRPr="00421130">
        <w:rPr>
          <w:rFonts w:hint="eastAsia"/>
          <w:b/>
          <w:bCs/>
          <w:lang w:eastAsia="zh-CN"/>
        </w:rPr>
        <w:t>运作</w:t>
      </w:r>
      <w:r w:rsidR="00795A1C" w:rsidRPr="00421130">
        <w:rPr>
          <w:rFonts w:hint="eastAsia"/>
          <w:b/>
          <w:bCs/>
          <w:lang w:eastAsia="zh-CN"/>
        </w:rPr>
        <w:t>风险</w:t>
      </w:r>
      <w:r w:rsidR="00795A1C" w:rsidRPr="00421130">
        <w:rPr>
          <w:rFonts w:hint="eastAsia"/>
          <w:lang w:eastAsia="zh-CN"/>
        </w:rPr>
        <w:t>（例如与业务流程，服务，合作伙伴，供应商，建筑物，</w:t>
      </w:r>
      <w:r w:rsidR="00795A1C" w:rsidRPr="00421130">
        <w:rPr>
          <w:rFonts w:hint="eastAsia"/>
          <w:lang w:eastAsia="zh-CN"/>
        </w:rPr>
        <w:t>IT</w:t>
      </w:r>
      <w:r w:rsidR="00795A1C" w:rsidRPr="00421130">
        <w:rPr>
          <w:rFonts w:hint="eastAsia"/>
          <w:lang w:eastAsia="zh-CN"/>
        </w:rPr>
        <w:t>基础架构，业务连续性，治理和监督相关的风险</w:t>
      </w:r>
      <w:proofErr w:type="gramStart"/>
      <w:r w:rsidR="00795A1C" w:rsidRPr="00421130">
        <w:rPr>
          <w:rFonts w:hint="eastAsia"/>
          <w:lang w:eastAsia="zh-CN"/>
        </w:rPr>
        <w:t>）；</w:t>
      </w:r>
      <w:proofErr w:type="gramEnd"/>
    </w:p>
    <w:p w14:paraId="3EEA703E" w14:textId="42328870" w:rsidR="00C604E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财务风险</w:t>
      </w:r>
      <w:r w:rsidR="00795A1C" w:rsidRPr="00421130">
        <w:rPr>
          <w:rFonts w:hint="eastAsia"/>
          <w:lang w:eastAsia="zh-CN"/>
        </w:rPr>
        <w:t>（例如与组织财务稳定性和可持续性有关的风险：资金管理和外汇，离职后健康保险（</w:t>
      </w:r>
      <w:r w:rsidR="00795A1C" w:rsidRPr="00421130">
        <w:rPr>
          <w:rFonts w:hint="eastAsia"/>
          <w:lang w:eastAsia="zh-CN"/>
        </w:rPr>
        <w:t>ASHI</w:t>
      </w:r>
      <w:r w:rsidR="00795A1C" w:rsidRPr="00421130">
        <w:rPr>
          <w:rFonts w:hint="eastAsia"/>
          <w:lang w:eastAsia="zh-CN"/>
        </w:rPr>
        <w:t>）负债，信贷和交易对手，收支管理，财务报告</w:t>
      </w:r>
      <w:proofErr w:type="gramStart"/>
      <w:r w:rsidR="00795A1C" w:rsidRPr="00421130">
        <w:rPr>
          <w:rFonts w:hint="eastAsia"/>
          <w:lang w:eastAsia="zh-CN"/>
        </w:rPr>
        <w:t>）</w:t>
      </w:r>
      <w:r w:rsidR="00C604EC" w:rsidRPr="00421130">
        <w:rPr>
          <w:rFonts w:hint="eastAsia"/>
          <w:lang w:eastAsia="zh-CN"/>
        </w:rPr>
        <w:t>；</w:t>
      </w:r>
      <w:proofErr w:type="gramEnd"/>
    </w:p>
    <w:p w14:paraId="574A1B8A" w14:textId="27A904AF" w:rsidR="00795A1C" w:rsidRPr="00421130" w:rsidRDefault="00421130" w:rsidP="00421130">
      <w:pPr>
        <w:pStyle w:val="enumlev1"/>
        <w:rPr>
          <w:lang w:eastAsia="zh-CN"/>
        </w:rPr>
      </w:pPr>
      <w:r>
        <w:rPr>
          <w:lang w:eastAsia="zh-CN"/>
        </w:rPr>
        <w:t>–</w:t>
      </w:r>
      <w:r>
        <w:rPr>
          <w:lang w:eastAsia="zh-CN"/>
        </w:rPr>
        <w:tab/>
      </w:r>
      <w:r w:rsidR="00795A1C" w:rsidRPr="00421130">
        <w:rPr>
          <w:rFonts w:hint="eastAsia"/>
          <w:b/>
          <w:bCs/>
          <w:lang w:eastAsia="zh-CN"/>
        </w:rPr>
        <w:t>信托风险</w:t>
      </w:r>
      <w:r w:rsidR="00795A1C" w:rsidRPr="00421130">
        <w:rPr>
          <w:rFonts w:hint="eastAsia"/>
          <w:lang w:eastAsia="zh-CN"/>
        </w:rPr>
        <w:t>（例如与员工健康</w:t>
      </w:r>
      <w:r w:rsidR="00C604EC" w:rsidRPr="00421130">
        <w:rPr>
          <w:rFonts w:hint="eastAsia"/>
          <w:lang w:eastAsia="zh-CN"/>
        </w:rPr>
        <w:t>、</w:t>
      </w:r>
      <w:r w:rsidR="00795A1C" w:rsidRPr="00421130">
        <w:rPr>
          <w:rFonts w:hint="eastAsia"/>
          <w:lang w:eastAsia="zh-CN"/>
        </w:rPr>
        <w:t>安全和保障，合规和违约，欺诈和腐败有关的风险）。</w:t>
      </w:r>
    </w:p>
    <w:p w14:paraId="6587ED67" w14:textId="50AA1C0C" w:rsidR="008E6A9D" w:rsidRPr="008E6A9D" w:rsidRDefault="008E6A9D" w:rsidP="00421130">
      <w:pPr>
        <w:pStyle w:val="Heading2"/>
        <w:rPr>
          <w:lang w:eastAsia="zh-CN"/>
        </w:rPr>
      </w:pPr>
      <w:r w:rsidRPr="008E6A9D">
        <w:rPr>
          <w:lang w:eastAsia="zh-CN"/>
        </w:rPr>
        <w:t>2.2</w:t>
      </w:r>
      <w:r w:rsidRPr="008E6A9D">
        <w:rPr>
          <w:lang w:eastAsia="zh-CN"/>
        </w:rPr>
        <w:tab/>
      </w:r>
      <w:r w:rsidR="00133C6E">
        <w:rPr>
          <w:rFonts w:ascii="SimSun" w:hAnsi="SimSun" w:cs="SimSun" w:hint="eastAsia"/>
          <w:lang w:eastAsia="zh-CN"/>
        </w:rPr>
        <w:t>风险评估</w:t>
      </w:r>
    </w:p>
    <w:p w14:paraId="2AAB6422" w14:textId="73A1FBC0" w:rsidR="008E6A9D" w:rsidRPr="00421130" w:rsidRDefault="00540A7B" w:rsidP="00421130">
      <w:pPr>
        <w:ind w:firstLineChars="200" w:firstLine="480"/>
        <w:rPr>
          <w:lang w:eastAsia="zh-CN"/>
        </w:rPr>
      </w:pPr>
      <w:r w:rsidRPr="00421130">
        <w:rPr>
          <w:rFonts w:hint="eastAsia"/>
          <w:lang w:eastAsia="zh-CN"/>
        </w:rPr>
        <w:t>风险包括</w:t>
      </w:r>
      <w:r w:rsidRPr="00421130">
        <w:rPr>
          <w:lang w:eastAsia="zh-CN"/>
        </w:rPr>
        <w:t>事件发生的可能性（</w:t>
      </w:r>
      <w:r w:rsidRPr="00421130">
        <w:rPr>
          <w:rFonts w:hint="eastAsia"/>
          <w:lang w:eastAsia="zh-CN"/>
        </w:rPr>
        <w:t>概率</w:t>
      </w:r>
      <w:r w:rsidRPr="00421130">
        <w:rPr>
          <w:lang w:eastAsia="zh-CN"/>
        </w:rPr>
        <w:t>）</w:t>
      </w:r>
      <w:r w:rsidRPr="00421130">
        <w:rPr>
          <w:rFonts w:hint="eastAsia"/>
          <w:lang w:eastAsia="zh-CN"/>
        </w:rPr>
        <w:t>及其</w:t>
      </w:r>
      <w:r w:rsidRPr="00421130">
        <w:rPr>
          <w:lang w:eastAsia="zh-CN"/>
        </w:rPr>
        <w:t>后果（</w:t>
      </w:r>
      <w:r w:rsidRPr="00421130">
        <w:rPr>
          <w:rFonts w:hint="eastAsia"/>
          <w:lang w:eastAsia="zh-CN"/>
        </w:rPr>
        <w:t>影响</w:t>
      </w:r>
      <w:r w:rsidRPr="00421130">
        <w:rPr>
          <w:lang w:eastAsia="zh-CN"/>
        </w:rPr>
        <w:t>）</w:t>
      </w:r>
      <w:r w:rsidR="00133C6E" w:rsidRPr="00421130">
        <w:rPr>
          <w:rFonts w:hint="eastAsia"/>
          <w:lang w:eastAsia="zh-CN"/>
        </w:rPr>
        <w:t>的组合</w:t>
      </w:r>
      <w:r w:rsidRPr="00421130">
        <w:rPr>
          <w:rFonts w:hint="eastAsia"/>
          <w:lang w:eastAsia="zh-CN"/>
        </w:rPr>
        <w:t>。</w:t>
      </w:r>
      <w:bookmarkStart w:id="14" w:name="lt_pId151"/>
      <w:r w:rsidR="00242E77" w:rsidRPr="00421130">
        <w:rPr>
          <w:lang w:eastAsia="zh-CN"/>
        </w:rPr>
        <w:t>此评估由所有</w:t>
      </w:r>
      <w:r w:rsidR="00242E77" w:rsidRPr="00421130">
        <w:rPr>
          <w:rFonts w:hint="eastAsia"/>
          <w:lang w:eastAsia="zh-CN"/>
        </w:rPr>
        <w:t>职员</w:t>
      </w:r>
      <w:r w:rsidR="008863C9" w:rsidRPr="00421130">
        <w:rPr>
          <w:rFonts w:hint="eastAsia"/>
          <w:lang w:eastAsia="zh-CN"/>
        </w:rPr>
        <w:t>在</w:t>
      </w:r>
      <w:r w:rsidR="008863C9" w:rsidRPr="00421130">
        <w:rPr>
          <w:lang w:eastAsia="zh-CN"/>
        </w:rPr>
        <w:t>风险等级中适当</w:t>
      </w:r>
      <w:r w:rsidR="008863C9" w:rsidRPr="00421130">
        <w:rPr>
          <w:rFonts w:hint="eastAsia"/>
          <w:lang w:eastAsia="zh-CN"/>
        </w:rPr>
        <w:t>等级</w:t>
      </w:r>
      <w:r w:rsidR="00242E77" w:rsidRPr="00421130">
        <w:rPr>
          <w:rFonts w:hint="eastAsia"/>
          <w:lang w:eastAsia="zh-CN"/>
        </w:rPr>
        <w:t>执行。</w:t>
      </w:r>
      <w:bookmarkEnd w:id="14"/>
    </w:p>
    <w:p w14:paraId="51CF94A9" w14:textId="77777777" w:rsidR="00242E77" w:rsidRPr="00421130" w:rsidRDefault="00C604EC" w:rsidP="00421130">
      <w:pPr>
        <w:ind w:firstLineChars="200" w:firstLine="480"/>
        <w:rPr>
          <w:lang w:eastAsia="zh-CN"/>
        </w:rPr>
      </w:pPr>
      <w:r w:rsidRPr="00421130">
        <w:rPr>
          <w:rFonts w:hint="eastAsia"/>
          <w:lang w:eastAsia="zh-CN"/>
        </w:rPr>
        <w:t>可能性是通过风险管理手册中详细</w:t>
      </w:r>
      <w:r w:rsidR="00012C98" w:rsidRPr="00421130">
        <w:rPr>
          <w:rFonts w:hint="eastAsia"/>
          <w:lang w:eastAsia="zh-CN"/>
        </w:rPr>
        <w:t>说明</w:t>
      </w:r>
      <w:r w:rsidRPr="00421130">
        <w:rPr>
          <w:rFonts w:hint="eastAsia"/>
          <w:lang w:eastAsia="zh-CN"/>
        </w:rPr>
        <w:t>的概率</w:t>
      </w:r>
      <w:r w:rsidRPr="00421130">
        <w:rPr>
          <w:rFonts w:hint="eastAsia"/>
          <w:lang w:eastAsia="zh-CN"/>
        </w:rPr>
        <w:t>/</w:t>
      </w:r>
      <w:r w:rsidRPr="00421130">
        <w:rPr>
          <w:rFonts w:hint="eastAsia"/>
          <w:lang w:eastAsia="zh-CN"/>
        </w:rPr>
        <w:t>频率</w:t>
      </w:r>
      <w:r w:rsidR="00242E77" w:rsidRPr="00421130">
        <w:rPr>
          <w:rFonts w:hint="eastAsia"/>
          <w:lang w:eastAsia="zh-CN"/>
        </w:rPr>
        <w:t>根据</w:t>
      </w:r>
      <w:r w:rsidR="00012C98" w:rsidRPr="00421130">
        <w:rPr>
          <w:rFonts w:hint="eastAsia"/>
          <w:lang w:eastAsia="zh-CN"/>
        </w:rPr>
        <w:t>具体</w:t>
      </w:r>
      <w:r w:rsidR="00242E77" w:rsidRPr="00421130">
        <w:rPr>
          <w:rFonts w:hint="eastAsia"/>
          <w:lang w:eastAsia="zh-CN"/>
        </w:rPr>
        <w:t>的</w:t>
      </w:r>
      <w:r w:rsidR="00012C98" w:rsidRPr="00421130">
        <w:rPr>
          <w:rFonts w:hint="eastAsia"/>
          <w:lang w:eastAsia="zh-CN"/>
        </w:rPr>
        <w:t>矩阵按等级估计的</w:t>
      </w:r>
      <w:r w:rsidRPr="00421130">
        <w:rPr>
          <w:rFonts w:hint="eastAsia"/>
          <w:lang w:eastAsia="zh-CN"/>
        </w:rPr>
        <w:t>。</w:t>
      </w:r>
      <w:r w:rsidR="00012C98" w:rsidRPr="00421130">
        <w:rPr>
          <w:rFonts w:hint="eastAsia"/>
          <w:lang w:eastAsia="zh-CN"/>
        </w:rPr>
        <w:t>“影响”是</w:t>
      </w:r>
      <w:r w:rsidRPr="00421130">
        <w:rPr>
          <w:rFonts w:hint="eastAsia"/>
          <w:lang w:eastAsia="zh-CN"/>
        </w:rPr>
        <w:t>通过风险管理手册中详细</w:t>
      </w:r>
      <w:r w:rsidR="00012C98" w:rsidRPr="00421130">
        <w:rPr>
          <w:rFonts w:hint="eastAsia"/>
          <w:lang w:eastAsia="zh-CN"/>
        </w:rPr>
        <w:t>说明的视角</w:t>
      </w:r>
      <w:r w:rsidR="00242E77" w:rsidRPr="00421130">
        <w:rPr>
          <w:rFonts w:hint="eastAsia"/>
          <w:lang w:eastAsia="zh-CN"/>
        </w:rPr>
        <w:t>根据</w:t>
      </w:r>
      <w:r w:rsidR="00012C98" w:rsidRPr="00421130">
        <w:rPr>
          <w:rFonts w:hint="eastAsia"/>
          <w:lang w:eastAsia="zh-CN"/>
        </w:rPr>
        <w:t>具体矩阵按等级估计的</w:t>
      </w:r>
      <w:r w:rsidRPr="00421130">
        <w:rPr>
          <w:rFonts w:hint="eastAsia"/>
          <w:lang w:eastAsia="zh-CN"/>
        </w:rPr>
        <w:t>。</w:t>
      </w:r>
    </w:p>
    <w:p w14:paraId="740A385F" w14:textId="626E5E06" w:rsidR="00012C98" w:rsidRPr="00421130" w:rsidRDefault="00012C98" w:rsidP="00421130">
      <w:pPr>
        <w:ind w:firstLineChars="200" w:firstLine="480"/>
        <w:rPr>
          <w:lang w:eastAsia="zh-CN"/>
        </w:rPr>
      </w:pPr>
      <w:r w:rsidRPr="00421130">
        <w:rPr>
          <w:lang w:eastAsia="zh-CN"/>
        </w:rPr>
        <w:t>为了方便报告，</w:t>
      </w:r>
      <w:r w:rsidR="00AB7A67" w:rsidRPr="00421130">
        <w:rPr>
          <w:rFonts w:hint="eastAsia"/>
          <w:lang w:eastAsia="zh-CN"/>
        </w:rPr>
        <w:t>把</w:t>
      </w:r>
      <w:r w:rsidRPr="00421130">
        <w:rPr>
          <w:lang w:eastAsia="zh-CN"/>
        </w:rPr>
        <w:t>风险绘制</w:t>
      </w:r>
      <w:r w:rsidRPr="00421130">
        <w:rPr>
          <w:rFonts w:hint="eastAsia"/>
          <w:lang w:eastAsia="zh-CN"/>
        </w:rPr>
        <w:t>到</w:t>
      </w:r>
      <w:r w:rsidRPr="00421130">
        <w:rPr>
          <w:lang w:eastAsia="zh-CN"/>
        </w:rPr>
        <w:t>国际电信联盟的风险等级图上，详情见</w:t>
      </w:r>
      <w:r w:rsidRPr="00421130">
        <w:rPr>
          <w:rFonts w:hint="eastAsia"/>
          <w:lang w:eastAsia="zh-CN"/>
        </w:rPr>
        <w:t>《</w:t>
      </w:r>
      <w:r w:rsidRPr="00421130">
        <w:rPr>
          <w:lang w:eastAsia="zh-CN"/>
        </w:rPr>
        <w:t>风险管理手册</w:t>
      </w:r>
      <w:r w:rsidRPr="00421130">
        <w:rPr>
          <w:rFonts w:hint="eastAsia"/>
          <w:lang w:eastAsia="zh-CN"/>
        </w:rPr>
        <w:t>》</w:t>
      </w:r>
      <w:r w:rsidRPr="00421130">
        <w:rPr>
          <w:lang w:eastAsia="zh-CN"/>
        </w:rPr>
        <w:t>。</w:t>
      </w:r>
    </w:p>
    <w:p w14:paraId="77238BF5" w14:textId="7F22F815" w:rsidR="008E6A9D" w:rsidRPr="008E6A9D" w:rsidRDefault="008E6A9D" w:rsidP="00421130">
      <w:pPr>
        <w:pStyle w:val="Heading2"/>
        <w:rPr>
          <w:lang w:eastAsia="zh-CN"/>
        </w:rPr>
      </w:pPr>
      <w:r w:rsidRPr="008E6A9D">
        <w:rPr>
          <w:lang w:eastAsia="zh-CN"/>
        </w:rPr>
        <w:lastRenderedPageBreak/>
        <w:t>2.3</w:t>
      </w:r>
      <w:r w:rsidRPr="008E6A9D">
        <w:rPr>
          <w:lang w:eastAsia="zh-CN"/>
        </w:rPr>
        <w:tab/>
      </w:r>
      <w:r w:rsidR="00012C98" w:rsidRPr="00012C98">
        <w:rPr>
          <w:rFonts w:ascii="SimSun" w:hAnsi="SimSun" w:cs="SimSun" w:hint="eastAsia"/>
          <w:bCs/>
          <w:lang w:eastAsia="zh-CN"/>
        </w:rPr>
        <w:t>风险应对</w:t>
      </w:r>
    </w:p>
    <w:p w14:paraId="7E55E422" w14:textId="4355D760" w:rsidR="00012C98" w:rsidRPr="00421130" w:rsidRDefault="00012C98" w:rsidP="00421130">
      <w:pPr>
        <w:ind w:firstLineChars="200" w:firstLine="480"/>
        <w:rPr>
          <w:lang w:eastAsia="zh-CN"/>
        </w:rPr>
      </w:pPr>
      <w:r w:rsidRPr="00421130">
        <w:rPr>
          <w:rFonts w:hint="eastAsia"/>
          <w:lang w:eastAsia="zh-CN"/>
        </w:rPr>
        <w:t>考虑到风险偏好，风险应对措施包括选择适合于</w:t>
      </w:r>
      <w:r w:rsidR="00D2573D" w:rsidRPr="00421130">
        <w:rPr>
          <w:rFonts w:hint="eastAsia"/>
          <w:lang w:eastAsia="zh-CN"/>
        </w:rPr>
        <w:t>所述</w:t>
      </w:r>
      <w:r w:rsidRPr="00421130">
        <w:rPr>
          <w:rFonts w:hint="eastAsia"/>
          <w:lang w:eastAsia="zh-CN"/>
        </w:rPr>
        <w:t>风险的行动，可以采取以下形式：</w:t>
      </w:r>
    </w:p>
    <w:p w14:paraId="0479D459" w14:textId="7987CB22" w:rsidR="00012C98" w:rsidRPr="00012C98" w:rsidRDefault="00421130" w:rsidP="00421130">
      <w:pPr>
        <w:pStyle w:val="enumlev1"/>
        <w:rPr>
          <w:rFonts w:eastAsia="Times New Roman"/>
          <w:lang w:eastAsia="zh-CN"/>
        </w:rPr>
      </w:pPr>
      <w:r w:rsidRPr="00421130">
        <w:rPr>
          <w:lang w:val="fr-FR" w:eastAsia="zh-CN"/>
        </w:rPr>
        <w:t>a)</w:t>
      </w:r>
      <w:r w:rsidRPr="00421130">
        <w:rPr>
          <w:b/>
          <w:bCs/>
          <w:lang w:val="fr-FR" w:eastAsia="zh-CN"/>
        </w:rPr>
        <w:tab/>
      </w:r>
      <w:r w:rsidR="00012C98" w:rsidRPr="00D2573D">
        <w:rPr>
          <w:rFonts w:hint="eastAsia"/>
          <w:b/>
          <w:bCs/>
          <w:lang w:eastAsia="zh-CN"/>
        </w:rPr>
        <w:t>缓解</w:t>
      </w:r>
      <w:r w:rsidR="00012C98" w:rsidRPr="00012C98">
        <w:rPr>
          <w:rFonts w:hint="eastAsia"/>
          <w:lang w:eastAsia="zh-CN"/>
        </w:rPr>
        <w:t>行动：旨在</w:t>
      </w:r>
      <w:r w:rsidR="00D2573D">
        <w:rPr>
          <w:rFonts w:hint="eastAsia"/>
          <w:lang w:eastAsia="zh-CN"/>
        </w:rPr>
        <w:t>减轻</w:t>
      </w:r>
      <w:r w:rsidR="00012C98" w:rsidRPr="00012C98">
        <w:rPr>
          <w:rFonts w:hint="eastAsia"/>
          <w:lang w:eastAsia="zh-CN"/>
        </w:rPr>
        <w:t>风险的影响或</w:t>
      </w:r>
      <w:r w:rsidR="00D2573D">
        <w:rPr>
          <w:rFonts w:hint="eastAsia"/>
          <w:lang w:eastAsia="zh-CN"/>
        </w:rPr>
        <w:t>降低</w:t>
      </w:r>
      <w:r w:rsidR="00012C98" w:rsidRPr="00012C98">
        <w:rPr>
          <w:rFonts w:hint="eastAsia"/>
          <w:lang w:eastAsia="zh-CN"/>
        </w:rPr>
        <w:t>可能性，并且是一次性措施，有</w:t>
      </w:r>
      <w:r w:rsidR="00D2573D">
        <w:rPr>
          <w:rFonts w:hint="eastAsia"/>
          <w:lang w:eastAsia="zh-CN"/>
        </w:rPr>
        <w:t>具体</w:t>
      </w:r>
      <w:r w:rsidR="00012C98" w:rsidRPr="00012C98">
        <w:rPr>
          <w:rFonts w:hint="eastAsia"/>
          <w:lang w:eastAsia="zh-CN"/>
        </w:rPr>
        <w:t>的目标和期限，可以加强控制和</w:t>
      </w:r>
      <w:r w:rsidR="00012C98" w:rsidRPr="00012C98">
        <w:rPr>
          <w:rFonts w:eastAsia="Times New Roman" w:hint="eastAsia"/>
          <w:lang w:eastAsia="zh-CN"/>
        </w:rPr>
        <w:t>/</w:t>
      </w:r>
      <w:r w:rsidR="00012C98" w:rsidRPr="00012C98">
        <w:rPr>
          <w:rFonts w:hint="eastAsia"/>
          <w:lang w:eastAsia="zh-CN"/>
        </w:rPr>
        <w:t>或</w:t>
      </w:r>
      <w:r w:rsidR="00D2573D">
        <w:rPr>
          <w:rFonts w:hint="eastAsia"/>
          <w:lang w:eastAsia="zh-CN"/>
        </w:rPr>
        <w:t>降低</w:t>
      </w:r>
      <w:r w:rsidR="00012C98" w:rsidRPr="00012C98">
        <w:rPr>
          <w:rFonts w:hint="eastAsia"/>
          <w:lang w:eastAsia="zh-CN"/>
        </w:rPr>
        <w:t>风险事件的可能性或</w:t>
      </w:r>
      <w:r w:rsidR="00D2573D">
        <w:rPr>
          <w:rFonts w:hint="eastAsia"/>
          <w:lang w:eastAsia="zh-CN"/>
        </w:rPr>
        <w:t>减轻</w:t>
      </w:r>
      <w:r w:rsidR="00012C98" w:rsidRPr="00012C98">
        <w:rPr>
          <w:rFonts w:hint="eastAsia"/>
          <w:lang w:eastAsia="zh-CN"/>
        </w:rPr>
        <w:t>影响；</w:t>
      </w:r>
    </w:p>
    <w:p w14:paraId="50D40FE8" w14:textId="3B725D8C" w:rsidR="00012C98" w:rsidRPr="00012C98" w:rsidRDefault="00421130" w:rsidP="00421130">
      <w:pPr>
        <w:pStyle w:val="enumlev1"/>
        <w:rPr>
          <w:rFonts w:eastAsia="Times New Roman"/>
          <w:lang w:eastAsia="zh-CN"/>
        </w:rPr>
      </w:pPr>
      <w:r>
        <w:rPr>
          <w:lang w:val="fr-FR" w:eastAsia="zh-CN"/>
        </w:rPr>
        <w:t>b</w:t>
      </w:r>
      <w:r w:rsidRPr="00421130">
        <w:rPr>
          <w:lang w:val="fr-FR" w:eastAsia="zh-CN"/>
        </w:rPr>
        <w:t>)</w:t>
      </w:r>
      <w:r>
        <w:rPr>
          <w:lang w:val="fr-FR" w:eastAsia="zh-CN"/>
        </w:rPr>
        <w:tab/>
      </w:r>
      <w:r w:rsidR="00012C98" w:rsidRPr="00D2573D">
        <w:rPr>
          <w:rFonts w:hint="eastAsia"/>
          <w:b/>
          <w:bCs/>
          <w:lang w:eastAsia="zh-CN"/>
        </w:rPr>
        <w:t>转移</w:t>
      </w:r>
      <w:r w:rsidR="00012C98" w:rsidRPr="00012C98">
        <w:rPr>
          <w:rFonts w:hint="eastAsia"/>
          <w:lang w:eastAsia="zh-CN"/>
        </w:rPr>
        <w:t>行动：已</w:t>
      </w:r>
      <w:r w:rsidR="00087F16">
        <w:rPr>
          <w:rFonts w:hint="eastAsia"/>
          <w:lang w:eastAsia="zh-CN"/>
        </w:rPr>
        <w:t>确定</w:t>
      </w:r>
      <w:r w:rsidR="00012C98" w:rsidRPr="00012C98">
        <w:rPr>
          <w:rFonts w:hint="eastAsia"/>
          <w:lang w:eastAsia="zh-CN"/>
        </w:rPr>
        <w:t>风险，风险责任仍由</w:t>
      </w:r>
      <w:r w:rsidR="000E5618">
        <w:rPr>
          <w:rFonts w:hint="eastAsia"/>
          <w:lang w:eastAsia="zh-CN"/>
        </w:rPr>
        <w:t>风险责任人</w:t>
      </w:r>
      <w:r w:rsidR="00012C98" w:rsidRPr="00012C98">
        <w:rPr>
          <w:rFonts w:hint="eastAsia"/>
          <w:lang w:eastAsia="zh-CN"/>
        </w:rPr>
        <w:t>承担，但风险缓解措施的管理已分配给适当的级别：</w:t>
      </w:r>
      <w:r w:rsidR="00D2573D">
        <w:rPr>
          <w:rFonts w:hint="eastAsia"/>
          <w:lang w:eastAsia="zh-CN"/>
        </w:rPr>
        <w:t>另外一个部门、处室、科室、单元</w:t>
      </w:r>
      <w:r w:rsidR="00012C98" w:rsidRPr="00012C98">
        <w:rPr>
          <w:rFonts w:hint="eastAsia"/>
          <w:lang w:eastAsia="zh-CN"/>
        </w:rPr>
        <w:t>或外包；</w:t>
      </w:r>
    </w:p>
    <w:p w14:paraId="7EE7A823" w14:textId="25C406FC" w:rsidR="00012C98" w:rsidRPr="00B15770" w:rsidRDefault="00421130" w:rsidP="00421130">
      <w:pPr>
        <w:pStyle w:val="enumlev1"/>
        <w:rPr>
          <w:rFonts w:eastAsia="Times New Roman"/>
          <w:lang w:eastAsia="zh-CN"/>
        </w:rPr>
      </w:pPr>
      <w:r>
        <w:rPr>
          <w:lang w:val="fr-FR" w:eastAsia="zh-CN"/>
        </w:rPr>
        <w:t>c</w:t>
      </w:r>
      <w:r w:rsidRPr="00421130">
        <w:rPr>
          <w:lang w:val="fr-FR" w:eastAsia="zh-CN"/>
        </w:rPr>
        <w:t>)</w:t>
      </w:r>
      <w:r>
        <w:rPr>
          <w:lang w:val="fr-FR" w:eastAsia="zh-CN"/>
        </w:rPr>
        <w:tab/>
      </w:r>
      <w:r w:rsidR="00012C98" w:rsidRPr="00D2573D">
        <w:rPr>
          <w:rFonts w:hint="eastAsia"/>
          <w:b/>
          <w:bCs/>
          <w:lang w:eastAsia="zh-CN"/>
        </w:rPr>
        <w:t>接受</w:t>
      </w:r>
      <w:r w:rsidR="00012C98" w:rsidRPr="00012C98">
        <w:rPr>
          <w:rFonts w:hint="eastAsia"/>
          <w:lang w:eastAsia="zh-CN"/>
        </w:rPr>
        <w:t>行动：</w:t>
      </w:r>
      <w:r w:rsidR="00331FEB" w:rsidRPr="00012C98">
        <w:rPr>
          <w:rFonts w:hint="eastAsia"/>
          <w:lang w:eastAsia="zh-CN"/>
        </w:rPr>
        <w:t>只要风险在风险</w:t>
      </w:r>
      <w:r w:rsidR="00331FEB">
        <w:rPr>
          <w:rFonts w:hint="eastAsia"/>
          <w:lang w:eastAsia="zh-CN"/>
        </w:rPr>
        <w:t>偏好范围</w:t>
      </w:r>
      <w:r w:rsidR="00331FEB" w:rsidRPr="00012C98">
        <w:rPr>
          <w:rFonts w:hint="eastAsia"/>
          <w:lang w:eastAsia="zh-CN"/>
        </w:rPr>
        <w:t>之内</w:t>
      </w:r>
      <w:r w:rsidR="00331FEB">
        <w:rPr>
          <w:rFonts w:hint="eastAsia"/>
          <w:lang w:eastAsia="zh-CN"/>
        </w:rPr>
        <w:t>，</w:t>
      </w:r>
      <w:r w:rsidR="00012C98" w:rsidRPr="00012C98">
        <w:rPr>
          <w:rFonts w:hint="eastAsia"/>
          <w:lang w:eastAsia="zh-CN"/>
        </w:rPr>
        <w:t>不加缓解地接受风险也是一种选择。</w:t>
      </w:r>
    </w:p>
    <w:p w14:paraId="6364EDB5" w14:textId="582B4DF9" w:rsidR="00012C98" w:rsidRPr="00421130" w:rsidRDefault="00012C98" w:rsidP="00421130">
      <w:pPr>
        <w:ind w:firstLineChars="200" w:firstLine="480"/>
        <w:rPr>
          <w:lang w:eastAsia="zh-CN"/>
        </w:rPr>
      </w:pPr>
      <w:r w:rsidRPr="00421130">
        <w:rPr>
          <w:rFonts w:hint="eastAsia"/>
          <w:lang w:eastAsia="zh-CN"/>
        </w:rPr>
        <w:t>无论选择哪种行动，都应确定与</w:t>
      </w:r>
      <w:r w:rsidR="00B15770" w:rsidRPr="00421130">
        <w:rPr>
          <w:rFonts w:hint="eastAsia"/>
          <w:lang w:eastAsia="zh-CN"/>
        </w:rPr>
        <w:t>所述</w:t>
      </w:r>
      <w:r w:rsidRPr="00421130">
        <w:rPr>
          <w:rFonts w:hint="eastAsia"/>
          <w:lang w:eastAsia="zh-CN"/>
        </w:rPr>
        <w:t>风险相关的控制措施。在国际电联的各个级别</w:t>
      </w:r>
      <w:r w:rsidR="00B15770" w:rsidRPr="00421130">
        <w:rPr>
          <w:rFonts w:hint="eastAsia"/>
          <w:lang w:eastAsia="zh-CN"/>
        </w:rPr>
        <w:t>都</w:t>
      </w:r>
      <w:r w:rsidRPr="00421130">
        <w:rPr>
          <w:rFonts w:hint="eastAsia"/>
          <w:lang w:eastAsia="zh-CN"/>
        </w:rPr>
        <w:t>设计</w:t>
      </w:r>
      <w:r w:rsidR="00B15770" w:rsidRPr="00421130">
        <w:rPr>
          <w:rFonts w:hint="eastAsia"/>
          <w:lang w:eastAsia="zh-CN"/>
        </w:rPr>
        <w:t>了控制措施</w:t>
      </w:r>
      <w:r w:rsidRPr="00421130">
        <w:rPr>
          <w:rFonts w:hint="eastAsia"/>
          <w:lang w:eastAsia="zh-CN"/>
        </w:rPr>
        <w:t>，</w:t>
      </w:r>
      <w:r w:rsidR="00B15770" w:rsidRPr="00421130">
        <w:rPr>
          <w:rFonts w:hint="eastAsia"/>
          <w:lang w:eastAsia="zh-CN"/>
        </w:rPr>
        <w:t>制定的控制措施</w:t>
      </w:r>
      <w:r w:rsidRPr="00421130">
        <w:rPr>
          <w:rFonts w:hint="eastAsia"/>
          <w:lang w:eastAsia="zh-CN"/>
        </w:rPr>
        <w:t>旨在确保对报告可靠性</w:t>
      </w:r>
      <w:r w:rsidR="00B15770" w:rsidRPr="00421130">
        <w:rPr>
          <w:rFonts w:hint="eastAsia"/>
          <w:lang w:eastAsia="zh-CN"/>
        </w:rPr>
        <w:t>做出</w:t>
      </w:r>
      <w:r w:rsidRPr="00421130">
        <w:rPr>
          <w:rFonts w:hint="eastAsia"/>
          <w:lang w:eastAsia="zh-CN"/>
        </w:rPr>
        <w:t>合理保证；</w:t>
      </w:r>
      <w:r w:rsidR="00331FEB" w:rsidRPr="00421130">
        <w:rPr>
          <w:rFonts w:hint="eastAsia"/>
          <w:lang w:eastAsia="zh-CN"/>
        </w:rPr>
        <w:t>运作</w:t>
      </w:r>
      <w:r w:rsidRPr="00421130">
        <w:rPr>
          <w:rFonts w:hint="eastAsia"/>
          <w:lang w:eastAsia="zh-CN"/>
        </w:rPr>
        <w:t>的有效性和效率；遵守适用的政策</w:t>
      </w:r>
      <w:r w:rsidR="00247040" w:rsidRPr="00421130">
        <w:rPr>
          <w:rFonts w:hint="eastAsia"/>
          <w:lang w:eastAsia="zh-CN"/>
        </w:rPr>
        <w:t>、规章</w:t>
      </w:r>
      <w:r w:rsidRPr="00421130">
        <w:rPr>
          <w:rFonts w:hint="eastAsia"/>
          <w:lang w:eastAsia="zh-CN"/>
        </w:rPr>
        <w:t>和规则，以及保护资源。控制</w:t>
      </w:r>
      <w:r w:rsidR="00247040" w:rsidRPr="00421130">
        <w:rPr>
          <w:rFonts w:hint="eastAsia"/>
          <w:lang w:eastAsia="zh-CN"/>
        </w:rPr>
        <w:t>措施可以</w:t>
      </w:r>
      <w:r w:rsidRPr="00421130">
        <w:rPr>
          <w:rFonts w:hint="eastAsia"/>
          <w:lang w:eastAsia="zh-CN"/>
        </w:rPr>
        <w:t>采取各种形式，例如规章</w:t>
      </w:r>
      <w:r w:rsidR="00247040" w:rsidRPr="00421130">
        <w:rPr>
          <w:rFonts w:hint="eastAsia"/>
          <w:lang w:eastAsia="zh-CN"/>
        </w:rPr>
        <w:t>和规则</w:t>
      </w:r>
      <w:r w:rsidR="00331FEB" w:rsidRPr="00421130">
        <w:rPr>
          <w:rFonts w:hint="eastAsia"/>
          <w:lang w:eastAsia="zh-CN"/>
        </w:rPr>
        <w:t>，</w:t>
      </w:r>
      <w:r w:rsidR="00247040" w:rsidRPr="00421130">
        <w:rPr>
          <w:rFonts w:hint="eastAsia"/>
          <w:lang w:eastAsia="zh-CN"/>
        </w:rPr>
        <w:t>办公指令和</w:t>
      </w:r>
      <w:r w:rsidRPr="00421130">
        <w:rPr>
          <w:rFonts w:hint="eastAsia"/>
          <w:lang w:eastAsia="zh-CN"/>
        </w:rPr>
        <w:t>信息技术系统中和</w:t>
      </w:r>
      <w:r w:rsidR="00247040" w:rsidRPr="00421130">
        <w:rPr>
          <w:rFonts w:hint="eastAsia"/>
          <w:lang w:eastAsia="zh-CN"/>
        </w:rPr>
        <w:t>控制等</w:t>
      </w:r>
      <w:r w:rsidRPr="00421130">
        <w:rPr>
          <w:rFonts w:hint="eastAsia"/>
          <w:lang w:eastAsia="zh-CN"/>
        </w:rPr>
        <w:t>。</w:t>
      </w:r>
      <w:r w:rsidR="00247040" w:rsidRPr="00421130">
        <w:rPr>
          <w:rFonts w:hint="eastAsia"/>
          <w:lang w:eastAsia="zh-CN"/>
        </w:rPr>
        <w:t>控制措施与</w:t>
      </w:r>
      <w:r w:rsidR="00331FEB" w:rsidRPr="00421130">
        <w:rPr>
          <w:rFonts w:hint="eastAsia"/>
          <w:lang w:eastAsia="zh-CN"/>
        </w:rPr>
        <w:t>其</w:t>
      </w:r>
      <w:r w:rsidR="00247040" w:rsidRPr="00421130">
        <w:rPr>
          <w:rFonts w:hint="eastAsia"/>
          <w:lang w:eastAsia="zh-CN"/>
        </w:rPr>
        <w:t>旨在缓解的风险</w:t>
      </w:r>
      <w:r w:rsidRPr="00421130">
        <w:rPr>
          <w:rFonts w:hint="eastAsia"/>
          <w:lang w:eastAsia="zh-CN"/>
        </w:rPr>
        <w:t>是相互</w:t>
      </w:r>
      <w:r w:rsidR="00247040" w:rsidRPr="00421130">
        <w:rPr>
          <w:rFonts w:hint="eastAsia"/>
          <w:lang w:eastAsia="zh-CN"/>
        </w:rPr>
        <w:t>参照</w:t>
      </w:r>
      <w:r w:rsidRPr="00421130">
        <w:rPr>
          <w:rFonts w:hint="eastAsia"/>
          <w:lang w:eastAsia="zh-CN"/>
        </w:rPr>
        <w:t>的。通过控制评估</w:t>
      </w:r>
      <w:r w:rsidR="00247040" w:rsidRPr="00421130">
        <w:rPr>
          <w:rFonts w:hint="eastAsia"/>
          <w:lang w:eastAsia="zh-CN"/>
        </w:rPr>
        <w:t>所</w:t>
      </w:r>
      <w:r w:rsidRPr="00421130">
        <w:rPr>
          <w:rFonts w:hint="eastAsia"/>
          <w:lang w:eastAsia="zh-CN"/>
        </w:rPr>
        <w:t>确定的控制</w:t>
      </w:r>
      <w:r w:rsidR="00247040" w:rsidRPr="00421130">
        <w:rPr>
          <w:rFonts w:hint="eastAsia"/>
          <w:lang w:eastAsia="zh-CN"/>
        </w:rPr>
        <w:t>措施的</w:t>
      </w:r>
      <w:r w:rsidRPr="00421130">
        <w:rPr>
          <w:rFonts w:hint="eastAsia"/>
          <w:lang w:eastAsia="zh-CN"/>
        </w:rPr>
        <w:t>有效性将影响</w:t>
      </w:r>
      <w:r w:rsidR="0006146C" w:rsidRPr="00421130">
        <w:rPr>
          <w:rFonts w:hint="eastAsia"/>
          <w:lang w:eastAsia="zh-CN"/>
        </w:rPr>
        <w:t>一项</w:t>
      </w:r>
      <w:r w:rsidRPr="00421130">
        <w:rPr>
          <w:rFonts w:hint="eastAsia"/>
          <w:lang w:eastAsia="zh-CN"/>
        </w:rPr>
        <w:t>控制</w:t>
      </w:r>
      <w:r w:rsidR="0006146C" w:rsidRPr="00421130">
        <w:rPr>
          <w:rFonts w:hint="eastAsia"/>
          <w:lang w:eastAsia="zh-CN"/>
        </w:rPr>
        <w:t>措施能够缓解</w:t>
      </w:r>
      <w:r w:rsidRPr="00421130">
        <w:rPr>
          <w:rFonts w:hint="eastAsia"/>
          <w:lang w:eastAsia="zh-CN"/>
        </w:rPr>
        <w:t>与之相关联的风险的程度。</w:t>
      </w:r>
    </w:p>
    <w:p w14:paraId="62F176C9" w14:textId="662CF280" w:rsidR="008E6A9D" w:rsidRPr="00421130" w:rsidRDefault="008E6A9D" w:rsidP="00421130">
      <w:pPr>
        <w:pStyle w:val="Heading2"/>
        <w:rPr>
          <w:lang w:eastAsia="zh-CN"/>
        </w:rPr>
      </w:pPr>
      <w:r w:rsidRPr="00421130">
        <w:rPr>
          <w:lang w:eastAsia="zh-CN"/>
        </w:rPr>
        <w:t>2.4</w:t>
      </w:r>
      <w:r w:rsidRPr="00421130">
        <w:rPr>
          <w:lang w:eastAsia="zh-CN"/>
        </w:rPr>
        <w:tab/>
      </w:r>
      <w:r w:rsidR="0006146C" w:rsidRPr="00421130">
        <w:rPr>
          <w:rFonts w:hint="eastAsia"/>
          <w:lang w:eastAsia="zh-CN"/>
        </w:rPr>
        <w:t>风险评估和风险应对的批准</w:t>
      </w:r>
    </w:p>
    <w:p w14:paraId="1840BCCC" w14:textId="20C57A3C" w:rsidR="00331FEB" w:rsidRPr="00421130" w:rsidRDefault="0006146C" w:rsidP="00421130">
      <w:pPr>
        <w:ind w:firstLineChars="200" w:firstLine="480"/>
        <w:rPr>
          <w:lang w:eastAsia="zh-CN"/>
        </w:rPr>
      </w:pPr>
      <w:r w:rsidRPr="00421130">
        <w:rPr>
          <w:rFonts w:hint="eastAsia"/>
          <w:lang w:eastAsia="zh-CN"/>
        </w:rPr>
        <w:t>批准风险评估和应对可确保进行适当程度的</w:t>
      </w:r>
      <w:r w:rsidR="00824D00" w:rsidRPr="00421130">
        <w:rPr>
          <w:rFonts w:hint="eastAsia"/>
          <w:lang w:eastAsia="zh-CN"/>
        </w:rPr>
        <w:t>审议</w:t>
      </w:r>
      <w:r w:rsidRPr="00421130">
        <w:rPr>
          <w:rFonts w:hint="eastAsia"/>
          <w:lang w:eastAsia="zh-CN"/>
        </w:rPr>
        <w:t>并确保风险应对（缓解和控制）措施在工作计划中得到体现（如适用的话）。风险评估和风险应对的批准</w:t>
      </w:r>
      <w:r w:rsidR="00331FEB" w:rsidRPr="00421130">
        <w:rPr>
          <w:rFonts w:hint="eastAsia"/>
          <w:lang w:eastAsia="zh-CN"/>
        </w:rPr>
        <w:t>流程</w:t>
      </w:r>
      <w:r w:rsidRPr="00421130">
        <w:rPr>
          <w:rFonts w:hint="eastAsia"/>
          <w:lang w:eastAsia="zh-CN"/>
        </w:rPr>
        <w:t>如下（在《风险管理手册》中</w:t>
      </w:r>
      <w:r w:rsidR="00331FEB" w:rsidRPr="00421130">
        <w:rPr>
          <w:rFonts w:hint="eastAsia"/>
          <w:lang w:eastAsia="zh-CN"/>
        </w:rPr>
        <w:t>有</w:t>
      </w:r>
      <w:r w:rsidRPr="00421130">
        <w:rPr>
          <w:rFonts w:hint="eastAsia"/>
          <w:lang w:eastAsia="zh-CN"/>
        </w:rPr>
        <w:t>详细</w:t>
      </w:r>
      <w:r w:rsidR="00331FEB" w:rsidRPr="00421130">
        <w:rPr>
          <w:rFonts w:hint="eastAsia"/>
          <w:lang w:eastAsia="zh-CN"/>
        </w:rPr>
        <w:t>的</w:t>
      </w:r>
      <w:r w:rsidRPr="00421130">
        <w:rPr>
          <w:rFonts w:hint="eastAsia"/>
          <w:lang w:eastAsia="zh-CN"/>
        </w:rPr>
        <w:t>定义）：</w:t>
      </w: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w:t>
      </w:r>
      <w:r w:rsidR="000D457E" w:rsidRPr="00421130">
        <w:rPr>
          <w:rFonts w:hint="eastAsia"/>
          <w:lang w:eastAsia="zh-CN"/>
        </w:rPr>
        <w:t>对</w:t>
      </w:r>
      <w:r w:rsidRPr="00421130">
        <w:rPr>
          <w:rFonts w:hint="eastAsia"/>
          <w:lang w:eastAsia="zh-CN"/>
        </w:rPr>
        <w:t>国际电</w:t>
      </w:r>
      <w:proofErr w:type="gramStart"/>
      <w:r w:rsidRPr="00421130">
        <w:rPr>
          <w:rFonts w:hint="eastAsia"/>
          <w:lang w:eastAsia="zh-CN"/>
        </w:rPr>
        <w:t>联风险</w:t>
      </w:r>
      <w:proofErr w:type="gramEnd"/>
      <w:r w:rsidRPr="00421130">
        <w:rPr>
          <w:rFonts w:hint="eastAsia"/>
          <w:lang w:eastAsia="zh-CN"/>
        </w:rPr>
        <w:t>等级</w:t>
      </w:r>
      <w:r w:rsidR="000D457E" w:rsidRPr="00421130">
        <w:rPr>
          <w:rFonts w:hint="eastAsia"/>
          <w:lang w:eastAsia="zh-CN"/>
        </w:rPr>
        <w:t>图</w:t>
      </w:r>
      <w:r w:rsidRPr="00421130">
        <w:rPr>
          <w:rFonts w:hint="eastAsia"/>
          <w:lang w:eastAsia="zh-CN"/>
        </w:rPr>
        <w:t>中红色区域内所有风险</w:t>
      </w:r>
      <w:r w:rsidR="000D457E" w:rsidRPr="00421130">
        <w:rPr>
          <w:rFonts w:hint="eastAsia"/>
          <w:lang w:eastAsia="zh-CN"/>
        </w:rPr>
        <w:t>的</w:t>
      </w:r>
      <w:r w:rsidRPr="00421130">
        <w:rPr>
          <w:rFonts w:hint="eastAsia"/>
          <w:lang w:eastAsia="zh-CN"/>
        </w:rPr>
        <w:t>评估和应对</w:t>
      </w:r>
      <w:r w:rsidR="000D457E" w:rsidRPr="00421130">
        <w:rPr>
          <w:rFonts w:hint="eastAsia"/>
          <w:lang w:eastAsia="zh-CN"/>
        </w:rPr>
        <w:t>表示认可</w:t>
      </w:r>
      <w:r w:rsidRPr="00421130">
        <w:rPr>
          <w:rFonts w:hint="eastAsia"/>
          <w:lang w:eastAsia="zh-CN"/>
        </w:rPr>
        <w:t>；</w:t>
      </w:r>
      <w:r w:rsidR="000D457E" w:rsidRPr="00421130">
        <w:rPr>
          <w:rFonts w:hint="eastAsia"/>
          <w:lang w:eastAsia="zh-CN"/>
        </w:rPr>
        <w:t>各局主任</w:t>
      </w:r>
      <w:r w:rsidRPr="00421130">
        <w:rPr>
          <w:rFonts w:hint="eastAsia"/>
          <w:lang w:eastAsia="zh-CN"/>
        </w:rPr>
        <w:t>对</w:t>
      </w:r>
      <w:r w:rsidR="000D457E" w:rsidRPr="00421130">
        <w:rPr>
          <w:rFonts w:hint="eastAsia"/>
          <w:lang w:eastAsia="zh-CN"/>
        </w:rPr>
        <w:t>各自</w:t>
      </w:r>
      <w:r w:rsidRPr="00421130">
        <w:rPr>
          <w:rFonts w:hint="eastAsia"/>
          <w:lang w:eastAsia="zh-CN"/>
        </w:rPr>
        <w:t>部门风险的评估</w:t>
      </w:r>
      <w:r w:rsidR="000D457E" w:rsidRPr="00421130">
        <w:rPr>
          <w:rFonts w:hint="eastAsia"/>
          <w:lang w:eastAsia="zh-CN"/>
        </w:rPr>
        <w:t>和应对</w:t>
      </w:r>
      <w:r w:rsidR="00331FEB" w:rsidRPr="00421130">
        <w:rPr>
          <w:rFonts w:hint="eastAsia"/>
          <w:lang w:eastAsia="zh-CN"/>
        </w:rPr>
        <w:t>表示认可</w:t>
      </w:r>
      <w:r w:rsidRPr="00421130">
        <w:rPr>
          <w:rFonts w:hint="eastAsia"/>
          <w:lang w:eastAsia="zh-CN"/>
        </w:rPr>
        <w:t>，</w:t>
      </w:r>
      <w:r w:rsidR="000E5618" w:rsidRPr="00421130">
        <w:rPr>
          <w:rFonts w:hint="eastAsia"/>
          <w:lang w:eastAsia="zh-CN"/>
        </w:rPr>
        <w:t>风险责任人</w:t>
      </w:r>
      <w:r w:rsidR="000F22DF" w:rsidRPr="00421130">
        <w:rPr>
          <w:rFonts w:hint="eastAsia"/>
          <w:lang w:eastAsia="zh-CN"/>
        </w:rPr>
        <w:t>可以</w:t>
      </w:r>
      <w:r w:rsidR="00E22CFD" w:rsidRPr="00421130">
        <w:rPr>
          <w:rFonts w:hint="eastAsia"/>
          <w:lang w:eastAsia="zh-CN"/>
        </w:rPr>
        <w:t>对</w:t>
      </w:r>
      <w:r w:rsidR="000F22DF" w:rsidRPr="00421130">
        <w:rPr>
          <w:rFonts w:hint="eastAsia"/>
          <w:lang w:eastAsia="zh-CN"/>
        </w:rPr>
        <w:t>评估在绿色区域的</w:t>
      </w:r>
      <w:r w:rsidRPr="00421130">
        <w:rPr>
          <w:rFonts w:hint="eastAsia"/>
          <w:lang w:eastAsia="zh-CN"/>
        </w:rPr>
        <w:t>风险和风险</w:t>
      </w:r>
      <w:r w:rsidR="000D457E" w:rsidRPr="00421130">
        <w:rPr>
          <w:rFonts w:hint="eastAsia"/>
          <w:lang w:eastAsia="zh-CN"/>
        </w:rPr>
        <w:t>应对措施</w:t>
      </w:r>
      <w:r w:rsidR="00E22CFD" w:rsidRPr="00421130">
        <w:rPr>
          <w:rFonts w:hint="eastAsia"/>
          <w:lang w:eastAsia="zh-CN"/>
        </w:rPr>
        <w:t>进行</w:t>
      </w:r>
      <w:r w:rsidRPr="00421130">
        <w:rPr>
          <w:rFonts w:hint="eastAsia"/>
          <w:lang w:eastAsia="zh-CN"/>
        </w:rPr>
        <w:t>管理</w:t>
      </w:r>
      <w:r w:rsidR="00E22CFD" w:rsidRPr="00421130">
        <w:rPr>
          <w:rFonts w:hint="eastAsia"/>
          <w:lang w:eastAsia="zh-CN"/>
        </w:rPr>
        <w:t>，</w:t>
      </w:r>
      <w:r w:rsidR="000F22DF" w:rsidRPr="00421130">
        <w:rPr>
          <w:rFonts w:hint="eastAsia"/>
          <w:lang w:eastAsia="zh-CN"/>
        </w:rPr>
        <w:t>放入</w:t>
      </w:r>
      <w:r w:rsidR="00D049DE" w:rsidRPr="00421130">
        <w:rPr>
          <w:rFonts w:hint="eastAsia"/>
          <w:lang w:eastAsia="zh-CN"/>
        </w:rPr>
        <w:t>风险登记单</w:t>
      </w:r>
      <w:r w:rsidRPr="00421130">
        <w:rPr>
          <w:rFonts w:hint="eastAsia"/>
          <w:lang w:eastAsia="zh-CN"/>
        </w:rPr>
        <w:t>中，而无需额外批准。</w:t>
      </w:r>
      <w:r w:rsidR="00E22CFD" w:rsidRPr="00421130">
        <w:rPr>
          <w:rFonts w:hint="eastAsia"/>
          <w:lang w:eastAsia="zh-CN"/>
        </w:rPr>
        <w:t>关于</w:t>
      </w:r>
      <w:r w:rsidRPr="00421130">
        <w:rPr>
          <w:rFonts w:hint="eastAsia"/>
          <w:lang w:eastAsia="zh-CN"/>
        </w:rPr>
        <w:t>跨部门风险</w:t>
      </w:r>
      <w:r w:rsidR="00E22CFD" w:rsidRPr="00421130">
        <w:rPr>
          <w:rFonts w:hint="eastAsia"/>
          <w:lang w:eastAsia="zh-CN"/>
        </w:rPr>
        <w:t>，</w:t>
      </w:r>
      <w:r w:rsidR="000F22DF" w:rsidRPr="00421130">
        <w:rPr>
          <w:rFonts w:hint="eastAsia"/>
          <w:lang w:eastAsia="zh-CN"/>
        </w:rPr>
        <w:t>正在咨询</w:t>
      </w:r>
      <w:r w:rsidR="00E22CFD" w:rsidRPr="00421130">
        <w:rPr>
          <w:lang w:eastAsia="zh-CN"/>
        </w:rPr>
        <w:t>跨部门协调任务组</w:t>
      </w:r>
      <w:r w:rsidR="00E22CFD" w:rsidRPr="00421130">
        <w:rPr>
          <w:rFonts w:hint="eastAsia"/>
          <w:lang w:eastAsia="zh-CN"/>
        </w:rPr>
        <w:t>（</w:t>
      </w:r>
      <w:r w:rsidR="00E22CFD" w:rsidRPr="00421130">
        <w:rPr>
          <w:rFonts w:hint="eastAsia"/>
          <w:lang w:eastAsia="zh-CN"/>
        </w:rPr>
        <w:t>ISC-TF</w:t>
      </w:r>
      <w:r w:rsidR="00E22CFD" w:rsidRPr="00421130">
        <w:rPr>
          <w:rFonts w:hint="eastAsia"/>
          <w:lang w:eastAsia="zh-CN"/>
        </w:rPr>
        <w:t>）</w:t>
      </w:r>
      <w:r w:rsidRPr="00421130">
        <w:rPr>
          <w:rFonts w:hint="eastAsia"/>
          <w:lang w:eastAsia="zh-CN"/>
        </w:rPr>
        <w:t>，需要将其升级</w:t>
      </w:r>
      <w:r w:rsidR="007B26F6" w:rsidRPr="00421130">
        <w:rPr>
          <w:rFonts w:hint="eastAsia"/>
          <w:lang w:eastAsia="zh-CN"/>
        </w:rPr>
        <w:t>到</w:t>
      </w:r>
      <w:r w:rsidR="007B26F6" w:rsidRPr="00421130">
        <w:rPr>
          <w:lang w:eastAsia="zh-CN"/>
        </w:rPr>
        <w:t>管理协调组（</w:t>
      </w:r>
      <w:r w:rsidR="007B26F6" w:rsidRPr="00421130">
        <w:rPr>
          <w:lang w:eastAsia="zh-CN"/>
        </w:rPr>
        <w:t>MCG</w:t>
      </w:r>
      <w:r w:rsidR="007B26F6" w:rsidRPr="00421130">
        <w:rPr>
          <w:lang w:eastAsia="zh-CN"/>
        </w:rPr>
        <w:t>）</w:t>
      </w:r>
      <w:r w:rsidR="007B26F6" w:rsidRPr="00421130">
        <w:rPr>
          <w:rFonts w:hint="eastAsia"/>
          <w:lang w:eastAsia="zh-CN"/>
        </w:rPr>
        <w:t>/</w:t>
      </w:r>
      <w:r w:rsidR="007B26F6" w:rsidRPr="00421130">
        <w:rPr>
          <w:rFonts w:hint="eastAsia"/>
          <w:lang w:eastAsia="zh-CN"/>
        </w:rPr>
        <w:t>协调委员会（</w:t>
      </w:r>
      <w:proofErr w:type="spellStart"/>
      <w:r w:rsidR="007B26F6" w:rsidRPr="00421130">
        <w:rPr>
          <w:rFonts w:hint="eastAsia"/>
          <w:lang w:eastAsia="zh-CN"/>
        </w:rPr>
        <w:t>CoCo</w:t>
      </w:r>
      <w:proofErr w:type="spellEnd"/>
      <w:r w:rsidR="007B26F6" w:rsidRPr="00421130">
        <w:rPr>
          <w:rFonts w:hint="eastAsia"/>
          <w:lang w:eastAsia="zh-CN"/>
        </w:rPr>
        <w:t>）</w:t>
      </w:r>
      <w:r w:rsidRPr="00421130">
        <w:rPr>
          <w:rFonts w:hint="eastAsia"/>
          <w:lang w:eastAsia="zh-CN"/>
        </w:rPr>
        <w:t>。</w:t>
      </w:r>
    </w:p>
    <w:p w14:paraId="5BEDFDD2" w14:textId="0D2630D8" w:rsidR="008E6A9D" w:rsidRPr="00421130" w:rsidRDefault="008E6A9D" w:rsidP="00421130">
      <w:pPr>
        <w:pStyle w:val="Heading2"/>
        <w:rPr>
          <w:lang w:eastAsia="zh-CN"/>
        </w:rPr>
      </w:pPr>
      <w:r w:rsidRPr="00421130">
        <w:rPr>
          <w:lang w:eastAsia="zh-CN"/>
        </w:rPr>
        <w:t>2.5</w:t>
      </w:r>
      <w:r w:rsidRPr="00421130">
        <w:rPr>
          <w:lang w:eastAsia="zh-CN"/>
        </w:rPr>
        <w:tab/>
      </w:r>
      <w:r w:rsidR="0035448E" w:rsidRPr="00421130">
        <w:rPr>
          <w:rFonts w:hint="eastAsia"/>
          <w:lang w:eastAsia="zh-CN"/>
        </w:rPr>
        <w:t>风险应对措施的落实</w:t>
      </w:r>
    </w:p>
    <w:p w14:paraId="44BD2B2C" w14:textId="66AEBE4A" w:rsidR="0035448E" w:rsidRPr="00421130" w:rsidRDefault="0035448E" w:rsidP="00421130">
      <w:pPr>
        <w:ind w:firstLineChars="200" w:firstLine="480"/>
        <w:rPr>
          <w:lang w:eastAsia="zh-CN"/>
        </w:rPr>
      </w:pPr>
      <w:r w:rsidRPr="00421130">
        <w:rPr>
          <w:rFonts w:hint="eastAsia"/>
          <w:lang w:eastAsia="zh-CN"/>
        </w:rPr>
        <w:t>然后开始落实风险应对（缓解和控制），更新风险记录以体现固有风险</w:t>
      </w:r>
      <w:r w:rsidR="007D1F9E" w:rsidRPr="00421130">
        <w:rPr>
          <w:rFonts w:hint="eastAsia"/>
          <w:lang w:eastAsia="zh-CN"/>
        </w:rPr>
        <w:t>降低到</w:t>
      </w:r>
      <w:r w:rsidR="006150FF" w:rsidRPr="00421130">
        <w:rPr>
          <w:rFonts w:hint="eastAsia"/>
          <w:lang w:eastAsia="zh-CN"/>
        </w:rPr>
        <w:t>最终</w:t>
      </w:r>
      <w:r w:rsidRPr="00421130">
        <w:rPr>
          <w:rFonts w:hint="eastAsia"/>
          <w:lang w:eastAsia="zh-CN"/>
        </w:rPr>
        <w:t>残留风险（在评估控制措施有效性之后）</w:t>
      </w:r>
      <w:r w:rsidR="007D1F9E" w:rsidRPr="00421130">
        <w:rPr>
          <w:rFonts w:hint="eastAsia"/>
          <w:lang w:eastAsia="zh-CN"/>
        </w:rPr>
        <w:t>以及到</w:t>
      </w:r>
      <w:r w:rsidRPr="00421130">
        <w:rPr>
          <w:rFonts w:hint="eastAsia"/>
          <w:lang w:eastAsia="zh-CN"/>
        </w:rPr>
        <w:t>目标风险（在缓解措施之后）。</w:t>
      </w:r>
    </w:p>
    <w:p w14:paraId="34A87F64" w14:textId="0D2C7F40" w:rsidR="008E6A9D" w:rsidRPr="00421130" w:rsidRDefault="008E6A9D" w:rsidP="00421130">
      <w:pPr>
        <w:pStyle w:val="Heading2"/>
        <w:rPr>
          <w:lang w:eastAsia="zh-CN"/>
        </w:rPr>
      </w:pPr>
      <w:r w:rsidRPr="00421130">
        <w:rPr>
          <w:lang w:eastAsia="zh-CN"/>
        </w:rPr>
        <w:t>2.6</w:t>
      </w:r>
      <w:r w:rsidRPr="00421130">
        <w:rPr>
          <w:lang w:eastAsia="zh-CN"/>
        </w:rPr>
        <w:tab/>
      </w:r>
      <w:r w:rsidR="0035448E" w:rsidRPr="00421130">
        <w:rPr>
          <w:rFonts w:hint="eastAsia"/>
          <w:lang w:eastAsia="zh-CN"/>
        </w:rPr>
        <w:t>信息与沟通</w:t>
      </w:r>
    </w:p>
    <w:p w14:paraId="73910096" w14:textId="4A009B30" w:rsidR="0035448E" w:rsidRPr="00421130" w:rsidRDefault="0035448E" w:rsidP="00421130">
      <w:pPr>
        <w:ind w:firstLineChars="200" w:firstLine="480"/>
        <w:rPr>
          <w:lang w:eastAsia="zh-CN"/>
        </w:rPr>
      </w:pPr>
      <w:r w:rsidRPr="00421130">
        <w:rPr>
          <w:rFonts w:hint="eastAsia"/>
          <w:lang w:eastAsia="zh-CN"/>
        </w:rPr>
        <w:t>有关风险和风险</w:t>
      </w:r>
      <w:r w:rsidR="007D1F9E" w:rsidRPr="00421130">
        <w:rPr>
          <w:rFonts w:hint="eastAsia"/>
          <w:lang w:eastAsia="zh-CN"/>
        </w:rPr>
        <w:t>应对</w:t>
      </w:r>
      <w:r w:rsidRPr="00421130">
        <w:rPr>
          <w:rFonts w:hint="eastAsia"/>
          <w:lang w:eastAsia="zh-CN"/>
        </w:rPr>
        <w:t>的信息和</w:t>
      </w:r>
      <w:r w:rsidR="007D1F9E" w:rsidRPr="00421130">
        <w:rPr>
          <w:rFonts w:hint="eastAsia"/>
          <w:lang w:eastAsia="zh-CN"/>
        </w:rPr>
        <w:t>沟通</w:t>
      </w:r>
      <w:r w:rsidRPr="00421130">
        <w:rPr>
          <w:rFonts w:hint="eastAsia"/>
          <w:lang w:eastAsia="zh-CN"/>
        </w:rPr>
        <w:t>可通过报告和仪表板</w:t>
      </w:r>
      <w:r w:rsidR="007D1F9E" w:rsidRPr="00421130">
        <w:rPr>
          <w:rFonts w:hint="eastAsia"/>
          <w:lang w:eastAsia="zh-CN"/>
        </w:rPr>
        <w:t>，</w:t>
      </w:r>
      <w:r w:rsidRPr="00421130">
        <w:rPr>
          <w:rFonts w:hint="eastAsia"/>
          <w:lang w:eastAsia="zh-CN"/>
        </w:rPr>
        <w:t>通过向</w:t>
      </w:r>
      <w:r w:rsidR="007D1F9E" w:rsidRPr="00421130">
        <w:rPr>
          <w:rFonts w:hint="eastAsia"/>
          <w:lang w:eastAsia="zh-CN"/>
        </w:rPr>
        <w:t>到</w:t>
      </w:r>
      <w:r w:rsidR="007D1F9E" w:rsidRPr="00421130">
        <w:rPr>
          <w:lang w:eastAsia="zh-CN"/>
        </w:rPr>
        <w:t>管理协调组（</w:t>
      </w:r>
      <w:r w:rsidR="007D1F9E" w:rsidRPr="00421130">
        <w:rPr>
          <w:lang w:eastAsia="zh-CN"/>
        </w:rPr>
        <w:t>MCG</w:t>
      </w:r>
      <w:r w:rsidR="007D1F9E" w:rsidRPr="00421130">
        <w:rPr>
          <w:lang w:eastAsia="zh-CN"/>
        </w:rPr>
        <w:t>）</w:t>
      </w:r>
      <w:r w:rsidR="007D1F9E" w:rsidRPr="00421130">
        <w:rPr>
          <w:rFonts w:hint="eastAsia"/>
          <w:lang w:eastAsia="zh-CN"/>
        </w:rPr>
        <w:t>/</w:t>
      </w:r>
      <w:r w:rsidR="007D1F9E" w:rsidRPr="00421130">
        <w:rPr>
          <w:rFonts w:hint="eastAsia"/>
          <w:lang w:eastAsia="zh-CN"/>
        </w:rPr>
        <w:t>协调委员会（</w:t>
      </w:r>
      <w:proofErr w:type="spellStart"/>
      <w:r w:rsidR="007D1F9E" w:rsidRPr="00421130">
        <w:rPr>
          <w:rFonts w:hint="eastAsia"/>
          <w:lang w:eastAsia="zh-CN"/>
        </w:rPr>
        <w:t>CoCo</w:t>
      </w:r>
      <w:proofErr w:type="spellEnd"/>
      <w:r w:rsidR="007D1F9E" w:rsidRPr="00421130">
        <w:rPr>
          <w:rFonts w:hint="eastAsia"/>
          <w:lang w:eastAsia="zh-CN"/>
        </w:rPr>
        <w:t>）报告</w:t>
      </w:r>
      <w:r w:rsidRPr="00421130">
        <w:rPr>
          <w:rFonts w:hint="eastAsia"/>
          <w:lang w:eastAsia="zh-CN"/>
        </w:rPr>
        <w:t>以及</w:t>
      </w:r>
      <w:r w:rsidR="007D1F9E" w:rsidRPr="00421130">
        <w:rPr>
          <w:rFonts w:hint="eastAsia"/>
          <w:lang w:eastAsia="zh-CN"/>
        </w:rPr>
        <w:t>通过</w:t>
      </w:r>
      <w:r w:rsidRPr="00421130">
        <w:rPr>
          <w:rFonts w:hint="eastAsia"/>
          <w:lang w:eastAsia="zh-CN"/>
        </w:rPr>
        <w:t>战略和</w:t>
      </w:r>
      <w:r w:rsidR="007D1F9E" w:rsidRPr="00421130">
        <w:rPr>
          <w:rFonts w:hint="eastAsia"/>
          <w:lang w:eastAsia="zh-CN"/>
        </w:rPr>
        <w:t>运作规划</w:t>
      </w:r>
      <w:r w:rsidRPr="00421130">
        <w:rPr>
          <w:rFonts w:hint="eastAsia"/>
          <w:lang w:eastAsia="zh-CN"/>
        </w:rPr>
        <w:t>向</w:t>
      </w:r>
      <w:r w:rsidR="007D1F9E" w:rsidRPr="00421130">
        <w:rPr>
          <w:rFonts w:hint="eastAsia"/>
          <w:lang w:eastAsia="zh-CN"/>
        </w:rPr>
        <w:t>成员</w:t>
      </w:r>
      <w:r w:rsidRPr="00421130">
        <w:rPr>
          <w:rFonts w:hint="eastAsia"/>
          <w:lang w:eastAsia="zh-CN"/>
        </w:rPr>
        <w:t>国的报告</w:t>
      </w:r>
      <w:r w:rsidR="007D1F9E" w:rsidRPr="00421130">
        <w:rPr>
          <w:rFonts w:hint="eastAsia"/>
          <w:lang w:eastAsia="zh-CN"/>
        </w:rPr>
        <w:t>方式</w:t>
      </w:r>
      <w:r w:rsidR="00DE348F" w:rsidRPr="00421130">
        <w:rPr>
          <w:rFonts w:hint="eastAsia"/>
          <w:lang w:eastAsia="zh-CN"/>
        </w:rPr>
        <w:t>提供</w:t>
      </w:r>
      <w:r w:rsidRPr="00421130">
        <w:rPr>
          <w:rFonts w:hint="eastAsia"/>
          <w:lang w:eastAsia="zh-CN"/>
        </w:rPr>
        <w:t>。这些信息有助于</w:t>
      </w:r>
      <w:r w:rsidR="007D1F9E" w:rsidRPr="00421130">
        <w:rPr>
          <w:rFonts w:hint="eastAsia"/>
          <w:lang w:eastAsia="zh-CN"/>
        </w:rPr>
        <w:t>对风险进行</w:t>
      </w:r>
      <w:r w:rsidRPr="00421130">
        <w:rPr>
          <w:rFonts w:hint="eastAsia"/>
          <w:lang w:eastAsia="zh-CN"/>
        </w:rPr>
        <w:t>定期</w:t>
      </w:r>
      <w:r w:rsidR="007D1F9E" w:rsidRPr="00421130">
        <w:rPr>
          <w:rFonts w:hint="eastAsia"/>
          <w:lang w:eastAsia="zh-CN"/>
        </w:rPr>
        <w:t>再</w:t>
      </w:r>
      <w:r w:rsidRPr="00421130">
        <w:rPr>
          <w:rFonts w:hint="eastAsia"/>
          <w:lang w:eastAsia="zh-CN"/>
        </w:rPr>
        <w:t>评估和持续</w:t>
      </w:r>
      <w:r w:rsidR="007D1F9E" w:rsidRPr="00421130">
        <w:rPr>
          <w:rFonts w:hint="eastAsia"/>
          <w:lang w:eastAsia="zh-CN"/>
        </w:rPr>
        <w:t>监测</w:t>
      </w:r>
      <w:r w:rsidRPr="00421130">
        <w:rPr>
          <w:rFonts w:hint="eastAsia"/>
          <w:lang w:eastAsia="zh-CN"/>
        </w:rPr>
        <w:t>。</w:t>
      </w:r>
    </w:p>
    <w:p w14:paraId="14E8D976" w14:textId="0D99AE4A" w:rsidR="008E6A9D" w:rsidRPr="00421130" w:rsidRDefault="008E6A9D" w:rsidP="00421130">
      <w:pPr>
        <w:pStyle w:val="Heading2"/>
        <w:rPr>
          <w:lang w:eastAsia="zh-CN"/>
        </w:rPr>
      </w:pPr>
      <w:r w:rsidRPr="00421130">
        <w:rPr>
          <w:lang w:eastAsia="zh-CN"/>
        </w:rPr>
        <w:t>2.7</w:t>
      </w:r>
      <w:r w:rsidRPr="00421130">
        <w:rPr>
          <w:lang w:eastAsia="zh-CN"/>
        </w:rPr>
        <w:tab/>
      </w:r>
      <w:r w:rsidR="00B179E1" w:rsidRPr="00421130">
        <w:rPr>
          <w:rFonts w:hint="eastAsia"/>
          <w:lang w:eastAsia="zh-CN"/>
        </w:rPr>
        <w:t>监测</w:t>
      </w:r>
    </w:p>
    <w:p w14:paraId="09A36B48" w14:textId="0BC53AA5" w:rsidR="007B26F6" w:rsidRPr="00421130" w:rsidRDefault="007B26F6" w:rsidP="00421130">
      <w:pPr>
        <w:ind w:firstLineChars="200" w:firstLine="480"/>
        <w:rPr>
          <w:lang w:eastAsia="zh-CN"/>
        </w:rPr>
      </w:pPr>
      <w:r w:rsidRPr="00421130">
        <w:rPr>
          <w:rFonts w:hint="eastAsia"/>
          <w:lang w:eastAsia="zh-CN"/>
        </w:rPr>
        <w:t>监测活动已纳入国际电联的业务流程运作中，</w:t>
      </w:r>
      <w:r w:rsidR="003F435D" w:rsidRPr="00421130">
        <w:rPr>
          <w:rFonts w:hint="eastAsia"/>
          <w:lang w:eastAsia="zh-CN"/>
        </w:rPr>
        <w:t>贯穿于</w:t>
      </w:r>
      <w:r w:rsidRPr="00421130">
        <w:rPr>
          <w:rFonts w:hint="eastAsia"/>
          <w:lang w:eastAsia="zh-CN"/>
        </w:rPr>
        <w:t>整个过程中，</w:t>
      </w:r>
      <w:r w:rsidR="00B179E1" w:rsidRPr="00421130">
        <w:rPr>
          <w:rFonts w:hint="eastAsia"/>
          <w:lang w:eastAsia="zh-CN"/>
        </w:rPr>
        <w:t>从</w:t>
      </w:r>
      <w:r w:rsidRPr="00421130">
        <w:rPr>
          <w:rFonts w:hint="eastAsia"/>
          <w:lang w:eastAsia="zh-CN"/>
        </w:rPr>
        <w:t>评估风险</w:t>
      </w:r>
      <w:r w:rsidR="00B179E1" w:rsidRPr="00421130">
        <w:rPr>
          <w:rFonts w:hint="eastAsia"/>
          <w:lang w:eastAsia="zh-CN"/>
        </w:rPr>
        <w:t>的持续有效性到相关风险应对措施</w:t>
      </w:r>
      <w:r w:rsidRPr="00421130">
        <w:rPr>
          <w:rFonts w:hint="eastAsia"/>
          <w:lang w:eastAsia="zh-CN"/>
        </w:rPr>
        <w:t>（缓解和控制）。</w:t>
      </w:r>
    </w:p>
    <w:p w14:paraId="5D575224" w14:textId="7B915F16" w:rsidR="007B26F6" w:rsidRPr="00421130" w:rsidRDefault="007B26F6" w:rsidP="00421130">
      <w:pPr>
        <w:ind w:firstLineChars="200" w:firstLine="480"/>
        <w:rPr>
          <w:lang w:eastAsia="zh-CN"/>
        </w:rPr>
      </w:pPr>
      <w:r w:rsidRPr="00421130">
        <w:rPr>
          <w:rFonts w:hint="eastAsia"/>
          <w:lang w:eastAsia="zh-CN"/>
        </w:rPr>
        <w:t>秘书长</w:t>
      </w:r>
      <w:proofErr w:type="gramStart"/>
      <w:r w:rsidRPr="00421130">
        <w:rPr>
          <w:rFonts w:hint="eastAsia"/>
          <w:lang w:eastAsia="zh-CN"/>
        </w:rPr>
        <w:t>每年签署</w:t>
      </w:r>
      <w:proofErr w:type="gramEnd"/>
      <w:r w:rsidRPr="00421130">
        <w:rPr>
          <w:rFonts w:hint="eastAsia"/>
          <w:lang w:eastAsia="zh-CN"/>
        </w:rPr>
        <w:t>一份</w:t>
      </w:r>
      <w:r w:rsidR="000E7D80" w:rsidRPr="00421130">
        <w:rPr>
          <w:rFonts w:hint="eastAsia"/>
          <w:lang w:eastAsia="zh-CN"/>
        </w:rPr>
        <w:t>内控</w:t>
      </w:r>
      <w:r w:rsidRPr="00421130">
        <w:rPr>
          <w:rFonts w:hint="eastAsia"/>
          <w:lang w:eastAsia="zh-CN"/>
        </w:rPr>
        <w:t>声明，确认存在</w:t>
      </w:r>
      <w:r w:rsidR="000E7D80" w:rsidRPr="00421130">
        <w:rPr>
          <w:rFonts w:hint="eastAsia"/>
          <w:lang w:eastAsia="zh-CN"/>
        </w:rPr>
        <w:t>内控</w:t>
      </w:r>
      <w:r w:rsidRPr="00421130">
        <w:rPr>
          <w:rFonts w:hint="eastAsia"/>
          <w:lang w:eastAsia="zh-CN"/>
        </w:rPr>
        <w:t>制度。</w:t>
      </w:r>
    </w:p>
    <w:p w14:paraId="26A985A5" w14:textId="1DA3AE11" w:rsidR="007B26F6" w:rsidRPr="00421130" w:rsidRDefault="007B26F6" w:rsidP="00421130">
      <w:pPr>
        <w:ind w:firstLineChars="200" w:firstLine="480"/>
        <w:rPr>
          <w:lang w:eastAsia="zh-CN"/>
        </w:rPr>
      </w:pPr>
      <w:r w:rsidRPr="00421130">
        <w:rPr>
          <w:rFonts w:hint="eastAsia"/>
          <w:lang w:eastAsia="zh-CN"/>
        </w:rPr>
        <w:t>每两到三年，将对本政策进行</w:t>
      </w:r>
      <w:r w:rsidR="00824D00" w:rsidRPr="00421130">
        <w:rPr>
          <w:rFonts w:hint="eastAsia"/>
          <w:lang w:eastAsia="zh-CN"/>
        </w:rPr>
        <w:t>审议</w:t>
      </w:r>
      <w:r w:rsidRPr="00421130">
        <w:rPr>
          <w:rFonts w:hint="eastAsia"/>
          <w:lang w:eastAsia="zh-CN"/>
        </w:rPr>
        <w:t>和更新，以借鉴新兴的最佳</w:t>
      </w:r>
      <w:r w:rsidR="00B179E1" w:rsidRPr="00421130">
        <w:rPr>
          <w:rFonts w:hint="eastAsia"/>
          <w:lang w:eastAsia="zh-CN"/>
        </w:rPr>
        <w:t>做法</w:t>
      </w:r>
      <w:r w:rsidRPr="00421130">
        <w:rPr>
          <w:rFonts w:hint="eastAsia"/>
          <w:lang w:eastAsia="zh-CN"/>
        </w:rPr>
        <w:t>和</w:t>
      </w:r>
      <w:r w:rsidR="00DE348F" w:rsidRPr="00421130">
        <w:rPr>
          <w:rFonts w:hint="eastAsia"/>
          <w:lang w:eastAsia="zh-CN"/>
        </w:rPr>
        <w:t>吸取</w:t>
      </w:r>
      <w:r w:rsidR="00B179E1" w:rsidRPr="00421130">
        <w:rPr>
          <w:rFonts w:hint="eastAsia"/>
          <w:lang w:eastAsia="zh-CN"/>
        </w:rPr>
        <w:t>的</w:t>
      </w:r>
      <w:r w:rsidRPr="00421130">
        <w:rPr>
          <w:rFonts w:hint="eastAsia"/>
          <w:lang w:eastAsia="zh-CN"/>
        </w:rPr>
        <w:t>教训。此次</w:t>
      </w:r>
      <w:r w:rsidR="00824D00" w:rsidRPr="00421130">
        <w:rPr>
          <w:rFonts w:hint="eastAsia"/>
          <w:lang w:eastAsia="zh-CN"/>
        </w:rPr>
        <w:t>审议</w:t>
      </w:r>
      <w:r w:rsidRPr="00421130">
        <w:rPr>
          <w:rFonts w:hint="eastAsia"/>
          <w:lang w:eastAsia="zh-CN"/>
        </w:rPr>
        <w:t>由</w:t>
      </w:r>
      <w:r w:rsidR="00B179E1" w:rsidRPr="00421130">
        <w:rPr>
          <w:lang w:eastAsia="zh-CN"/>
        </w:rPr>
        <w:t>管理协调组（</w:t>
      </w:r>
      <w:r w:rsidR="00B179E1" w:rsidRPr="00421130">
        <w:rPr>
          <w:lang w:eastAsia="zh-CN"/>
        </w:rPr>
        <w:t>MCG</w:t>
      </w:r>
      <w:r w:rsidR="00B179E1" w:rsidRPr="00421130">
        <w:rPr>
          <w:lang w:eastAsia="zh-CN"/>
        </w:rPr>
        <w:t>）</w:t>
      </w:r>
      <w:r w:rsidR="00B179E1" w:rsidRPr="00421130">
        <w:rPr>
          <w:rFonts w:hint="eastAsia"/>
          <w:lang w:eastAsia="zh-CN"/>
        </w:rPr>
        <w:t>/</w:t>
      </w:r>
      <w:r w:rsidR="00B179E1" w:rsidRPr="00421130">
        <w:rPr>
          <w:rFonts w:hint="eastAsia"/>
          <w:lang w:eastAsia="zh-CN"/>
        </w:rPr>
        <w:t>协调委员会（</w:t>
      </w:r>
      <w:proofErr w:type="spellStart"/>
      <w:r w:rsidR="00B179E1" w:rsidRPr="00421130">
        <w:rPr>
          <w:rFonts w:hint="eastAsia"/>
          <w:lang w:eastAsia="zh-CN"/>
        </w:rPr>
        <w:t>CoCo</w:t>
      </w:r>
      <w:proofErr w:type="spellEnd"/>
      <w:r w:rsidR="00B179E1" w:rsidRPr="00421130">
        <w:rPr>
          <w:rFonts w:hint="eastAsia"/>
          <w:lang w:eastAsia="zh-CN"/>
        </w:rPr>
        <w:t>）</w:t>
      </w:r>
      <w:r w:rsidRPr="00421130">
        <w:rPr>
          <w:rFonts w:hint="eastAsia"/>
          <w:lang w:eastAsia="zh-CN"/>
        </w:rPr>
        <w:t>负责，由</w:t>
      </w:r>
      <w:r w:rsidR="00B179E1" w:rsidRPr="00421130">
        <w:rPr>
          <w:rFonts w:hint="eastAsia"/>
          <w:lang w:eastAsia="zh-CN"/>
        </w:rPr>
        <w:t>秘书长</w:t>
      </w:r>
      <w:r w:rsidRPr="00421130">
        <w:rPr>
          <w:rFonts w:hint="eastAsia"/>
          <w:lang w:eastAsia="zh-CN"/>
        </w:rPr>
        <w:t>做出最终决策。</w:t>
      </w:r>
    </w:p>
    <w:p w14:paraId="5EAEDBA7" w14:textId="08ACE209" w:rsidR="008E6A9D" w:rsidRPr="00421130" w:rsidRDefault="008E6A9D" w:rsidP="00421130">
      <w:pPr>
        <w:pStyle w:val="Heading1"/>
        <w:rPr>
          <w:lang w:eastAsia="zh-CN"/>
        </w:rPr>
      </w:pPr>
      <w:r w:rsidRPr="00421130">
        <w:rPr>
          <w:lang w:eastAsia="zh-CN"/>
        </w:rPr>
        <w:lastRenderedPageBreak/>
        <w:t>3</w:t>
      </w:r>
      <w:r w:rsidRPr="00421130">
        <w:rPr>
          <w:lang w:eastAsia="zh-CN"/>
        </w:rPr>
        <w:tab/>
      </w:r>
      <w:r w:rsidR="00B179E1" w:rsidRPr="00421130">
        <w:rPr>
          <w:rFonts w:hint="eastAsia"/>
          <w:lang w:eastAsia="zh-CN"/>
        </w:rPr>
        <w:t>作用和职责</w:t>
      </w:r>
    </w:p>
    <w:p w14:paraId="1633B6C1" w14:textId="39E1CD11" w:rsidR="00B179E1" w:rsidRPr="00421130" w:rsidRDefault="00B179E1" w:rsidP="00421130">
      <w:pPr>
        <w:ind w:firstLineChars="200" w:firstLine="480"/>
        <w:rPr>
          <w:lang w:eastAsia="zh-CN"/>
        </w:rPr>
      </w:pPr>
      <w:r w:rsidRPr="00421130">
        <w:rPr>
          <w:rFonts w:hint="eastAsia"/>
          <w:lang w:eastAsia="zh-CN"/>
        </w:rPr>
        <w:t>“三道防线</w:t>
      </w:r>
      <w:r w:rsidR="00F02FED" w:rsidRPr="00F02FED">
        <w:rPr>
          <w:rFonts w:ascii="SimSun" w:hAnsi="SimSun"/>
          <w:lang w:eastAsia="zh-CN"/>
        </w:rPr>
        <w:t>”</w:t>
      </w:r>
      <w:r w:rsidR="005E4D41" w:rsidRPr="00421130">
        <w:rPr>
          <w:rFonts w:hint="eastAsia"/>
          <w:lang w:eastAsia="zh-CN"/>
        </w:rPr>
        <w:t>模型</w:t>
      </w:r>
      <w:r w:rsidRPr="00421130">
        <w:rPr>
          <w:rFonts w:hint="eastAsia"/>
          <w:lang w:eastAsia="zh-CN"/>
        </w:rPr>
        <w:t>通过引入结构化的治理和监督</w:t>
      </w:r>
      <w:r w:rsidR="000E5618" w:rsidRPr="00421130">
        <w:rPr>
          <w:rFonts w:hint="eastAsia"/>
          <w:lang w:eastAsia="zh-CN"/>
        </w:rPr>
        <w:t>，</w:t>
      </w:r>
      <w:r w:rsidR="000E5618" w:rsidRPr="00421130">
        <w:rPr>
          <w:lang w:eastAsia="zh-CN"/>
        </w:rPr>
        <w:t>厘清和区分以下的</w:t>
      </w:r>
      <w:r w:rsidR="000E5618" w:rsidRPr="00421130">
        <w:rPr>
          <w:rFonts w:hint="eastAsia"/>
          <w:lang w:eastAsia="zh-CN"/>
        </w:rPr>
        <w:t>作用</w:t>
      </w:r>
      <w:r w:rsidR="000E5618" w:rsidRPr="00421130">
        <w:rPr>
          <w:lang w:eastAsia="zh-CN"/>
        </w:rPr>
        <w:t>和</w:t>
      </w:r>
      <w:r w:rsidR="000E5618" w:rsidRPr="00421130">
        <w:rPr>
          <w:rFonts w:hint="eastAsia"/>
          <w:lang w:eastAsia="zh-CN"/>
        </w:rPr>
        <w:t>职责</w:t>
      </w:r>
      <w:r w:rsidR="000E5618" w:rsidRPr="00421130">
        <w:rPr>
          <w:lang w:eastAsia="zh-CN"/>
        </w:rPr>
        <w:t>，</w:t>
      </w:r>
      <w:r w:rsidR="000E5618" w:rsidRPr="00421130">
        <w:rPr>
          <w:rFonts w:hint="eastAsia"/>
          <w:lang w:eastAsia="zh-CN"/>
        </w:rPr>
        <w:t>来</w:t>
      </w:r>
      <w:r w:rsidRPr="00421130">
        <w:rPr>
          <w:rFonts w:hint="eastAsia"/>
          <w:lang w:eastAsia="zh-CN"/>
        </w:rPr>
        <w:t>支持有效的风险管理：</w:t>
      </w:r>
    </w:p>
    <w:p w14:paraId="055B1222" w14:textId="6C816CDE"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第一道防线：</w:t>
      </w:r>
      <w:proofErr w:type="gramStart"/>
      <w:r w:rsidR="000E5618" w:rsidRPr="00421130">
        <w:rPr>
          <w:rFonts w:hint="eastAsia"/>
          <w:lang w:eastAsia="zh-CN"/>
        </w:rPr>
        <w:t>风险责任和管理的职能；</w:t>
      </w:r>
      <w:proofErr w:type="gramEnd"/>
    </w:p>
    <w:p w14:paraId="11D34FC3" w14:textId="29E70E88"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第二道防线：监督和</w:t>
      </w:r>
      <w:r w:rsidR="000E5618" w:rsidRPr="00421130">
        <w:rPr>
          <w:rFonts w:hint="eastAsia"/>
          <w:lang w:eastAsia="zh-CN"/>
        </w:rPr>
        <w:t>/</w:t>
      </w:r>
      <w:r w:rsidR="000E5618" w:rsidRPr="00421130">
        <w:rPr>
          <w:rFonts w:hint="eastAsia"/>
          <w:lang w:eastAsia="zh-CN"/>
        </w:rPr>
        <w:t>或专门从事风险管理、</w:t>
      </w:r>
      <w:proofErr w:type="gramStart"/>
      <w:r w:rsidR="000E5618" w:rsidRPr="00421130">
        <w:rPr>
          <w:rFonts w:hint="eastAsia"/>
          <w:lang w:eastAsia="zh-CN"/>
        </w:rPr>
        <w:t>合规的职能；</w:t>
      </w:r>
      <w:proofErr w:type="gramEnd"/>
    </w:p>
    <w:p w14:paraId="13141AF6" w14:textId="202548C8" w:rsidR="000E5618" w:rsidRPr="00421130" w:rsidRDefault="00421130" w:rsidP="00421130">
      <w:pPr>
        <w:pStyle w:val="enumlev1"/>
        <w:rPr>
          <w:lang w:eastAsia="zh-CN"/>
        </w:rPr>
      </w:pPr>
      <w:r>
        <w:rPr>
          <w:lang w:eastAsia="zh-CN"/>
        </w:rPr>
        <w:t>–</w:t>
      </w:r>
      <w:r>
        <w:rPr>
          <w:lang w:eastAsia="zh-CN"/>
        </w:rPr>
        <w:tab/>
      </w:r>
      <w:r w:rsidR="000E5618" w:rsidRPr="00421130">
        <w:rPr>
          <w:rFonts w:hint="eastAsia"/>
          <w:lang w:eastAsia="zh-CN"/>
        </w:rPr>
        <w:t>第三道防线：提供独立保证的职能。</w:t>
      </w:r>
    </w:p>
    <w:p w14:paraId="4231E6B7" w14:textId="0260A95E" w:rsidR="007B26F6" w:rsidRPr="008E6A9D" w:rsidRDefault="007B26F6" w:rsidP="00F02FED">
      <w:pPr>
        <w:spacing w:after="240"/>
        <w:ind w:firstLineChars="200" w:firstLine="480"/>
        <w:rPr>
          <w:rFonts w:eastAsia="Times New Roman"/>
          <w:lang w:eastAsia="zh-CN"/>
        </w:rPr>
      </w:pPr>
      <w:r w:rsidRPr="007B26F6">
        <w:rPr>
          <w:rFonts w:hint="eastAsia"/>
          <w:lang w:eastAsia="zh-CN"/>
        </w:rPr>
        <w:t>因此，风险管理框架内的</w:t>
      </w:r>
      <w:r w:rsidR="000E5618">
        <w:rPr>
          <w:rFonts w:hint="eastAsia"/>
          <w:lang w:eastAsia="zh-CN"/>
        </w:rPr>
        <w:t>作用</w:t>
      </w:r>
      <w:r w:rsidRPr="007B26F6">
        <w:rPr>
          <w:rFonts w:hint="eastAsia"/>
          <w:lang w:eastAsia="zh-CN"/>
        </w:rPr>
        <w:t>和职责也作了相应调整，以确保符合模型并与国际电联的组织和报告</w:t>
      </w:r>
      <w:r w:rsidR="000E5618">
        <w:rPr>
          <w:rFonts w:hint="eastAsia"/>
          <w:lang w:eastAsia="zh-CN"/>
        </w:rPr>
        <w:t>关系</w:t>
      </w:r>
      <w:r w:rsidRPr="007B26F6">
        <w:rPr>
          <w:rFonts w:hint="eastAsia"/>
          <w:lang w:eastAsia="zh-CN"/>
        </w:rPr>
        <w:t>保持一致。</w:t>
      </w:r>
    </w:p>
    <w:tbl>
      <w:tblPr>
        <w:tblStyle w:val="ListTable3-Accent51"/>
        <w:tblW w:w="9776" w:type="dxa"/>
        <w:tblLook w:val="04A0" w:firstRow="1" w:lastRow="0" w:firstColumn="1" w:lastColumn="0" w:noHBand="0" w:noVBand="1"/>
      </w:tblPr>
      <w:tblGrid>
        <w:gridCol w:w="2405"/>
        <w:gridCol w:w="7371"/>
      </w:tblGrid>
      <w:tr w:rsidR="008E6A9D" w:rsidRPr="008E6A9D" w14:paraId="1AEABEDD" w14:textId="77777777" w:rsidTr="004211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4472C4"/>
          </w:tcPr>
          <w:p w14:paraId="7989E881" w14:textId="3BCECE76" w:rsidR="008E6A9D" w:rsidRPr="00421130" w:rsidRDefault="00451563" w:rsidP="00421130">
            <w:pPr>
              <w:pStyle w:val="Tablehead"/>
              <w:rPr>
                <w:b/>
                <w:bCs w:val="0"/>
              </w:rPr>
            </w:pPr>
            <w:r w:rsidRPr="00421130">
              <w:rPr>
                <w:rFonts w:hint="eastAsia"/>
                <w:b/>
                <w:bCs w:val="0"/>
                <w:lang w:eastAsia="zh-CN"/>
              </w:rPr>
              <w:t>项目</w:t>
            </w:r>
          </w:p>
          <w:p w14:paraId="3AA99726" w14:textId="1096D7D7" w:rsidR="008E6A9D" w:rsidRPr="00421130" w:rsidRDefault="009E33E9" w:rsidP="00421130">
            <w:pPr>
              <w:pStyle w:val="Tablehead"/>
              <w:rPr>
                <w:b/>
                <w:bCs w:val="0"/>
              </w:rPr>
            </w:pPr>
            <w:r w:rsidRPr="00421130">
              <w:rPr>
                <w:rFonts w:hint="eastAsia"/>
                <w:b/>
                <w:bCs w:val="0"/>
                <w:lang w:eastAsia="zh-CN"/>
              </w:rPr>
              <w:t>（防线）</w:t>
            </w:r>
          </w:p>
        </w:tc>
        <w:tc>
          <w:tcPr>
            <w:tcW w:w="7371" w:type="dxa"/>
            <w:shd w:val="clear" w:color="auto" w:fill="4472C4"/>
          </w:tcPr>
          <w:p w14:paraId="17185111" w14:textId="6383DED5" w:rsidR="008E6A9D" w:rsidRPr="00421130" w:rsidRDefault="000E5618" w:rsidP="00421130">
            <w:pPr>
              <w:pStyle w:val="Tablehead"/>
              <w:cnfStyle w:val="100000000000" w:firstRow="1" w:lastRow="0" w:firstColumn="0" w:lastColumn="0" w:oddVBand="0" w:evenVBand="0" w:oddHBand="0" w:evenHBand="0" w:firstRowFirstColumn="0" w:firstRowLastColumn="0" w:lastRowFirstColumn="0" w:lastRowLastColumn="0"/>
              <w:rPr>
                <w:b/>
                <w:bCs w:val="0"/>
              </w:rPr>
            </w:pPr>
            <w:r w:rsidRPr="00421130">
              <w:rPr>
                <w:rFonts w:hint="eastAsia"/>
                <w:b/>
                <w:bCs w:val="0"/>
                <w:lang w:eastAsia="zh-CN"/>
              </w:rPr>
              <w:t>作用和职责</w:t>
            </w:r>
          </w:p>
        </w:tc>
      </w:tr>
      <w:tr w:rsidR="008E6A9D" w:rsidRPr="008E6A9D" w14:paraId="18FED1D3" w14:textId="77777777" w:rsidTr="00421130">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405" w:type="dxa"/>
          </w:tcPr>
          <w:p w14:paraId="3AA8D4EA" w14:textId="36AAC5BD" w:rsidR="008E6A9D" w:rsidRPr="00421130" w:rsidRDefault="00540A7B" w:rsidP="00421130">
            <w:pPr>
              <w:pStyle w:val="Tabletext"/>
              <w:rPr>
                <w:lang w:eastAsia="zh-CN"/>
              </w:rPr>
            </w:pPr>
            <w:bookmarkStart w:id="15" w:name="lt_pId155"/>
            <w:r w:rsidRPr="00421130">
              <w:rPr>
                <w:rFonts w:hint="eastAsia"/>
                <w:lang w:eastAsia="zh-CN"/>
              </w:rPr>
              <w:t>风险</w:t>
            </w:r>
            <w:r w:rsidRPr="00421130">
              <w:rPr>
                <w:lang w:eastAsia="zh-CN"/>
              </w:rPr>
              <w:t>责任人</w:t>
            </w:r>
            <w:bookmarkEnd w:id="15"/>
          </w:p>
          <w:p w14:paraId="79FCEA6C" w14:textId="7EF3BC9B" w:rsidR="000E5618" w:rsidRPr="00421130" w:rsidRDefault="000E5618" w:rsidP="00421130">
            <w:pPr>
              <w:pStyle w:val="Tabletext"/>
              <w:rPr>
                <w:lang w:eastAsia="zh-CN"/>
              </w:rPr>
            </w:pPr>
            <w:r w:rsidRPr="00421130">
              <w:rPr>
                <w:rFonts w:hint="eastAsia"/>
                <w:lang w:eastAsia="zh-CN"/>
              </w:rPr>
              <w:t>（第一道防线）</w:t>
            </w:r>
          </w:p>
        </w:tc>
        <w:tc>
          <w:tcPr>
            <w:tcW w:w="7371" w:type="dxa"/>
          </w:tcPr>
          <w:p w14:paraId="3527866A" w14:textId="4F4FA432" w:rsidR="00FA449C" w:rsidRPr="00421130" w:rsidRDefault="00540A7B"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bookmarkStart w:id="16" w:name="lt_pId197"/>
            <w:r w:rsidRPr="00421130">
              <w:rPr>
                <w:rFonts w:hint="eastAsia"/>
                <w:lang w:eastAsia="zh-CN"/>
              </w:rPr>
              <w:t>风险</w:t>
            </w:r>
            <w:r w:rsidRPr="00421130">
              <w:rPr>
                <w:lang w:eastAsia="zh-CN"/>
              </w:rPr>
              <w:t>责任人负责管理风险，对于风险得到正确处理拥有最大利益关系，并且拥有</w:t>
            </w:r>
            <w:r w:rsidRPr="00421130">
              <w:rPr>
                <w:rFonts w:hint="eastAsia"/>
                <w:lang w:eastAsia="zh-CN"/>
              </w:rPr>
              <w:t>对</w:t>
            </w:r>
            <w:r w:rsidRPr="00421130">
              <w:rPr>
                <w:lang w:eastAsia="zh-CN"/>
              </w:rPr>
              <w:t>风险</w:t>
            </w:r>
            <w:r w:rsidRPr="00421130">
              <w:rPr>
                <w:rFonts w:hint="eastAsia"/>
                <w:lang w:eastAsia="zh-CN"/>
              </w:rPr>
              <w:t>做出</w:t>
            </w:r>
            <w:r w:rsidRPr="00421130">
              <w:rPr>
                <w:lang w:eastAsia="zh-CN"/>
              </w:rPr>
              <w:t>相应处理所需要的恰当</w:t>
            </w:r>
            <w:r w:rsidRPr="00421130">
              <w:rPr>
                <w:rFonts w:hint="eastAsia"/>
                <w:lang w:eastAsia="zh-CN"/>
              </w:rPr>
              <w:t>职权</w:t>
            </w:r>
            <w:r w:rsidR="00FA449C" w:rsidRPr="00421130">
              <w:rPr>
                <w:rFonts w:hint="eastAsia"/>
                <w:lang w:eastAsia="zh-CN"/>
              </w:rPr>
              <w:t>。</w:t>
            </w:r>
            <w:bookmarkEnd w:id="16"/>
            <w:r w:rsidR="00FA449C" w:rsidRPr="00421130">
              <w:rPr>
                <w:rFonts w:hint="eastAsia"/>
                <w:lang w:eastAsia="zh-CN"/>
              </w:rPr>
              <w:t>在各局、区域代表处和总秘书处中确定风险责任人。</w:t>
            </w:r>
          </w:p>
          <w:p w14:paraId="606EE2C7" w14:textId="1B34F3FA" w:rsidR="00783D06" w:rsidRPr="00421130" w:rsidRDefault="00783D06"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风险负责人应与联系人定期合作，</w:t>
            </w:r>
            <w:r w:rsidR="00087F16" w:rsidRPr="00421130">
              <w:rPr>
                <w:rFonts w:hint="eastAsia"/>
                <w:lang w:eastAsia="zh-CN"/>
              </w:rPr>
              <w:t>确定</w:t>
            </w:r>
            <w:r w:rsidRPr="00421130">
              <w:rPr>
                <w:rFonts w:hint="eastAsia"/>
                <w:lang w:eastAsia="zh-CN"/>
              </w:rPr>
              <w:t>、评估风险并提出适当的风险应对行动计划，必要时指定风险应对行动负责人。在联系人</w:t>
            </w:r>
            <w:r w:rsidR="00DE348F" w:rsidRPr="00421130">
              <w:rPr>
                <w:rFonts w:hint="eastAsia"/>
                <w:lang w:eastAsia="zh-CN"/>
              </w:rPr>
              <w:t>和</w:t>
            </w:r>
            <w:r w:rsidRPr="00421130">
              <w:rPr>
                <w:rFonts w:hint="eastAsia"/>
                <w:lang w:eastAsia="zh-CN"/>
              </w:rPr>
              <w:t>风险和内控官的协调下，风险负责人负责将与部门有关的风险上报至局主任，而对于跨部门风险，在告知风险和内控官并</w:t>
            </w:r>
            <w:r w:rsidR="007C0B7B" w:rsidRPr="00421130">
              <w:rPr>
                <w:rFonts w:hint="eastAsia"/>
                <w:lang w:eastAsia="zh-CN"/>
              </w:rPr>
              <w:t>咨询</w:t>
            </w:r>
            <w:r w:rsidRPr="00421130">
              <w:rPr>
                <w:lang w:eastAsia="zh-CN"/>
              </w:rPr>
              <w:t>跨部门协调任务组（</w:t>
            </w:r>
            <w:r w:rsidRPr="00421130">
              <w:rPr>
                <w:lang w:eastAsia="zh-CN"/>
              </w:rPr>
              <w:t>ISC-TF</w:t>
            </w:r>
            <w:r w:rsidRPr="00421130">
              <w:rPr>
                <w:lang w:eastAsia="zh-CN"/>
              </w:rPr>
              <w:t>）</w:t>
            </w:r>
            <w:r w:rsidRPr="00421130">
              <w:rPr>
                <w:rFonts w:hint="eastAsia"/>
                <w:lang w:eastAsia="zh-CN"/>
              </w:rPr>
              <w:t>的同时，升级至</w:t>
            </w: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）进行决策。</w:t>
            </w:r>
          </w:p>
        </w:tc>
      </w:tr>
      <w:tr w:rsidR="008E6A9D" w:rsidRPr="008E6A9D" w14:paraId="194F1306" w14:textId="77777777" w:rsidTr="00421130">
        <w:trPr>
          <w:trHeight w:val="1026"/>
        </w:trPr>
        <w:tc>
          <w:tcPr>
            <w:cnfStyle w:val="001000000000" w:firstRow="0" w:lastRow="0" w:firstColumn="1" w:lastColumn="0" w:oddVBand="0" w:evenVBand="0" w:oddHBand="0" w:evenHBand="0" w:firstRowFirstColumn="0" w:firstRowLastColumn="0" w:lastRowFirstColumn="0" w:lastRowLastColumn="0"/>
            <w:tcW w:w="2405" w:type="dxa"/>
          </w:tcPr>
          <w:p w14:paraId="02C443DA" w14:textId="22AE0CC2" w:rsidR="008E6A9D" w:rsidRPr="00421130" w:rsidRDefault="00540A7B" w:rsidP="00421130">
            <w:pPr>
              <w:pStyle w:val="Tabletext"/>
              <w:rPr>
                <w:lang w:eastAsia="zh-CN"/>
              </w:rPr>
            </w:pPr>
            <w:r w:rsidRPr="00421130">
              <w:rPr>
                <w:rFonts w:hint="eastAsia"/>
                <w:lang w:eastAsia="zh-CN"/>
              </w:rPr>
              <w:t>风险</w:t>
            </w:r>
            <w:r w:rsidRPr="00421130">
              <w:rPr>
                <w:lang w:eastAsia="zh-CN"/>
              </w:rPr>
              <w:t>管理联系</w:t>
            </w:r>
            <w:r w:rsidRPr="00421130">
              <w:rPr>
                <w:rFonts w:hint="eastAsia"/>
                <w:lang w:eastAsia="zh-CN"/>
              </w:rPr>
              <w:t>人</w:t>
            </w:r>
          </w:p>
          <w:p w14:paraId="3E6BBE83" w14:textId="7210F9EF" w:rsidR="008E6A9D" w:rsidRPr="00421130" w:rsidRDefault="000E5618" w:rsidP="00421130">
            <w:pPr>
              <w:pStyle w:val="Tabletext"/>
              <w:rPr>
                <w:lang w:eastAsia="zh-CN"/>
              </w:rPr>
            </w:pPr>
            <w:r w:rsidRPr="00421130">
              <w:rPr>
                <w:rFonts w:hint="eastAsia"/>
                <w:lang w:eastAsia="zh-CN"/>
              </w:rPr>
              <w:t>（第一道防线）</w:t>
            </w:r>
          </w:p>
        </w:tc>
        <w:tc>
          <w:tcPr>
            <w:tcW w:w="7371" w:type="dxa"/>
          </w:tcPr>
          <w:p w14:paraId="467889E6" w14:textId="6234E8AE"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通过确保在其指定的局</w:t>
            </w:r>
            <w:r w:rsidRPr="00421130">
              <w:rPr>
                <w:rFonts w:hint="eastAsia"/>
                <w:lang w:eastAsia="zh-CN"/>
              </w:rPr>
              <w:t>/</w:t>
            </w:r>
            <w:r w:rsidRPr="00421130">
              <w:rPr>
                <w:rFonts w:hint="eastAsia"/>
                <w:lang w:eastAsia="zh-CN"/>
              </w:rPr>
              <w:t>地区</w:t>
            </w:r>
            <w:r w:rsidR="00D426D6" w:rsidRPr="00421130">
              <w:rPr>
                <w:rFonts w:hint="eastAsia"/>
                <w:lang w:eastAsia="zh-CN"/>
              </w:rPr>
              <w:t>代表处</w:t>
            </w:r>
            <w:r w:rsidRPr="00421130">
              <w:rPr>
                <w:rFonts w:hint="eastAsia"/>
                <w:lang w:eastAsia="zh-CN"/>
              </w:rPr>
              <w:t>/</w:t>
            </w:r>
            <w:r w:rsidR="00D426D6" w:rsidRPr="00421130">
              <w:rPr>
                <w:rFonts w:hint="eastAsia"/>
                <w:lang w:eastAsia="zh-CN"/>
              </w:rPr>
              <w:t>总秘书</w:t>
            </w:r>
            <w:r w:rsidRPr="00421130">
              <w:rPr>
                <w:rFonts w:hint="eastAsia"/>
                <w:lang w:eastAsia="zh-CN"/>
              </w:rPr>
              <w:t>部门或职能</w:t>
            </w:r>
            <w:r w:rsidR="00666DB2" w:rsidRPr="00421130">
              <w:rPr>
                <w:rFonts w:hint="eastAsia"/>
                <w:lang w:eastAsia="zh-CN"/>
              </w:rPr>
              <w:t>部门</w:t>
            </w:r>
            <w:proofErr w:type="gramStart"/>
            <w:r w:rsidRPr="00421130">
              <w:rPr>
                <w:rFonts w:hint="eastAsia"/>
                <w:lang w:eastAsia="zh-CN"/>
              </w:rPr>
              <w:t>内</w:t>
            </w:r>
            <w:r w:rsidR="00D426D6" w:rsidRPr="00421130">
              <w:rPr>
                <w:rFonts w:hint="eastAsia"/>
                <w:lang w:eastAsia="zh-CN"/>
              </w:rPr>
              <w:t>一致</w:t>
            </w:r>
            <w:proofErr w:type="gramEnd"/>
            <w:r w:rsidR="00D426D6" w:rsidRPr="00421130">
              <w:rPr>
                <w:rFonts w:hint="eastAsia"/>
                <w:lang w:eastAsia="zh-CN"/>
              </w:rPr>
              <w:t>地贯彻</w:t>
            </w:r>
            <w:r w:rsidRPr="00421130">
              <w:rPr>
                <w:rFonts w:hint="eastAsia"/>
                <w:lang w:eastAsia="zh-CN"/>
              </w:rPr>
              <w:t>本政策，与风险</w:t>
            </w:r>
            <w:r w:rsidR="00D426D6" w:rsidRPr="00421130">
              <w:rPr>
                <w:rFonts w:hint="eastAsia"/>
                <w:lang w:eastAsia="zh-CN"/>
              </w:rPr>
              <w:t>负责人</w:t>
            </w:r>
            <w:r w:rsidRPr="00421130">
              <w:rPr>
                <w:rFonts w:hint="eastAsia"/>
                <w:lang w:eastAsia="zh-CN"/>
              </w:rPr>
              <w:t>和风险应对行动</w:t>
            </w:r>
            <w:r w:rsidR="00D426D6" w:rsidRPr="00421130">
              <w:rPr>
                <w:rFonts w:hint="eastAsia"/>
                <w:lang w:eastAsia="zh-CN"/>
              </w:rPr>
              <w:t>负责人</w:t>
            </w:r>
            <w:r w:rsidRPr="00421130">
              <w:rPr>
                <w:rFonts w:hint="eastAsia"/>
                <w:lang w:eastAsia="zh-CN"/>
              </w:rPr>
              <w:t>进行协调，并确保对</w:t>
            </w:r>
            <w:r w:rsidR="00666DB2" w:rsidRPr="00421130">
              <w:rPr>
                <w:rFonts w:hint="eastAsia"/>
                <w:lang w:eastAsia="zh-CN"/>
              </w:rPr>
              <w:t>风险和内控官</w:t>
            </w:r>
            <w:r w:rsidRPr="00421130">
              <w:rPr>
                <w:rFonts w:hint="eastAsia"/>
                <w:lang w:eastAsia="zh-CN"/>
              </w:rPr>
              <w:t>的适当跟进，从而促进有效的风险和控制管理流程。</w:t>
            </w:r>
          </w:p>
        </w:tc>
      </w:tr>
      <w:tr w:rsidR="008E6A9D" w:rsidRPr="008E6A9D" w14:paraId="68C25E8C" w14:textId="77777777" w:rsidTr="00421130">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405" w:type="dxa"/>
          </w:tcPr>
          <w:p w14:paraId="09999830" w14:textId="41F25CAF" w:rsidR="008E6A9D" w:rsidRPr="00421130" w:rsidRDefault="00083C04" w:rsidP="00421130">
            <w:pPr>
              <w:pStyle w:val="Tabletext"/>
              <w:rPr>
                <w:lang w:eastAsia="zh-CN"/>
              </w:rPr>
            </w:pPr>
            <w:r w:rsidRPr="00421130">
              <w:rPr>
                <w:rFonts w:hint="eastAsia"/>
                <w:lang w:eastAsia="zh-CN"/>
              </w:rPr>
              <w:t>风险应对行动责任人</w:t>
            </w:r>
          </w:p>
          <w:p w14:paraId="64701618" w14:textId="169407EA" w:rsidR="008E6A9D" w:rsidRPr="00421130" w:rsidRDefault="000E5618" w:rsidP="00421130">
            <w:pPr>
              <w:pStyle w:val="Tabletext"/>
              <w:rPr>
                <w:lang w:eastAsia="zh-CN"/>
              </w:rPr>
            </w:pPr>
            <w:r w:rsidRPr="00421130">
              <w:rPr>
                <w:rFonts w:hint="eastAsia"/>
                <w:lang w:eastAsia="zh-CN"/>
              </w:rPr>
              <w:t>（第一道防线）</w:t>
            </w:r>
          </w:p>
        </w:tc>
        <w:tc>
          <w:tcPr>
            <w:tcW w:w="7371" w:type="dxa"/>
          </w:tcPr>
          <w:p w14:paraId="3B0C7A73" w14:textId="349038E6"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负责缓解计划和控制措施的有效</w:t>
            </w:r>
            <w:r w:rsidR="00427BA1" w:rsidRPr="00421130">
              <w:rPr>
                <w:rFonts w:hint="eastAsia"/>
                <w:lang w:eastAsia="zh-CN"/>
              </w:rPr>
              <w:t>落实</w:t>
            </w:r>
            <w:r w:rsidR="00666DB2" w:rsidRPr="00421130">
              <w:rPr>
                <w:rFonts w:hint="eastAsia"/>
                <w:lang w:eastAsia="zh-CN"/>
              </w:rPr>
              <w:t>、</w:t>
            </w:r>
            <w:r w:rsidRPr="00421130">
              <w:rPr>
                <w:rFonts w:hint="eastAsia"/>
                <w:lang w:eastAsia="zh-CN"/>
              </w:rPr>
              <w:t>监视和</w:t>
            </w:r>
            <w:r w:rsidR="00427BA1" w:rsidRPr="00421130">
              <w:rPr>
                <w:rFonts w:hint="eastAsia"/>
                <w:lang w:eastAsia="zh-CN"/>
              </w:rPr>
              <w:t>绩效</w:t>
            </w:r>
            <w:r w:rsidRPr="00421130">
              <w:rPr>
                <w:rFonts w:hint="eastAsia"/>
                <w:lang w:eastAsia="zh-CN"/>
              </w:rPr>
              <w:t>评估，相应地更新风险评估的</w:t>
            </w:r>
            <w:r w:rsidR="00666DB2" w:rsidRPr="00421130">
              <w:rPr>
                <w:rFonts w:hint="eastAsia"/>
                <w:lang w:eastAsia="zh-CN"/>
              </w:rPr>
              <w:t>效果</w:t>
            </w:r>
            <w:r w:rsidRPr="00421130">
              <w:rPr>
                <w:rFonts w:hint="eastAsia"/>
                <w:lang w:eastAsia="zh-CN"/>
              </w:rPr>
              <w:t>，并向风险</w:t>
            </w:r>
            <w:r w:rsidR="00666DB2" w:rsidRPr="00421130">
              <w:rPr>
                <w:rFonts w:hint="eastAsia"/>
                <w:lang w:eastAsia="zh-CN"/>
              </w:rPr>
              <w:t>负责人</w:t>
            </w:r>
            <w:r w:rsidRPr="00421130">
              <w:rPr>
                <w:rFonts w:hint="eastAsia"/>
                <w:lang w:eastAsia="zh-CN"/>
              </w:rPr>
              <w:t>报告。</w:t>
            </w:r>
          </w:p>
        </w:tc>
      </w:tr>
      <w:tr w:rsidR="008E6A9D" w:rsidRPr="008E6A9D" w14:paraId="707C4A99" w14:textId="77777777" w:rsidTr="00421130">
        <w:trPr>
          <w:trHeight w:val="850"/>
        </w:trPr>
        <w:tc>
          <w:tcPr>
            <w:cnfStyle w:val="001000000000" w:firstRow="0" w:lastRow="0" w:firstColumn="1" w:lastColumn="0" w:oddVBand="0" w:evenVBand="0" w:oddHBand="0" w:evenHBand="0" w:firstRowFirstColumn="0" w:firstRowLastColumn="0" w:lastRowFirstColumn="0" w:lastRowLastColumn="0"/>
            <w:tcW w:w="2405" w:type="dxa"/>
          </w:tcPr>
          <w:p w14:paraId="03B219B9" w14:textId="224C4871" w:rsidR="008E6A9D" w:rsidRPr="00421130" w:rsidRDefault="000E7D80" w:rsidP="00421130">
            <w:pPr>
              <w:pStyle w:val="Tabletext"/>
              <w:rPr>
                <w:lang w:eastAsia="zh-CN"/>
              </w:rPr>
            </w:pPr>
            <w:r w:rsidRPr="00421130">
              <w:rPr>
                <w:rFonts w:hint="eastAsia"/>
                <w:lang w:eastAsia="zh-CN"/>
              </w:rPr>
              <w:t>风险和</w:t>
            </w:r>
            <w:r w:rsidR="00AF76B1" w:rsidRPr="00421130">
              <w:rPr>
                <w:rFonts w:hint="eastAsia"/>
                <w:lang w:eastAsia="zh-CN"/>
              </w:rPr>
              <w:t>内控官</w:t>
            </w:r>
          </w:p>
          <w:p w14:paraId="62918128" w14:textId="57432100" w:rsidR="008E6A9D" w:rsidRPr="00421130" w:rsidRDefault="000E5618" w:rsidP="00421130">
            <w:pPr>
              <w:pStyle w:val="Tabletext"/>
              <w:rPr>
                <w:lang w:eastAsia="zh-CN"/>
              </w:rPr>
            </w:pPr>
            <w:r w:rsidRPr="00421130">
              <w:rPr>
                <w:rFonts w:hint="eastAsia"/>
                <w:lang w:eastAsia="zh-CN"/>
              </w:rPr>
              <w:t>（第二道防线）</w:t>
            </w:r>
          </w:p>
        </w:tc>
        <w:tc>
          <w:tcPr>
            <w:tcW w:w="7371" w:type="dxa"/>
          </w:tcPr>
          <w:p w14:paraId="0AE46528" w14:textId="6EA7A242"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负责协调风险和控制管理流程</w:t>
            </w:r>
            <w:r w:rsidR="00666DB2" w:rsidRPr="00421130">
              <w:rPr>
                <w:rFonts w:hint="eastAsia"/>
                <w:lang w:eastAsia="zh-CN"/>
              </w:rPr>
              <w:t>以及该流程</w:t>
            </w:r>
            <w:r w:rsidRPr="00421130">
              <w:rPr>
                <w:rFonts w:hint="eastAsia"/>
                <w:lang w:eastAsia="zh-CN"/>
              </w:rPr>
              <w:t>持续改进和增强，包括风险管理框架</w:t>
            </w:r>
            <w:r w:rsidR="00666DB2" w:rsidRPr="00421130">
              <w:rPr>
                <w:rFonts w:hint="eastAsia"/>
                <w:lang w:eastAsia="zh-CN"/>
              </w:rPr>
              <w:t>、</w:t>
            </w:r>
            <w:r w:rsidRPr="00421130">
              <w:rPr>
                <w:rFonts w:hint="eastAsia"/>
                <w:lang w:eastAsia="zh-CN"/>
              </w:rPr>
              <w:t>政策和手册。风险和内控官负责</w:t>
            </w:r>
            <w:r w:rsidR="00E315B1" w:rsidRPr="00421130">
              <w:rPr>
                <w:rFonts w:hint="eastAsia"/>
                <w:lang w:eastAsia="zh-CN"/>
              </w:rPr>
              <w:t>起草提交</w:t>
            </w:r>
            <w:r w:rsidR="00666DB2" w:rsidRPr="00421130">
              <w:rPr>
                <w:lang w:eastAsia="zh-CN"/>
              </w:rPr>
              <w:t>跨部门协调任务组（</w:t>
            </w:r>
            <w:r w:rsidR="00666DB2" w:rsidRPr="00421130">
              <w:rPr>
                <w:lang w:eastAsia="zh-CN"/>
              </w:rPr>
              <w:t>ISC-TF</w:t>
            </w:r>
            <w:r w:rsidR="00666DB2" w:rsidRPr="00421130">
              <w:rPr>
                <w:lang w:eastAsia="zh-CN"/>
              </w:rPr>
              <w:t>）</w:t>
            </w:r>
            <w:r w:rsidRPr="00421130">
              <w:rPr>
                <w:rFonts w:hint="eastAsia"/>
                <w:lang w:eastAsia="zh-CN"/>
              </w:rPr>
              <w:t>和</w:t>
            </w:r>
            <w:r w:rsidR="00666DB2" w:rsidRPr="00421130">
              <w:rPr>
                <w:lang w:eastAsia="zh-CN"/>
              </w:rPr>
              <w:t>管理协调组（</w:t>
            </w:r>
            <w:r w:rsidR="00666DB2" w:rsidRPr="00421130">
              <w:rPr>
                <w:lang w:eastAsia="zh-CN"/>
              </w:rPr>
              <w:t>MCG</w:t>
            </w:r>
            <w:r w:rsidR="00666DB2" w:rsidRPr="00421130">
              <w:rPr>
                <w:lang w:eastAsia="zh-CN"/>
              </w:rPr>
              <w:t>）</w:t>
            </w:r>
            <w:r w:rsidR="00666DB2" w:rsidRPr="00421130">
              <w:rPr>
                <w:rFonts w:hint="eastAsia"/>
                <w:lang w:eastAsia="zh-CN"/>
              </w:rPr>
              <w:t>/</w:t>
            </w:r>
            <w:r w:rsidR="00666DB2" w:rsidRPr="00421130">
              <w:rPr>
                <w:rFonts w:hint="eastAsia"/>
                <w:lang w:eastAsia="zh-CN"/>
              </w:rPr>
              <w:t>协调委员会（</w:t>
            </w:r>
            <w:proofErr w:type="spellStart"/>
            <w:r w:rsidR="00666DB2" w:rsidRPr="00421130">
              <w:rPr>
                <w:rFonts w:hint="eastAsia"/>
                <w:lang w:eastAsia="zh-CN"/>
              </w:rPr>
              <w:t>CoCo</w:t>
            </w:r>
            <w:proofErr w:type="spellEnd"/>
            <w:r w:rsidR="00666DB2" w:rsidRPr="00421130">
              <w:rPr>
                <w:rFonts w:hint="eastAsia"/>
                <w:lang w:eastAsia="zh-CN"/>
              </w:rPr>
              <w:t>）</w:t>
            </w:r>
            <w:r w:rsidRPr="00421130">
              <w:rPr>
                <w:rFonts w:hint="eastAsia"/>
                <w:lang w:eastAsia="zh-CN"/>
              </w:rPr>
              <w:t>的报告，并确保组织</w:t>
            </w:r>
            <w:r w:rsidR="00F1274A">
              <w:rPr>
                <w:rFonts w:hint="eastAsia"/>
                <w:lang w:eastAsia="zh-CN"/>
              </w:rPr>
              <w:t>及</w:t>
            </w:r>
            <w:r w:rsidRPr="00421130">
              <w:rPr>
                <w:rFonts w:hint="eastAsia"/>
                <w:lang w:eastAsia="zh-CN"/>
              </w:rPr>
              <w:t>风险</w:t>
            </w:r>
            <w:r w:rsidR="00E315B1" w:rsidRPr="00421130">
              <w:rPr>
                <w:rFonts w:hint="eastAsia"/>
                <w:lang w:eastAsia="zh-CN"/>
              </w:rPr>
              <w:t>得到了充分识别</w:t>
            </w:r>
            <w:r w:rsidRPr="00421130">
              <w:rPr>
                <w:rFonts w:hint="eastAsia"/>
                <w:lang w:eastAsia="zh-CN"/>
              </w:rPr>
              <w:t>并将其记录在风险管理系统中。</w:t>
            </w:r>
          </w:p>
          <w:p w14:paraId="4F75AD0A" w14:textId="60A94E14"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关于控制措施，风险和</w:t>
            </w:r>
            <w:r w:rsidR="00666DB2" w:rsidRPr="00421130">
              <w:rPr>
                <w:rFonts w:hint="eastAsia"/>
                <w:lang w:eastAsia="zh-CN"/>
              </w:rPr>
              <w:t>内控官</w:t>
            </w:r>
            <w:r w:rsidRPr="00421130">
              <w:rPr>
                <w:rFonts w:hint="eastAsia"/>
                <w:lang w:eastAsia="zh-CN"/>
              </w:rPr>
              <w:t>负责评估所记录的控制措施的</w:t>
            </w:r>
            <w:r w:rsidR="00666DB2" w:rsidRPr="00421130">
              <w:rPr>
                <w:rFonts w:hint="eastAsia"/>
                <w:lang w:eastAsia="zh-CN"/>
              </w:rPr>
              <w:t>运作</w:t>
            </w:r>
            <w:r w:rsidRPr="00421130">
              <w:rPr>
                <w:rFonts w:hint="eastAsia"/>
                <w:lang w:eastAsia="zh-CN"/>
              </w:rPr>
              <w:t>有效性（控制措施在一段时间内是否有效运行，从而实际上</w:t>
            </w:r>
            <w:r w:rsidR="00666DB2" w:rsidRPr="00421130">
              <w:rPr>
                <w:rFonts w:hint="eastAsia"/>
                <w:lang w:eastAsia="zh-CN"/>
              </w:rPr>
              <w:t>缓解</w:t>
            </w:r>
            <w:r w:rsidRPr="00421130">
              <w:rPr>
                <w:rFonts w:hint="eastAsia"/>
                <w:lang w:eastAsia="zh-CN"/>
              </w:rPr>
              <w:t>了相关风险）。</w:t>
            </w:r>
          </w:p>
        </w:tc>
      </w:tr>
      <w:tr w:rsidR="008E6A9D" w:rsidRPr="008E6A9D" w14:paraId="3A347DA2" w14:textId="77777777" w:rsidTr="00421130">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405" w:type="dxa"/>
          </w:tcPr>
          <w:p w14:paraId="6B46CAFD" w14:textId="43218FB2" w:rsidR="008E6A9D" w:rsidRPr="00421130" w:rsidRDefault="00AF76B1" w:rsidP="00421130">
            <w:pPr>
              <w:pStyle w:val="Tabletext"/>
              <w:rPr>
                <w:lang w:eastAsia="zh-CN"/>
              </w:rPr>
            </w:pPr>
            <w:r w:rsidRPr="00421130">
              <w:rPr>
                <w:rFonts w:hint="eastAsia"/>
                <w:lang w:eastAsia="zh-CN"/>
              </w:rPr>
              <w:t>各局主任</w:t>
            </w:r>
          </w:p>
        </w:tc>
        <w:tc>
          <w:tcPr>
            <w:tcW w:w="7371" w:type="dxa"/>
          </w:tcPr>
          <w:p w14:paraId="15E62C0C" w14:textId="0120E26F"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负责</w:t>
            </w:r>
            <w:r w:rsidR="00496A42" w:rsidRPr="00421130">
              <w:rPr>
                <w:rFonts w:hint="eastAsia"/>
                <w:lang w:eastAsia="zh-CN"/>
              </w:rPr>
              <w:t>定期</w:t>
            </w:r>
            <w:r w:rsidR="00666DB2" w:rsidRPr="00421130">
              <w:rPr>
                <w:rFonts w:hint="eastAsia"/>
                <w:lang w:eastAsia="zh-CN"/>
              </w:rPr>
              <w:t>对与</w:t>
            </w:r>
            <w:r w:rsidRPr="00421130">
              <w:rPr>
                <w:rFonts w:hint="eastAsia"/>
                <w:lang w:eastAsia="zh-CN"/>
              </w:rPr>
              <w:t>部门相关的风险和</w:t>
            </w:r>
            <w:r w:rsidR="00666DB2" w:rsidRPr="00421130">
              <w:rPr>
                <w:rFonts w:hint="eastAsia"/>
                <w:lang w:eastAsia="zh-CN"/>
              </w:rPr>
              <w:t>应对进行</w:t>
            </w:r>
            <w:r w:rsidR="00824D00" w:rsidRPr="00421130">
              <w:rPr>
                <w:rFonts w:hint="eastAsia"/>
                <w:lang w:eastAsia="zh-CN"/>
              </w:rPr>
              <w:t>审议</w:t>
            </w:r>
            <w:r w:rsidRPr="00421130">
              <w:rPr>
                <w:rFonts w:hint="eastAsia"/>
                <w:lang w:eastAsia="zh-CN"/>
              </w:rPr>
              <w:t>和管理。</w:t>
            </w:r>
          </w:p>
        </w:tc>
      </w:tr>
      <w:tr w:rsidR="008E6A9D" w:rsidRPr="008E6A9D" w14:paraId="627C5BA5" w14:textId="77777777" w:rsidTr="00421130">
        <w:trPr>
          <w:trHeight w:val="680"/>
        </w:trPr>
        <w:tc>
          <w:tcPr>
            <w:cnfStyle w:val="001000000000" w:firstRow="0" w:lastRow="0" w:firstColumn="1" w:lastColumn="0" w:oddVBand="0" w:evenVBand="0" w:oddHBand="0" w:evenHBand="0" w:firstRowFirstColumn="0" w:firstRowLastColumn="0" w:lastRowFirstColumn="0" w:lastRowLastColumn="0"/>
            <w:tcW w:w="2405" w:type="dxa"/>
          </w:tcPr>
          <w:p w14:paraId="0AC48F50" w14:textId="0AFAEFFF" w:rsidR="008E6A9D" w:rsidRPr="00421130" w:rsidRDefault="00AF76B1" w:rsidP="00421130">
            <w:pPr>
              <w:pStyle w:val="Tabletext"/>
              <w:rPr>
                <w:lang w:eastAsia="zh-CN"/>
              </w:rPr>
            </w:pPr>
            <w:r w:rsidRPr="00421130">
              <w:rPr>
                <w:lang w:eastAsia="zh-CN"/>
              </w:rPr>
              <w:t>跨部门协调任务组（</w:t>
            </w:r>
            <w:r w:rsidRPr="00421130">
              <w:rPr>
                <w:lang w:eastAsia="zh-CN"/>
              </w:rPr>
              <w:t>ISC-TF</w:t>
            </w:r>
            <w:r w:rsidRPr="00421130">
              <w:rPr>
                <w:lang w:eastAsia="zh-CN"/>
              </w:rPr>
              <w:t>）</w:t>
            </w:r>
          </w:p>
        </w:tc>
        <w:tc>
          <w:tcPr>
            <w:tcW w:w="7371" w:type="dxa"/>
          </w:tcPr>
          <w:p w14:paraId="31BAB346" w14:textId="2EF8D6A2" w:rsidR="007570EF" w:rsidRPr="00421130" w:rsidRDefault="00666DB2"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作为</w:t>
            </w:r>
            <w:r w:rsidR="00824D00" w:rsidRPr="00421130">
              <w:rPr>
                <w:rFonts w:hint="eastAsia"/>
                <w:lang w:eastAsia="zh-CN"/>
              </w:rPr>
              <w:t>审议</w:t>
            </w:r>
            <w:r w:rsidR="007570EF" w:rsidRPr="00421130">
              <w:rPr>
                <w:rFonts w:hint="eastAsia"/>
                <w:lang w:eastAsia="zh-CN"/>
              </w:rPr>
              <w:t>跨部门风险和风险管理框架的咨询机构。</w:t>
            </w:r>
          </w:p>
        </w:tc>
      </w:tr>
      <w:tr w:rsidR="008E6A9D" w:rsidRPr="008E6A9D" w14:paraId="67B103D9" w14:textId="77777777" w:rsidTr="0042113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405" w:type="dxa"/>
          </w:tcPr>
          <w:p w14:paraId="57D4B343" w14:textId="4273F7BA" w:rsidR="008E6A9D" w:rsidRPr="00421130" w:rsidRDefault="00AF76B1" w:rsidP="00421130">
            <w:pPr>
              <w:pStyle w:val="Tabletext"/>
              <w:rPr>
                <w:lang w:eastAsia="zh-CN"/>
              </w:rPr>
            </w:pPr>
            <w:r w:rsidRPr="00421130">
              <w:rPr>
                <w:lang w:eastAsia="zh-CN"/>
              </w:rPr>
              <w:t>管理协调组（</w:t>
            </w:r>
            <w:r w:rsidRPr="00421130">
              <w:rPr>
                <w:lang w:eastAsia="zh-CN"/>
              </w:rPr>
              <w:t>MCG</w:t>
            </w:r>
            <w:r w:rsidRPr="00421130">
              <w:rPr>
                <w:lang w:eastAsia="zh-CN"/>
              </w:rPr>
              <w:t>）</w:t>
            </w:r>
            <w:r w:rsidRPr="00421130">
              <w:rPr>
                <w:rFonts w:hint="eastAsia"/>
                <w:lang w:eastAsia="zh-CN"/>
              </w:rPr>
              <w:t>/</w:t>
            </w:r>
            <w:r w:rsidRPr="00421130">
              <w:rPr>
                <w:rFonts w:hint="eastAsia"/>
                <w:lang w:eastAsia="zh-CN"/>
              </w:rPr>
              <w:t>协调委员会（</w:t>
            </w:r>
            <w:proofErr w:type="spellStart"/>
            <w:r w:rsidRPr="00421130">
              <w:rPr>
                <w:rFonts w:hint="eastAsia"/>
                <w:lang w:eastAsia="zh-CN"/>
              </w:rPr>
              <w:t>CoCo</w:t>
            </w:r>
            <w:proofErr w:type="spellEnd"/>
            <w:r w:rsidRPr="00421130">
              <w:rPr>
                <w:rFonts w:hint="eastAsia"/>
                <w:lang w:eastAsia="zh-CN"/>
              </w:rPr>
              <w:t>）</w:t>
            </w:r>
          </w:p>
        </w:tc>
        <w:tc>
          <w:tcPr>
            <w:tcW w:w="7371" w:type="dxa"/>
          </w:tcPr>
          <w:p w14:paraId="15EE07E1" w14:textId="4D222686"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定期</w:t>
            </w:r>
            <w:proofErr w:type="gramStart"/>
            <w:r w:rsidR="00824D00" w:rsidRPr="00421130">
              <w:rPr>
                <w:rFonts w:hint="eastAsia"/>
                <w:lang w:eastAsia="zh-CN"/>
              </w:rPr>
              <w:t>审议</w:t>
            </w:r>
            <w:r w:rsidRPr="00421130">
              <w:rPr>
                <w:rFonts w:hint="eastAsia"/>
                <w:lang w:eastAsia="zh-CN"/>
              </w:rPr>
              <w:t>高</w:t>
            </w:r>
            <w:proofErr w:type="gramEnd"/>
            <w:r w:rsidR="00427BA1" w:rsidRPr="00421130">
              <w:rPr>
                <w:rFonts w:hint="eastAsia"/>
                <w:lang w:eastAsia="zh-CN"/>
              </w:rPr>
              <w:t>等级</w:t>
            </w:r>
            <w:r w:rsidRPr="00421130">
              <w:rPr>
                <w:rFonts w:hint="eastAsia"/>
                <w:lang w:eastAsia="zh-CN"/>
              </w:rPr>
              <w:t>风险，并做出与风险管理相关的决策。</w:t>
            </w:r>
            <w:r w:rsidR="00824D00" w:rsidRPr="00421130">
              <w:rPr>
                <w:rFonts w:hint="eastAsia"/>
                <w:lang w:eastAsia="zh-CN"/>
              </w:rPr>
              <w:t>审议</w:t>
            </w:r>
            <w:r w:rsidRPr="00421130">
              <w:rPr>
                <w:rFonts w:hint="eastAsia"/>
                <w:lang w:eastAsia="zh-CN"/>
              </w:rPr>
              <w:t>并批准国际电</w:t>
            </w:r>
            <w:proofErr w:type="gramStart"/>
            <w:r w:rsidRPr="00421130">
              <w:rPr>
                <w:rFonts w:hint="eastAsia"/>
                <w:lang w:eastAsia="zh-CN"/>
              </w:rPr>
              <w:t>联风险</w:t>
            </w:r>
            <w:proofErr w:type="gramEnd"/>
            <w:r w:rsidRPr="00421130">
              <w:rPr>
                <w:rFonts w:hint="eastAsia"/>
                <w:lang w:eastAsia="zh-CN"/>
              </w:rPr>
              <w:t>管理手册，并确保在高层</w:t>
            </w:r>
            <w:r w:rsidR="00B77826" w:rsidRPr="00421130">
              <w:rPr>
                <w:rFonts w:hint="eastAsia"/>
                <w:lang w:eastAsia="zh-CN"/>
              </w:rPr>
              <w:t>发出明确的声音</w:t>
            </w:r>
            <w:r w:rsidRPr="00421130">
              <w:rPr>
                <w:rFonts w:hint="eastAsia"/>
                <w:lang w:eastAsia="zh-CN"/>
              </w:rPr>
              <w:t>，以促进负责任和有效的风险管理文化。</w:t>
            </w:r>
          </w:p>
        </w:tc>
      </w:tr>
      <w:tr w:rsidR="008E6A9D" w:rsidRPr="008E6A9D" w14:paraId="78930793" w14:textId="77777777" w:rsidTr="00421130">
        <w:trPr>
          <w:trHeight w:val="680"/>
        </w:trPr>
        <w:tc>
          <w:tcPr>
            <w:cnfStyle w:val="001000000000" w:firstRow="0" w:lastRow="0" w:firstColumn="1" w:lastColumn="0" w:oddVBand="0" w:evenVBand="0" w:oddHBand="0" w:evenHBand="0" w:firstRowFirstColumn="0" w:firstRowLastColumn="0" w:lastRowFirstColumn="0" w:lastRowLastColumn="0"/>
            <w:tcW w:w="2405" w:type="dxa"/>
          </w:tcPr>
          <w:p w14:paraId="0CED961E" w14:textId="7A3A738E" w:rsidR="008E6A9D" w:rsidRPr="00421130" w:rsidRDefault="00AF76B1" w:rsidP="00421130">
            <w:pPr>
              <w:pStyle w:val="Tabletext"/>
              <w:rPr>
                <w:lang w:eastAsia="zh-CN"/>
              </w:rPr>
            </w:pPr>
            <w:r w:rsidRPr="00421130">
              <w:rPr>
                <w:rFonts w:ascii="Segoe UI" w:hAnsi="Segoe UI" w:cs="Segoe UI"/>
                <w:color w:val="000000"/>
                <w:shd w:val="clear" w:color="auto" w:fill="FFFFFF"/>
                <w:lang w:eastAsia="zh-CN"/>
              </w:rPr>
              <w:t>道德规范办公室</w:t>
            </w:r>
            <w:r w:rsidR="008E6A9D" w:rsidRPr="00421130">
              <w:rPr>
                <w:lang w:eastAsia="zh-CN"/>
              </w:rPr>
              <w:br/>
            </w:r>
            <w:r w:rsidR="000E5618" w:rsidRPr="00421130">
              <w:rPr>
                <w:rFonts w:hint="eastAsia"/>
                <w:lang w:eastAsia="zh-CN"/>
              </w:rPr>
              <w:t>（第二道防线）</w:t>
            </w:r>
          </w:p>
        </w:tc>
        <w:tc>
          <w:tcPr>
            <w:tcW w:w="7371" w:type="dxa"/>
          </w:tcPr>
          <w:p w14:paraId="11A4C129" w14:textId="1E9758A7" w:rsidR="007570EF" w:rsidRPr="00421130" w:rsidRDefault="007570EF" w:rsidP="0042113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21130">
              <w:rPr>
                <w:rFonts w:hint="eastAsia"/>
                <w:lang w:eastAsia="zh-CN"/>
              </w:rPr>
              <w:t>道德标准</w:t>
            </w:r>
            <w:r w:rsidR="00B77826" w:rsidRPr="00421130">
              <w:rPr>
                <w:rFonts w:hint="eastAsia"/>
                <w:lang w:eastAsia="zh-CN"/>
              </w:rPr>
              <w:t>、</w:t>
            </w:r>
            <w:r w:rsidRPr="00421130">
              <w:rPr>
                <w:rFonts w:hint="eastAsia"/>
                <w:lang w:eastAsia="zh-CN"/>
              </w:rPr>
              <w:t>价值观和原则</w:t>
            </w:r>
            <w:r w:rsidR="00B77826" w:rsidRPr="00421130">
              <w:rPr>
                <w:rFonts w:hint="eastAsia"/>
                <w:lang w:eastAsia="zh-CN"/>
              </w:rPr>
              <w:t>，包括道德规范办公室</w:t>
            </w:r>
            <w:r w:rsidRPr="00421130">
              <w:rPr>
                <w:rFonts w:hint="eastAsia"/>
                <w:lang w:eastAsia="zh-CN"/>
              </w:rPr>
              <w:t>将处于第二道防线（</w:t>
            </w:r>
            <w:r w:rsidR="00B77826" w:rsidRPr="00421130">
              <w:rPr>
                <w:rFonts w:hint="eastAsia"/>
                <w:lang w:eastAsia="zh-CN"/>
              </w:rPr>
              <w:t>2018</w:t>
            </w:r>
            <w:r w:rsidR="00B77826" w:rsidRPr="00421130">
              <w:rPr>
                <w:rFonts w:hint="eastAsia"/>
                <w:lang w:eastAsia="zh-CN"/>
              </w:rPr>
              <w:t>年</w:t>
            </w:r>
            <w:r w:rsidR="00B77826" w:rsidRPr="00421130">
              <w:rPr>
                <w:rFonts w:hint="eastAsia"/>
                <w:lang w:eastAsia="zh-CN"/>
              </w:rPr>
              <w:t>3</w:t>
            </w:r>
            <w:r w:rsidR="00B77826" w:rsidRPr="00421130">
              <w:rPr>
                <w:rFonts w:hint="eastAsia"/>
                <w:lang w:eastAsia="zh-CN"/>
              </w:rPr>
              <w:t>月，</w:t>
            </w:r>
            <w:r w:rsidR="00B77826" w:rsidRPr="00421130">
              <w:rPr>
                <w:lang w:eastAsia="zh-CN"/>
              </w:rPr>
              <w:t>UN A/72/773</w:t>
            </w:r>
            <w:r w:rsidRPr="00421130">
              <w:rPr>
                <w:rFonts w:hint="eastAsia"/>
                <w:lang w:eastAsia="zh-CN"/>
              </w:rPr>
              <w:t>）。</w:t>
            </w:r>
          </w:p>
        </w:tc>
      </w:tr>
      <w:tr w:rsidR="008E6A9D" w:rsidRPr="00B77826" w14:paraId="537E3F99" w14:textId="77777777" w:rsidTr="0042113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05" w:type="dxa"/>
          </w:tcPr>
          <w:p w14:paraId="3B968FC2" w14:textId="5DC3BACF" w:rsidR="008E6A9D" w:rsidRPr="00421130" w:rsidRDefault="00AF76B1" w:rsidP="00421130">
            <w:pPr>
              <w:pStyle w:val="Tabletext"/>
              <w:rPr>
                <w:lang w:eastAsia="zh-CN"/>
              </w:rPr>
            </w:pPr>
            <w:r w:rsidRPr="00421130">
              <w:rPr>
                <w:rFonts w:hint="eastAsia"/>
                <w:lang w:eastAsia="zh-CN"/>
              </w:rPr>
              <w:t>内部审计</w:t>
            </w:r>
            <w:r w:rsidR="008E6A9D" w:rsidRPr="00421130">
              <w:rPr>
                <w:lang w:eastAsia="zh-CN"/>
              </w:rPr>
              <w:br/>
            </w:r>
            <w:r w:rsidR="000E5618" w:rsidRPr="00421130">
              <w:rPr>
                <w:rFonts w:hint="eastAsia"/>
                <w:lang w:eastAsia="zh-CN"/>
              </w:rPr>
              <w:t>（第二道防线）</w:t>
            </w:r>
          </w:p>
        </w:tc>
        <w:tc>
          <w:tcPr>
            <w:tcW w:w="7371" w:type="dxa"/>
          </w:tcPr>
          <w:p w14:paraId="1A15DAF9" w14:textId="7A8F77AE" w:rsidR="007570EF" w:rsidRPr="00421130" w:rsidRDefault="007570EF" w:rsidP="0042113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21130">
              <w:rPr>
                <w:rFonts w:hint="eastAsia"/>
                <w:lang w:eastAsia="zh-CN"/>
              </w:rPr>
              <w:t>第三道防线</w:t>
            </w:r>
            <w:r w:rsidR="00B77826" w:rsidRPr="00421130">
              <w:rPr>
                <w:rFonts w:hint="eastAsia"/>
                <w:lang w:eastAsia="zh-CN"/>
              </w:rPr>
              <w:t>为</w:t>
            </w:r>
            <w:r w:rsidRPr="00421130">
              <w:rPr>
                <w:rFonts w:hint="eastAsia"/>
                <w:lang w:eastAsia="zh-CN"/>
              </w:rPr>
              <w:t>独立保证，传统上涵盖内部审计</w:t>
            </w:r>
            <w:r w:rsidR="00B77826" w:rsidRPr="00421130">
              <w:rPr>
                <w:rFonts w:hint="eastAsia"/>
                <w:lang w:eastAsia="zh-CN"/>
              </w:rPr>
              <w:t>、</w:t>
            </w:r>
            <w:r w:rsidRPr="00421130">
              <w:rPr>
                <w:rFonts w:hint="eastAsia"/>
                <w:lang w:eastAsia="zh-CN"/>
              </w:rPr>
              <w:t>调查和评估</w:t>
            </w:r>
            <w:r w:rsidR="00B77826" w:rsidRPr="00421130">
              <w:rPr>
                <w:rFonts w:hint="eastAsia"/>
                <w:lang w:eastAsia="zh-CN"/>
              </w:rPr>
              <w:t>职能</w:t>
            </w:r>
            <w:r w:rsidRPr="00421130">
              <w:rPr>
                <w:rFonts w:hint="eastAsia"/>
                <w:lang w:eastAsia="zh-CN"/>
              </w:rPr>
              <w:t>。</w:t>
            </w:r>
          </w:p>
        </w:tc>
      </w:tr>
    </w:tbl>
    <w:p w14:paraId="0B8AB46D" w14:textId="210C5A1A" w:rsidR="008E6A9D" w:rsidRPr="008E6A9D" w:rsidRDefault="0042174E" w:rsidP="00421130">
      <w:pPr>
        <w:pStyle w:val="AnnexNo"/>
        <w:rPr>
          <w:rFonts w:eastAsia="Times New Roman"/>
          <w:lang w:eastAsia="zh-CN"/>
        </w:rPr>
      </w:pPr>
      <w:bookmarkStart w:id="17" w:name="lt_pId224"/>
      <w:r>
        <w:rPr>
          <w:rFonts w:hint="eastAsia"/>
          <w:lang w:eastAsia="zh-CN"/>
        </w:rPr>
        <w:lastRenderedPageBreak/>
        <w:t>附件</w:t>
      </w:r>
      <w:r w:rsidRPr="008E6A9D">
        <w:rPr>
          <w:rFonts w:eastAsia="Times New Roman"/>
          <w:lang w:eastAsia="zh-CN"/>
        </w:rPr>
        <w:t>B</w:t>
      </w:r>
      <w:bookmarkEnd w:id="17"/>
    </w:p>
    <w:p w14:paraId="63386B6C" w14:textId="4FBE7642" w:rsidR="008E6A9D" w:rsidRPr="008E6A9D" w:rsidRDefault="0042174E" w:rsidP="00421130">
      <w:pPr>
        <w:pStyle w:val="Annextitle"/>
        <w:rPr>
          <w:rFonts w:eastAsia="Times New Roman"/>
          <w:lang w:eastAsia="zh-CN"/>
        </w:rPr>
      </w:pPr>
      <w:bookmarkStart w:id="18" w:name="lt_pId225"/>
      <w:r>
        <w:rPr>
          <w:rFonts w:hint="eastAsia"/>
          <w:lang w:eastAsia="zh-CN"/>
        </w:rPr>
        <w:t>国际电</w:t>
      </w:r>
      <w:proofErr w:type="gramStart"/>
      <w:r>
        <w:rPr>
          <w:rFonts w:hint="eastAsia"/>
          <w:lang w:eastAsia="zh-CN"/>
        </w:rPr>
        <w:t>联风险</w:t>
      </w:r>
      <w:proofErr w:type="gramEnd"/>
      <w:r>
        <w:rPr>
          <w:rFonts w:hint="eastAsia"/>
          <w:lang w:eastAsia="zh-CN"/>
        </w:rPr>
        <w:t>陈述书</w:t>
      </w:r>
      <w:bookmarkEnd w:id="18"/>
    </w:p>
    <w:p w14:paraId="067E066C" w14:textId="0E7EB321" w:rsidR="008E6A9D" w:rsidRPr="008E6A9D" w:rsidRDefault="00421130" w:rsidP="00421130">
      <w:pPr>
        <w:pStyle w:val="Heading1"/>
        <w:rPr>
          <w:rFonts w:asciiTheme="minorHAnsi" w:eastAsia="Times New Roman" w:hAnsiTheme="minorHAnsi"/>
          <w:lang w:val="en-AU" w:eastAsia="en-AU"/>
        </w:rPr>
      </w:pPr>
      <w:r>
        <w:rPr>
          <w:rFonts w:hint="eastAsia"/>
          <w:lang w:val="en-AU" w:eastAsia="zh-CN"/>
        </w:rPr>
        <w:t>1</w:t>
      </w:r>
      <w:r>
        <w:rPr>
          <w:lang w:val="en-AU" w:eastAsia="zh-CN"/>
        </w:rPr>
        <w:tab/>
      </w:r>
      <w:proofErr w:type="spellStart"/>
      <w:r w:rsidR="00540A7B" w:rsidRPr="0042174E">
        <w:rPr>
          <w:rFonts w:hint="eastAsia"/>
          <w:lang w:val="en-AU" w:eastAsia="en-AU"/>
        </w:rPr>
        <w:t>引言</w:t>
      </w:r>
      <w:proofErr w:type="spellEnd"/>
    </w:p>
    <w:p w14:paraId="2BC91E33" w14:textId="5A88DBA0" w:rsidR="008E6A9D" w:rsidRPr="0057350A" w:rsidRDefault="00E315B1" w:rsidP="00421130">
      <w:pPr>
        <w:ind w:firstLineChars="200" w:firstLine="480"/>
        <w:rPr>
          <w:rFonts w:eastAsia="Times New Roman"/>
          <w:lang w:eastAsia="zh-CN"/>
        </w:rPr>
      </w:pPr>
      <w:proofErr w:type="gramStart"/>
      <w:r>
        <w:rPr>
          <w:rFonts w:hint="eastAsia"/>
          <w:lang w:eastAsia="zh-CN"/>
        </w:rPr>
        <w:t>本</w:t>
      </w:r>
      <w:r w:rsidR="0057350A" w:rsidRPr="0057350A">
        <w:rPr>
          <w:rFonts w:hint="eastAsia"/>
          <w:lang w:eastAsia="zh-CN"/>
        </w:rPr>
        <w:t>风险</w:t>
      </w:r>
      <w:proofErr w:type="gramEnd"/>
      <w:r w:rsidR="0057350A" w:rsidRPr="0057350A">
        <w:rPr>
          <w:rFonts w:hint="eastAsia"/>
          <w:lang w:eastAsia="zh-CN"/>
        </w:rPr>
        <w:t>偏好陈述书</w:t>
      </w:r>
      <w:r>
        <w:rPr>
          <w:rFonts w:hint="eastAsia"/>
          <w:lang w:eastAsia="zh-CN"/>
        </w:rPr>
        <w:t>是</w:t>
      </w:r>
      <w:r w:rsidR="0057350A" w:rsidRPr="0057350A">
        <w:rPr>
          <w:rFonts w:hint="eastAsia"/>
          <w:lang w:eastAsia="zh-CN"/>
        </w:rPr>
        <w:t>全面风险管理框架的一个组成部分，</w:t>
      </w:r>
      <w:r>
        <w:rPr>
          <w:rFonts w:hint="eastAsia"/>
          <w:lang w:eastAsia="zh-CN"/>
        </w:rPr>
        <w:t>因而也是</w:t>
      </w:r>
      <w:r w:rsidR="0057350A" w:rsidRPr="0057350A">
        <w:rPr>
          <w:rFonts w:hint="eastAsia"/>
          <w:lang w:eastAsia="zh-CN"/>
        </w:rPr>
        <w:t>国际</w:t>
      </w:r>
      <w:proofErr w:type="gramStart"/>
      <w:r w:rsidR="0057350A" w:rsidRPr="0057350A">
        <w:rPr>
          <w:rFonts w:hint="eastAsia"/>
          <w:lang w:eastAsia="zh-CN"/>
        </w:rPr>
        <w:t>电联问责</w:t>
      </w:r>
      <w:proofErr w:type="gramEnd"/>
      <w:r w:rsidR="0057350A" w:rsidRPr="0057350A">
        <w:rPr>
          <w:rFonts w:hint="eastAsia"/>
          <w:lang w:eastAsia="zh-CN"/>
        </w:rPr>
        <w:t>制框架的一个组成部分。本组织的风险管理框架包括本陈述书，《风险管理政策》，《风险管理手册》，由管理协调组（</w:t>
      </w:r>
      <w:r w:rsidR="0057350A" w:rsidRPr="0057350A">
        <w:rPr>
          <w:rFonts w:eastAsia="Times New Roman"/>
          <w:lang w:eastAsia="zh-CN"/>
        </w:rPr>
        <w:t>MCG</w:t>
      </w:r>
      <w:r w:rsidR="0057350A" w:rsidRPr="0057350A">
        <w:rPr>
          <w:rFonts w:hint="eastAsia"/>
          <w:lang w:eastAsia="zh-CN"/>
        </w:rPr>
        <w:t>）</w:t>
      </w:r>
      <w:r w:rsidR="0057350A" w:rsidRPr="0057350A">
        <w:rPr>
          <w:rFonts w:eastAsia="Times New Roman" w:hint="eastAsia"/>
          <w:lang w:eastAsia="zh-CN"/>
        </w:rPr>
        <w:t>/</w:t>
      </w:r>
      <w:r w:rsidR="0057350A" w:rsidRPr="0057350A">
        <w:rPr>
          <w:rFonts w:hint="eastAsia"/>
          <w:lang w:eastAsia="zh-CN"/>
        </w:rPr>
        <w:t>协调委员会（</w:t>
      </w:r>
      <w:proofErr w:type="spellStart"/>
      <w:r w:rsidR="0057350A" w:rsidRPr="0057350A">
        <w:rPr>
          <w:rFonts w:eastAsia="Times New Roman" w:hint="eastAsia"/>
          <w:lang w:eastAsia="zh-CN"/>
        </w:rPr>
        <w:t>CoCo</w:t>
      </w:r>
      <w:proofErr w:type="spellEnd"/>
      <w:r w:rsidR="0057350A" w:rsidRPr="0057350A">
        <w:rPr>
          <w:rFonts w:hint="eastAsia"/>
          <w:lang w:eastAsia="zh-CN"/>
        </w:rPr>
        <w:t>）负责，由秘书长做出最终决策。</w:t>
      </w:r>
      <w:r w:rsidR="00540A7B" w:rsidRPr="0057350A">
        <w:rPr>
          <w:rFonts w:hint="eastAsia"/>
          <w:lang w:eastAsia="zh-CN"/>
        </w:rPr>
        <w:t>风险的确定、评估和处理是为强化知情决策而设置的管理可能影响总体目标和部门目标实现的不确定事件的综合程序。</w:t>
      </w:r>
    </w:p>
    <w:p w14:paraId="5D985082" w14:textId="5F12B04B" w:rsidR="008E6A9D" w:rsidRPr="008E6A9D" w:rsidRDefault="00540A7B" w:rsidP="00421130">
      <w:pPr>
        <w:ind w:firstLineChars="200" w:firstLine="480"/>
        <w:rPr>
          <w:rFonts w:eastAsia="Times New Roman"/>
          <w:spacing w:val="-2"/>
          <w:lang w:eastAsia="zh-CN"/>
        </w:rPr>
      </w:pPr>
      <w:r w:rsidRPr="0057350A">
        <w:rPr>
          <w:rFonts w:hint="eastAsia"/>
          <w:lang w:eastAsia="zh-CN"/>
        </w:rPr>
        <w:t>本</w:t>
      </w:r>
      <w:r w:rsidRPr="0057350A">
        <w:rPr>
          <w:lang w:eastAsia="zh-CN"/>
        </w:rPr>
        <w:t>文件介绍了国际电联在</w:t>
      </w:r>
      <w:r w:rsidRPr="0057350A">
        <w:rPr>
          <w:rFonts w:hint="eastAsia"/>
          <w:lang w:eastAsia="zh-CN"/>
        </w:rPr>
        <w:t>努力</w:t>
      </w:r>
      <w:r w:rsidRPr="0057350A">
        <w:rPr>
          <w:lang w:eastAsia="zh-CN"/>
        </w:rPr>
        <w:t>实现其总体战略目标和部门目标中愿意</w:t>
      </w:r>
      <w:r w:rsidR="002D2F8C">
        <w:rPr>
          <w:rFonts w:hint="eastAsia"/>
          <w:lang w:eastAsia="zh-CN"/>
        </w:rPr>
        <w:t>承受</w:t>
      </w:r>
      <w:r w:rsidRPr="0057350A">
        <w:rPr>
          <w:lang w:eastAsia="zh-CN"/>
        </w:rPr>
        <w:t>的风险</w:t>
      </w:r>
      <w:r w:rsidRPr="0057350A">
        <w:rPr>
          <w:rFonts w:hint="eastAsia"/>
          <w:lang w:eastAsia="zh-CN"/>
        </w:rPr>
        <w:t>程度</w:t>
      </w:r>
      <w:r w:rsidRPr="0057350A">
        <w:rPr>
          <w:lang w:eastAsia="zh-CN"/>
        </w:rPr>
        <w:t>和类型。</w:t>
      </w:r>
      <w:r w:rsidRPr="0057350A">
        <w:rPr>
          <w:rFonts w:hint="eastAsia"/>
          <w:lang w:eastAsia="zh-CN"/>
        </w:rPr>
        <w:t>陈述</w:t>
      </w:r>
      <w:r w:rsidRPr="0057350A">
        <w:rPr>
          <w:lang w:eastAsia="zh-CN"/>
        </w:rPr>
        <w:t>书承认，</w:t>
      </w:r>
      <w:r w:rsidR="00496A42">
        <w:rPr>
          <w:rFonts w:hint="eastAsia"/>
          <w:lang w:eastAsia="zh-CN"/>
        </w:rPr>
        <w:t>本</w:t>
      </w:r>
      <w:r w:rsidRPr="0057350A">
        <w:rPr>
          <w:lang w:eastAsia="zh-CN"/>
        </w:rPr>
        <w:t>组织从事的活动具有不同风险等级。必须</w:t>
      </w:r>
      <w:r w:rsidRPr="0057350A">
        <w:rPr>
          <w:rFonts w:hint="eastAsia"/>
          <w:lang w:eastAsia="zh-CN"/>
        </w:rPr>
        <w:t>强调</w:t>
      </w:r>
      <w:r w:rsidRPr="0057350A">
        <w:rPr>
          <w:lang w:eastAsia="zh-CN"/>
        </w:rPr>
        <w:t>，风险</w:t>
      </w:r>
      <w:r w:rsidRPr="0057350A">
        <w:rPr>
          <w:rFonts w:hint="eastAsia"/>
          <w:lang w:eastAsia="zh-CN"/>
        </w:rPr>
        <w:t>较高</w:t>
      </w:r>
      <w:r w:rsidRPr="0057350A">
        <w:rPr>
          <w:lang w:eastAsia="zh-CN"/>
        </w:rPr>
        <w:t>的活动</w:t>
      </w:r>
      <w:r w:rsidRPr="0057350A">
        <w:rPr>
          <w:rFonts w:hint="eastAsia"/>
          <w:lang w:eastAsia="zh-CN"/>
        </w:rPr>
        <w:t>只能</w:t>
      </w:r>
      <w:r w:rsidRPr="0057350A">
        <w:rPr>
          <w:lang w:eastAsia="zh-CN"/>
        </w:rPr>
        <w:t>在收益大于成本</w:t>
      </w:r>
      <w:r w:rsidRPr="0057350A">
        <w:rPr>
          <w:rFonts w:hint="eastAsia"/>
          <w:lang w:eastAsia="zh-CN"/>
        </w:rPr>
        <w:t>的</w:t>
      </w:r>
      <w:r w:rsidRPr="0057350A">
        <w:rPr>
          <w:lang w:eastAsia="zh-CN"/>
        </w:rPr>
        <w:t>情况下进行，而且这些活动不会将风险提升至</w:t>
      </w:r>
      <w:r w:rsidRPr="0057350A">
        <w:rPr>
          <w:rFonts w:hint="eastAsia"/>
          <w:lang w:eastAsia="zh-CN"/>
        </w:rPr>
        <w:t>难以</w:t>
      </w:r>
      <w:r w:rsidRPr="0057350A">
        <w:rPr>
          <w:lang w:eastAsia="zh-CN"/>
        </w:rPr>
        <w:t>接受的水平，</w:t>
      </w:r>
      <w:r w:rsidRPr="0057350A">
        <w:rPr>
          <w:rFonts w:hint="eastAsia"/>
          <w:lang w:eastAsia="zh-CN"/>
        </w:rPr>
        <w:t>致使对</w:t>
      </w:r>
      <w:r w:rsidR="00496A42">
        <w:rPr>
          <w:rFonts w:hint="eastAsia"/>
          <w:lang w:eastAsia="zh-CN"/>
        </w:rPr>
        <w:t>本</w:t>
      </w:r>
      <w:r w:rsidRPr="0057350A">
        <w:rPr>
          <w:lang w:eastAsia="zh-CN"/>
        </w:rPr>
        <w:t>组织</w:t>
      </w:r>
      <w:r w:rsidRPr="0057350A">
        <w:rPr>
          <w:rFonts w:hint="eastAsia"/>
          <w:lang w:eastAsia="zh-CN"/>
        </w:rPr>
        <w:t>总体</w:t>
      </w:r>
      <w:r w:rsidRPr="0057350A">
        <w:rPr>
          <w:lang w:eastAsia="zh-CN"/>
        </w:rPr>
        <w:t>战略目标和部门目标</w:t>
      </w:r>
      <w:r w:rsidRPr="0057350A">
        <w:rPr>
          <w:rFonts w:hint="eastAsia"/>
          <w:lang w:eastAsia="zh-CN"/>
        </w:rPr>
        <w:t>的实现造成</w:t>
      </w:r>
      <w:r w:rsidRPr="0057350A">
        <w:rPr>
          <w:lang w:eastAsia="zh-CN"/>
        </w:rPr>
        <w:t>危害。</w:t>
      </w:r>
    </w:p>
    <w:p w14:paraId="37557E18" w14:textId="0F7B881C" w:rsidR="008E6A9D" w:rsidRPr="001C6A93" w:rsidRDefault="002D2F8C" w:rsidP="00421130">
      <w:pPr>
        <w:ind w:firstLineChars="200" w:firstLine="480"/>
        <w:rPr>
          <w:lang w:eastAsia="zh-CN"/>
        </w:rPr>
      </w:pPr>
      <w:proofErr w:type="gramStart"/>
      <w:r w:rsidRPr="001C6A93">
        <w:rPr>
          <w:rFonts w:hint="eastAsia"/>
          <w:lang w:eastAsia="zh-CN"/>
        </w:rPr>
        <w:t>本</w:t>
      </w:r>
      <w:r w:rsidR="00540A7B" w:rsidRPr="00601B37">
        <w:rPr>
          <w:lang w:eastAsia="zh-CN"/>
        </w:rPr>
        <w:t>风险</w:t>
      </w:r>
      <w:proofErr w:type="gramEnd"/>
      <w:r w:rsidR="00540A7B" w:rsidRPr="00601B37">
        <w:rPr>
          <w:lang w:eastAsia="zh-CN"/>
        </w:rPr>
        <w:t>偏好</w:t>
      </w:r>
      <w:r w:rsidR="00540A7B" w:rsidRPr="00601B37">
        <w:rPr>
          <w:rFonts w:hint="eastAsia"/>
          <w:lang w:eastAsia="zh-CN"/>
        </w:rPr>
        <w:t>陈述</w:t>
      </w:r>
      <w:r w:rsidR="00540A7B" w:rsidRPr="00601B37">
        <w:rPr>
          <w:lang w:eastAsia="zh-CN"/>
        </w:rPr>
        <w:t>书</w:t>
      </w:r>
      <w:r>
        <w:rPr>
          <w:rFonts w:hint="eastAsia"/>
          <w:lang w:eastAsia="zh-CN"/>
        </w:rPr>
        <w:t>已</w:t>
      </w:r>
      <w:r w:rsidR="00540A7B" w:rsidRPr="00601B37">
        <w:rPr>
          <w:lang w:eastAsia="zh-CN"/>
        </w:rPr>
        <w:t>按照国际电</w:t>
      </w:r>
      <w:proofErr w:type="gramStart"/>
      <w:r w:rsidR="00540A7B" w:rsidRPr="00601B37">
        <w:rPr>
          <w:lang w:eastAsia="zh-CN"/>
        </w:rPr>
        <w:t>联</w:t>
      </w:r>
      <w:r w:rsidR="00540A7B" w:rsidRPr="00601B37">
        <w:rPr>
          <w:rFonts w:hint="eastAsia"/>
          <w:lang w:eastAsia="zh-CN"/>
        </w:rPr>
        <w:t>风险</w:t>
      </w:r>
      <w:proofErr w:type="gramEnd"/>
      <w:r w:rsidR="00540A7B" w:rsidRPr="00601B37">
        <w:rPr>
          <w:lang w:eastAsia="zh-CN"/>
        </w:rPr>
        <w:t>管理政策</w:t>
      </w:r>
      <w:r>
        <w:rPr>
          <w:rFonts w:hint="eastAsia"/>
          <w:lang w:eastAsia="zh-CN"/>
        </w:rPr>
        <w:t>进行了</w:t>
      </w:r>
      <w:r w:rsidR="00824D00">
        <w:rPr>
          <w:rFonts w:hint="eastAsia"/>
          <w:lang w:eastAsia="zh-CN"/>
        </w:rPr>
        <w:t>审议</w:t>
      </w:r>
      <w:r w:rsidR="00540A7B" w:rsidRPr="00601B37">
        <w:rPr>
          <w:lang w:eastAsia="zh-CN"/>
        </w:rPr>
        <w:t>，</w:t>
      </w:r>
      <w:r w:rsidR="001C6A93">
        <w:rPr>
          <w:rFonts w:hint="eastAsia"/>
          <w:lang w:eastAsia="zh-CN"/>
        </w:rPr>
        <w:t>而</w:t>
      </w:r>
      <w:r>
        <w:rPr>
          <w:rFonts w:hint="eastAsia"/>
          <w:lang w:eastAsia="zh-CN"/>
        </w:rPr>
        <w:t>此</w:t>
      </w:r>
      <w:r w:rsidR="001C6A93">
        <w:rPr>
          <w:rFonts w:hint="eastAsia"/>
          <w:lang w:eastAsia="zh-CN"/>
        </w:rPr>
        <w:t>项</w:t>
      </w:r>
      <w:r>
        <w:rPr>
          <w:rFonts w:hint="eastAsia"/>
          <w:lang w:eastAsia="zh-CN"/>
        </w:rPr>
        <w:t>政策是</w:t>
      </w:r>
      <w:r w:rsidR="00540A7B" w:rsidRPr="00601B37">
        <w:rPr>
          <w:lang w:eastAsia="zh-CN"/>
        </w:rPr>
        <w:t>第</w:t>
      </w:r>
      <w:r w:rsidR="00540A7B" w:rsidRPr="00601B37">
        <w:rPr>
          <w:rFonts w:hint="eastAsia"/>
          <w:lang w:eastAsia="zh-CN"/>
        </w:rPr>
        <w:t>71</w:t>
      </w:r>
      <w:r w:rsidR="00540A7B" w:rsidRPr="00601B37">
        <w:rPr>
          <w:rFonts w:hint="eastAsia"/>
          <w:lang w:eastAsia="zh-CN"/>
        </w:rPr>
        <w:t>号</w:t>
      </w:r>
      <w:r w:rsidR="00540A7B" w:rsidRPr="00601B37">
        <w:rPr>
          <w:lang w:eastAsia="zh-CN"/>
        </w:rPr>
        <w:t>决议（</w:t>
      </w:r>
      <w:r w:rsidR="00540A7B" w:rsidRPr="00601B37">
        <w:rPr>
          <w:rFonts w:hint="eastAsia"/>
          <w:lang w:eastAsia="zh-CN"/>
        </w:rPr>
        <w:t>201</w:t>
      </w:r>
      <w:r>
        <w:rPr>
          <w:rFonts w:hint="eastAsia"/>
          <w:lang w:eastAsia="zh-CN"/>
        </w:rPr>
        <w:t>8</w:t>
      </w:r>
      <w:r w:rsidR="00540A7B" w:rsidRPr="00601B37">
        <w:rPr>
          <w:rFonts w:hint="eastAsia"/>
          <w:lang w:eastAsia="zh-CN"/>
        </w:rPr>
        <w:t>年</w:t>
      </w:r>
      <w:r w:rsidR="00540A7B" w:rsidRPr="00601B37">
        <w:rPr>
          <w:lang w:eastAsia="zh-CN"/>
        </w:rPr>
        <w:t>，</w:t>
      </w:r>
      <w:r>
        <w:rPr>
          <w:rFonts w:hint="eastAsia"/>
          <w:lang w:eastAsia="zh-CN"/>
        </w:rPr>
        <w:t>迪拜，</w:t>
      </w:r>
      <w:r w:rsidR="00540A7B" w:rsidRPr="00601B37">
        <w:rPr>
          <w:lang w:eastAsia="zh-CN"/>
        </w:rPr>
        <w:t>修订版</w:t>
      </w:r>
      <w:r w:rsidR="00540A7B" w:rsidRPr="00601B37">
        <w:rPr>
          <w:rFonts w:hint="eastAsia"/>
          <w:lang w:eastAsia="zh-CN"/>
        </w:rPr>
        <w:t>，</w:t>
      </w:r>
      <w:r w:rsidR="00540A7B" w:rsidRPr="00601B37">
        <w:rPr>
          <w:lang w:eastAsia="zh-CN"/>
        </w:rPr>
        <w:t>附件</w:t>
      </w:r>
      <w:r>
        <w:rPr>
          <w:rFonts w:hint="eastAsia"/>
          <w:lang w:eastAsia="zh-CN"/>
        </w:rPr>
        <w:t>1</w:t>
      </w:r>
      <w:r w:rsidR="00540A7B" w:rsidRPr="00601B37">
        <w:rPr>
          <w:rFonts w:hint="eastAsia"/>
          <w:lang w:eastAsia="zh-CN"/>
        </w:rPr>
        <w:t>）中</w:t>
      </w:r>
      <w:r w:rsidR="00540A7B" w:rsidRPr="00601B37">
        <w:rPr>
          <w:lang w:eastAsia="zh-CN"/>
        </w:rPr>
        <w:t>成员国通过</w:t>
      </w:r>
      <w:r w:rsidR="00540A7B" w:rsidRPr="00601B37">
        <w:rPr>
          <w:rFonts w:hint="eastAsia"/>
          <w:lang w:eastAsia="zh-CN"/>
        </w:rPr>
        <w:t>的</w:t>
      </w:r>
      <w:r w:rsidR="00540A7B" w:rsidRPr="00601B37">
        <w:rPr>
          <w:lang w:eastAsia="zh-CN"/>
        </w:rPr>
        <w:t>国际电</w:t>
      </w:r>
      <w:proofErr w:type="gramStart"/>
      <w:r w:rsidR="00540A7B" w:rsidRPr="00601B37">
        <w:rPr>
          <w:lang w:eastAsia="zh-CN"/>
        </w:rPr>
        <w:t>联战略</w:t>
      </w:r>
      <w:proofErr w:type="gramEnd"/>
      <w:r w:rsidR="00540A7B" w:rsidRPr="00601B37">
        <w:rPr>
          <w:lang w:eastAsia="zh-CN"/>
        </w:rPr>
        <w:t>框架</w:t>
      </w:r>
      <w:r>
        <w:rPr>
          <w:rFonts w:hint="eastAsia"/>
          <w:lang w:eastAsia="zh-CN"/>
        </w:rPr>
        <w:t>的基础</w:t>
      </w:r>
      <w:r w:rsidR="00540A7B" w:rsidRPr="00601B37">
        <w:rPr>
          <w:lang w:eastAsia="zh-CN"/>
        </w:rPr>
        <w:t>。</w:t>
      </w:r>
    </w:p>
    <w:p w14:paraId="65D323A7" w14:textId="79F79063" w:rsidR="008E6A9D" w:rsidRPr="001C6A93" w:rsidRDefault="00421130" w:rsidP="00421130">
      <w:pPr>
        <w:pStyle w:val="Heading1"/>
        <w:rPr>
          <w:rFonts w:asciiTheme="minorHAnsi" w:eastAsia="Times New Roman" w:hAnsiTheme="minorHAnsi"/>
          <w:szCs w:val="24"/>
          <w:lang w:val="en-AU" w:eastAsia="en-AU"/>
        </w:rPr>
      </w:pPr>
      <w:r>
        <w:rPr>
          <w:rFonts w:hint="eastAsia"/>
          <w:lang w:eastAsia="zh-CN"/>
        </w:rPr>
        <w:t>2</w:t>
      </w:r>
      <w:r>
        <w:rPr>
          <w:lang w:eastAsia="zh-CN"/>
        </w:rPr>
        <w:tab/>
      </w:r>
      <w:r w:rsidR="00540A7B" w:rsidRPr="001C6A93">
        <w:rPr>
          <w:rFonts w:hint="eastAsia"/>
          <w:lang w:eastAsia="zh-CN"/>
        </w:rPr>
        <w:t>风险</w:t>
      </w:r>
      <w:r w:rsidR="00540A7B" w:rsidRPr="001C6A93">
        <w:rPr>
          <w:lang w:eastAsia="zh-CN"/>
        </w:rPr>
        <w:t>偏好</w:t>
      </w:r>
    </w:p>
    <w:p w14:paraId="3F905E12" w14:textId="0C9A48E0" w:rsidR="002D2F8C" w:rsidRPr="002D2F8C" w:rsidRDefault="002D2F8C" w:rsidP="00421130">
      <w:pPr>
        <w:ind w:firstLineChars="200" w:firstLine="480"/>
        <w:rPr>
          <w:rFonts w:eastAsiaTheme="minorEastAsia"/>
          <w:lang w:eastAsia="zh-CN"/>
        </w:rPr>
      </w:pPr>
      <w:r w:rsidRPr="002D2F8C">
        <w:rPr>
          <w:rFonts w:hint="eastAsia"/>
          <w:lang w:eastAsia="zh-CN"/>
        </w:rPr>
        <w:t>风险偏好</w:t>
      </w:r>
      <w:r w:rsidR="00496A42">
        <w:rPr>
          <w:rFonts w:hint="eastAsia"/>
          <w:lang w:eastAsia="zh-CN"/>
        </w:rPr>
        <w:t>广义上</w:t>
      </w:r>
      <w:r w:rsidRPr="002D2F8C">
        <w:rPr>
          <w:rFonts w:hint="eastAsia"/>
          <w:lang w:eastAsia="zh-CN"/>
        </w:rPr>
        <w:t>是指本组织为实现其战略和</w:t>
      </w:r>
      <w:r>
        <w:rPr>
          <w:rFonts w:hint="eastAsia"/>
          <w:lang w:eastAsia="zh-CN"/>
        </w:rPr>
        <w:t>运作总体</w:t>
      </w:r>
      <w:r w:rsidRPr="002D2F8C">
        <w:rPr>
          <w:rFonts w:hint="eastAsia"/>
          <w:lang w:eastAsia="zh-CN"/>
        </w:rPr>
        <w:t>目标愿意接受的风险</w:t>
      </w:r>
      <w:r>
        <w:rPr>
          <w:rFonts w:hint="eastAsia"/>
          <w:lang w:eastAsia="zh-CN"/>
        </w:rPr>
        <w:t>程度</w:t>
      </w:r>
      <w:r w:rsidRPr="002D2F8C">
        <w:rPr>
          <w:rFonts w:hint="eastAsia"/>
          <w:lang w:eastAsia="zh-CN"/>
        </w:rPr>
        <w:t>。</w:t>
      </w:r>
    </w:p>
    <w:p w14:paraId="07F02C24" w14:textId="03475B40" w:rsidR="002D2F8C" w:rsidRPr="002D2F8C" w:rsidRDefault="002D2F8C" w:rsidP="00421130">
      <w:pPr>
        <w:ind w:firstLineChars="200" w:firstLine="480"/>
        <w:rPr>
          <w:rFonts w:eastAsiaTheme="minorEastAsia"/>
          <w:lang w:eastAsia="zh-CN"/>
        </w:rPr>
      </w:pPr>
      <w:r w:rsidRPr="002D2F8C">
        <w:rPr>
          <w:rFonts w:hint="eastAsia"/>
          <w:lang w:eastAsia="zh-CN"/>
        </w:rPr>
        <w:t>所使用的风险偏好</w:t>
      </w:r>
      <w:r>
        <w:rPr>
          <w:rFonts w:hint="eastAsia"/>
          <w:lang w:eastAsia="zh-CN"/>
        </w:rPr>
        <w:t>等级</w:t>
      </w:r>
      <w:r w:rsidRPr="002D2F8C">
        <w:rPr>
          <w:rFonts w:hint="eastAsia"/>
          <w:lang w:eastAsia="zh-CN"/>
        </w:rPr>
        <w:t>如下：</w:t>
      </w:r>
    </w:p>
    <w:p w14:paraId="62EE6288" w14:textId="65DE3115" w:rsidR="000D351C" w:rsidRPr="000D351C" w:rsidRDefault="008B223F" w:rsidP="00421130">
      <w:pPr>
        <w:pStyle w:val="enumlev1"/>
        <w:rPr>
          <w:rFonts w:eastAsiaTheme="minorEastAsia"/>
          <w:lang w:eastAsia="zh-CN"/>
        </w:rPr>
      </w:pPr>
      <w:r w:rsidRPr="008B223F">
        <w:rPr>
          <w:rFonts w:eastAsia="Times New Roman"/>
          <w:lang w:eastAsia="zh-CN"/>
        </w:rPr>
        <w:t>–</w:t>
      </w:r>
      <w:r>
        <w:rPr>
          <w:rFonts w:eastAsia="Times New Roman"/>
          <w:lang w:eastAsia="zh-CN"/>
        </w:rPr>
        <w:tab/>
      </w:r>
      <w:r w:rsidR="00AC59EB" w:rsidRPr="002D2F8C">
        <w:rPr>
          <w:rFonts w:hint="eastAsia"/>
          <w:lang w:eastAsia="zh-CN"/>
        </w:rPr>
        <w:t>低</w:t>
      </w:r>
      <w:r w:rsidR="000D351C" w:rsidRPr="002D2F8C">
        <w:rPr>
          <w:rFonts w:hint="eastAsia"/>
          <w:lang w:eastAsia="zh-CN"/>
        </w:rPr>
        <w:t>风险偏好：本组织</w:t>
      </w:r>
      <w:r w:rsidR="000D351C">
        <w:rPr>
          <w:rFonts w:hint="eastAsia"/>
          <w:lang w:eastAsia="zh-CN"/>
        </w:rPr>
        <w:t>规避</w:t>
      </w:r>
      <w:r w:rsidR="000D351C" w:rsidRPr="002D2F8C">
        <w:rPr>
          <w:rFonts w:hint="eastAsia"/>
          <w:lang w:eastAsia="zh-CN"/>
        </w:rPr>
        <w:t>风险或采取行动将风险事件的可能性或影响降至最低的领域。此风险承受能力的水平与组织的整体风险承受能力一致，由图</w:t>
      </w:r>
      <w:r w:rsidR="000D351C" w:rsidRPr="002D2F8C">
        <w:rPr>
          <w:rFonts w:eastAsia="Times New Roman" w:hint="eastAsia"/>
          <w:lang w:eastAsia="zh-CN"/>
        </w:rPr>
        <w:t>1</w:t>
      </w:r>
      <w:r w:rsidR="000D351C" w:rsidRPr="002D2F8C">
        <w:rPr>
          <w:rFonts w:hint="eastAsia"/>
          <w:lang w:eastAsia="zh-CN"/>
        </w:rPr>
        <w:t>中的绿线表示。</w:t>
      </w:r>
    </w:p>
    <w:p w14:paraId="793BC3B5" w14:textId="27B73796" w:rsidR="000D351C" w:rsidRPr="000D351C" w:rsidRDefault="008B223F" w:rsidP="00421130">
      <w:pPr>
        <w:pStyle w:val="enumlev1"/>
        <w:rPr>
          <w:rFonts w:eastAsiaTheme="minorEastAsia"/>
          <w:lang w:eastAsia="zh-CN"/>
        </w:rPr>
      </w:pPr>
      <w:r w:rsidRPr="008B223F">
        <w:rPr>
          <w:rFonts w:eastAsia="Times New Roman"/>
          <w:lang w:eastAsia="zh-CN"/>
        </w:rPr>
        <w:t>–</w:t>
      </w:r>
      <w:r>
        <w:rPr>
          <w:rFonts w:eastAsia="Times New Roman"/>
          <w:lang w:eastAsia="zh-CN"/>
        </w:rPr>
        <w:tab/>
      </w:r>
      <w:r w:rsidR="00AC59EB">
        <w:rPr>
          <w:rFonts w:hint="eastAsia"/>
          <w:lang w:eastAsia="zh-CN"/>
        </w:rPr>
        <w:t>中</w:t>
      </w:r>
      <w:r w:rsidR="00DB0C33">
        <w:rPr>
          <w:rFonts w:hint="eastAsia"/>
          <w:lang w:eastAsia="zh-CN"/>
        </w:rPr>
        <w:t>等</w:t>
      </w:r>
      <w:r w:rsidR="000D351C" w:rsidRPr="002D2F8C">
        <w:rPr>
          <w:rFonts w:hint="eastAsia"/>
          <w:lang w:eastAsia="zh-CN"/>
        </w:rPr>
        <w:t>风险偏好：本组织必须在潜在</w:t>
      </w:r>
      <w:r w:rsidR="000D351C">
        <w:rPr>
          <w:rFonts w:hint="eastAsia"/>
          <w:lang w:eastAsia="zh-CN"/>
        </w:rPr>
        <w:t>益处</w:t>
      </w:r>
      <w:r w:rsidR="000D351C" w:rsidRPr="002D2F8C">
        <w:rPr>
          <w:rFonts w:hint="eastAsia"/>
          <w:lang w:eastAsia="zh-CN"/>
        </w:rPr>
        <w:t>与</w:t>
      </w:r>
      <w:r w:rsidR="005B233F">
        <w:rPr>
          <w:rFonts w:hint="eastAsia"/>
          <w:lang w:eastAsia="zh-CN"/>
        </w:rPr>
        <w:t>所作</w:t>
      </w:r>
      <w:r w:rsidR="000D351C" w:rsidRPr="002D2F8C">
        <w:rPr>
          <w:rFonts w:hint="eastAsia"/>
          <w:lang w:eastAsia="zh-CN"/>
        </w:rPr>
        <w:t>决定的</w:t>
      </w:r>
      <w:r w:rsidR="005B233F">
        <w:rPr>
          <w:rFonts w:hint="eastAsia"/>
          <w:lang w:eastAsia="zh-CN"/>
        </w:rPr>
        <w:t>不利</w:t>
      </w:r>
      <w:r w:rsidR="000D351C" w:rsidRPr="002D2F8C">
        <w:rPr>
          <w:rFonts w:hint="eastAsia"/>
          <w:lang w:eastAsia="zh-CN"/>
        </w:rPr>
        <w:t>成本之间不断取得平衡的领域。此</w:t>
      </w:r>
      <w:r w:rsidR="005B233F">
        <w:rPr>
          <w:rFonts w:hint="eastAsia"/>
          <w:lang w:eastAsia="zh-CN"/>
        </w:rPr>
        <w:t>偏好</w:t>
      </w:r>
      <w:r w:rsidR="000D351C" w:rsidRPr="002D2F8C">
        <w:rPr>
          <w:rFonts w:hint="eastAsia"/>
          <w:lang w:eastAsia="zh-CN"/>
        </w:rPr>
        <w:t>水平由图</w:t>
      </w:r>
      <w:r w:rsidR="000D351C" w:rsidRPr="002D2F8C">
        <w:rPr>
          <w:rFonts w:eastAsia="Times New Roman" w:hint="eastAsia"/>
          <w:lang w:eastAsia="zh-CN"/>
        </w:rPr>
        <w:t>1</w:t>
      </w:r>
      <w:r w:rsidR="000D351C" w:rsidRPr="002D2F8C">
        <w:rPr>
          <w:rFonts w:hint="eastAsia"/>
          <w:lang w:eastAsia="zh-CN"/>
        </w:rPr>
        <w:t>中的橙色区域表示。</w:t>
      </w:r>
    </w:p>
    <w:p w14:paraId="3FE39301" w14:textId="5BF7D9AF" w:rsidR="002D2F8C" w:rsidRDefault="008B223F" w:rsidP="00421130">
      <w:pPr>
        <w:pStyle w:val="enumlev1"/>
        <w:rPr>
          <w:lang w:eastAsia="zh-CN"/>
        </w:rPr>
      </w:pPr>
      <w:r w:rsidRPr="008B223F">
        <w:rPr>
          <w:rFonts w:eastAsia="Times New Roman"/>
          <w:lang w:eastAsia="zh-CN"/>
        </w:rPr>
        <w:t>–</w:t>
      </w:r>
      <w:r>
        <w:rPr>
          <w:rFonts w:eastAsia="Times New Roman"/>
          <w:lang w:eastAsia="zh-CN"/>
        </w:rPr>
        <w:tab/>
      </w:r>
      <w:r w:rsidR="00AC59EB" w:rsidRPr="002D2F8C">
        <w:rPr>
          <w:rFonts w:hint="eastAsia"/>
          <w:lang w:eastAsia="zh-CN"/>
        </w:rPr>
        <w:t>高</w:t>
      </w:r>
      <w:r w:rsidR="002D2F8C" w:rsidRPr="002D2F8C">
        <w:rPr>
          <w:rFonts w:hint="eastAsia"/>
          <w:lang w:eastAsia="zh-CN"/>
        </w:rPr>
        <w:t>风险偏好：在</w:t>
      </w:r>
      <w:r w:rsidR="005B233F">
        <w:rPr>
          <w:rFonts w:hint="eastAsia"/>
          <w:lang w:eastAsia="zh-CN"/>
        </w:rPr>
        <w:t>具体</w:t>
      </w:r>
      <w:r w:rsidR="002D2F8C" w:rsidRPr="002D2F8C">
        <w:rPr>
          <w:rFonts w:hint="eastAsia"/>
          <w:lang w:eastAsia="zh-CN"/>
        </w:rPr>
        <w:t>领域，本组织可以选择承担一定量的风险，期望收益的可能性大于无效投资的可能性，</w:t>
      </w:r>
      <w:r w:rsidR="005B233F">
        <w:rPr>
          <w:rFonts w:hint="eastAsia"/>
          <w:lang w:eastAsia="zh-CN"/>
        </w:rPr>
        <w:t>而且</w:t>
      </w:r>
      <w:r w:rsidR="002D2F8C" w:rsidRPr="002D2F8C">
        <w:rPr>
          <w:rFonts w:hint="eastAsia"/>
          <w:lang w:eastAsia="zh-CN"/>
        </w:rPr>
        <w:t>不会影响本组织的声誉。</w:t>
      </w:r>
      <w:r w:rsidR="005B233F">
        <w:rPr>
          <w:rFonts w:hint="eastAsia"/>
          <w:lang w:eastAsia="zh-CN"/>
        </w:rPr>
        <w:t>该门限</w:t>
      </w:r>
      <w:r w:rsidR="002D2F8C" w:rsidRPr="002D2F8C">
        <w:rPr>
          <w:rFonts w:hint="eastAsia"/>
          <w:lang w:eastAsia="zh-CN"/>
        </w:rPr>
        <w:t>由图</w:t>
      </w:r>
      <w:r w:rsidR="002D2F8C" w:rsidRPr="002D2F8C">
        <w:rPr>
          <w:rFonts w:eastAsia="Times New Roman" w:hint="eastAsia"/>
          <w:lang w:eastAsia="zh-CN"/>
        </w:rPr>
        <w:t>1</w:t>
      </w:r>
      <w:r w:rsidR="002D2F8C" w:rsidRPr="002D2F8C">
        <w:rPr>
          <w:rFonts w:hint="eastAsia"/>
          <w:lang w:eastAsia="zh-CN"/>
        </w:rPr>
        <w:t>中的红线表示。</w:t>
      </w:r>
    </w:p>
    <w:p w14:paraId="4E66F60D" w14:textId="77777777" w:rsidR="00F1274A" w:rsidRDefault="00F1274A" w:rsidP="00421130">
      <w:pPr>
        <w:pStyle w:val="enumlev1"/>
        <w:rPr>
          <w:lang w:eastAsia="zh-CN"/>
        </w:rPr>
      </w:pPr>
    </w:p>
    <w:p w14:paraId="103E0BF0" w14:textId="77777777" w:rsidR="00F1274A" w:rsidRPr="00F1274A" w:rsidRDefault="00F1274A" w:rsidP="00F1274A">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rPr>
          <w:rFonts w:eastAsia="Times New Roman"/>
          <w:lang w:val="fr-FR"/>
        </w:rPr>
      </w:pPr>
      <w:r w:rsidRPr="00F1274A">
        <w:rPr>
          <w:rFonts w:eastAsia="Times New Roman"/>
          <w:noProof/>
          <w:lang w:val="fr-FR"/>
        </w:rPr>
        <w:lastRenderedPageBreak/>
        <mc:AlternateContent>
          <mc:Choice Requires="wps">
            <w:drawing>
              <wp:anchor distT="0" distB="0" distL="114300" distR="114300" simplePos="0" relativeHeight="251662336" behindDoc="0" locked="0" layoutInCell="1" allowOverlap="1" wp14:anchorId="77A69EC8" wp14:editId="4E265B7C">
                <wp:simplePos x="0" y="0"/>
                <wp:positionH relativeFrom="column">
                  <wp:posOffset>1863453</wp:posOffset>
                </wp:positionH>
                <wp:positionV relativeFrom="paragraph">
                  <wp:posOffset>2448741</wp:posOffset>
                </wp:positionV>
                <wp:extent cx="957943"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57943" cy="228600"/>
                        </a:xfrm>
                        <a:prstGeom prst="rect">
                          <a:avLst/>
                        </a:prstGeom>
                        <a:solidFill>
                          <a:sysClr val="window" lastClr="FFFFFF"/>
                        </a:solidFill>
                        <a:ln w="6350">
                          <a:noFill/>
                        </a:ln>
                      </wps:spPr>
                      <wps:txbx>
                        <w:txbxContent>
                          <w:p w14:paraId="71AB8407" w14:textId="77777777" w:rsidR="00F1274A" w:rsidRPr="005C7CB9" w:rsidRDefault="00F1274A" w:rsidP="00F1274A">
                            <w:pPr>
                              <w:spacing w:before="0"/>
                              <w:rPr>
                                <w:sz w:val="16"/>
                                <w:szCs w:val="16"/>
                              </w:rPr>
                            </w:pPr>
                            <w:r w:rsidRPr="00F1274A">
                              <w:rPr>
                                <w:rFonts w:eastAsiaTheme="minorEastAsia" w:hint="eastAsia"/>
                                <w:sz w:val="16"/>
                                <w:szCs w:val="16"/>
                                <w:lang w:eastAsia="zh-CN"/>
                              </w:rPr>
                              <w:t>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69EC8" id="_x0000_t202" coordsize="21600,21600" o:spt="202" path="m,l,21600r21600,l21600,xe">
                <v:stroke joinstyle="miter"/>
                <v:path gradientshapeok="t" o:connecttype="rect"/>
              </v:shapetype>
              <v:shape id="Text Box 7" o:spid="_x0000_s1026" type="#_x0000_t202" style="position:absolute;left:0;text-align:left;margin-left:146.75pt;margin-top:192.8pt;width:75.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" fillcolor="window" stroked="f" strokeweight=".5pt">
                <v:textbox>
                  <w:txbxContent>
                    <w:p w14:paraId="71AB8407" w14:textId="77777777" w:rsidR="00F1274A" w:rsidRPr="005C7CB9" w:rsidRDefault="00F1274A" w:rsidP="00F1274A">
                      <w:pPr>
                        <w:spacing w:before="0"/>
                        <w:rPr>
                          <w:sz w:val="16"/>
                          <w:szCs w:val="16"/>
                        </w:rPr>
                      </w:pPr>
                      <w:r w:rsidRPr="00F1274A">
                        <w:rPr>
                          <w:rFonts w:eastAsiaTheme="minorEastAsia" w:hint="eastAsia"/>
                          <w:sz w:val="16"/>
                          <w:szCs w:val="16"/>
                          <w:lang w:eastAsia="zh-CN"/>
                        </w:rPr>
                        <w:t>可能性</w:t>
                      </w:r>
                    </w:p>
                  </w:txbxContent>
                </v:textbox>
              </v:shape>
            </w:pict>
          </mc:Fallback>
        </mc:AlternateContent>
      </w:r>
      <w:r w:rsidRPr="00F1274A">
        <w:rPr>
          <w:rFonts w:eastAsia="Times New Roman"/>
          <w:noProof/>
          <w:lang w:val="fr-FR"/>
        </w:rPr>
        <mc:AlternateContent>
          <mc:Choice Requires="wps">
            <w:drawing>
              <wp:anchor distT="0" distB="0" distL="114300" distR="114300" simplePos="0" relativeHeight="251661312" behindDoc="0" locked="0" layoutInCell="1" allowOverlap="1" wp14:anchorId="30909591" wp14:editId="35C69645">
                <wp:simplePos x="0" y="0"/>
                <wp:positionH relativeFrom="column">
                  <wp:posOffset>299540</wp:posOffset>
                </wp:positionH>
                <wp:positionV relativeFrom="paragraph">
                  <wp:posOffset>765084</wp:posOffset>
                </wp:positionV>
                <wp:extent cx="326480" cy="786765"/>
                <wp:effectExtent l="0" t="0" r="0" b="0"/>
                <wp:wrapNone/>
                <wp:docPr id="6" name="Text Box 6"/>
                <wp:cNvGraphicFramePr/>
                <a:graphic xmlns:a="http://schemas.openxmlformats.org/drawingml/2006/main">
                  <a:graphicData uri="http://schemas.microsoft.com/office/word/2010/wordprocessingShape">
                    <wps:wsp>
                      <wps:cNvSpPr txBox="1"/>
                      <wps:spPr>
                        <a:xfrm>
                          <a:off x="0" y="0"/>
                          <a:ext cx="326480" cy="786765"/>
                        </a:xfrm>
                        <a:prstGeom prst="rect">
                          <a:avLst/>
                        </a:prstGeom>
                        <a:solidFill>
                          <a:sysClr val="window" lastClr="FFFFFF"/>
                        </a:solidFill>
                        <a:ln w="6350">
                          <a:noFill/>
                        </a:ln>
                      </wps:spPr>
                      <wps:txbx>
                        <w:txbxContent>
                          <w:p w14:paraId="611C11DA" w14:textId="77777777" w:rsidR="00F1274A" w:rsidRPr="008C1322" w:rsidRDefault="00F1274A" w:rsidP="00F1274A">
                            <w:pPr>
                              <w:spacing w:before="0"/>
                              <w:rPr>
                                <w:rFonts w:asciiTheme="minorEastAsia" w:eastAsiaTheme="minorEastAsia" w:hAnsiTheme="minorEastAsia"/>
                                <w:sz w:val="16"/>
                                <w:szCs w:val="16"/>
                              </w:rPr>
                            </w:pPr>
                            <w:r w:rsidRPr="008C1322">
                              <w:rPr>
                                <w:rFonts w:asciiTheme="minorEastAsia" w:eastAsiaTheme="minorEastAsia" w:hAnsiTheme="minorEastAsia" w:cs="Microsoft YaHei" w:hint="eastAsia"/>
                                <w:sz w:val="16"/>
                                <w:szCs w:val="16"/>
                              </w:rPr>
                              <w:t>影响</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9591" id="Text Box 6" o:spid="_x0000_s1027" type="#_x0000_t202" style="position:absolute;left:0;text-align:left;margin-left:23.6pt;margin-top:60.25pt;width:25.7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" fillcolor="window" stroked="f" strokeweight=".5pt">
                <v:textbox style="layout-flow:vertical;mso-layout-flow-alt:bottom-to-top">
                  <w:txbxContent>
                    <w:p w14:paraId="611C11DA" w14:textId="77777777" w:rsidR="00F1274A" w:rsidRPr="008C1322" w:rsidRDefault="00F1274A" w:rsidP="00F1274A">
                      <w:pPr>
                        <w:spacing w:before="0"/>
                        <w:rPr>
                          <w:rFonts w:asciiTheme="minorEastAsia" w:eastAsiaTheme="minorEastAsia" w:hAnsiTheme="minorEastAsia"/>
                          <w:sz w:val="16"/>
                          <w:szCs w:val="16"/>
                        </w:rPr>
                      </w:pPr>
                      <w:proofErr w:type="spellStart"/>
                      <w:r w:rsidRPr="008C1322">
                        <w:rPr>
                          <w:rFonts w:asciiTheme="minorEastAsia" w:eastAsiaTheme="minorEastAsia" w:hAnsiTheme="minorEastAsia" w:cs="Microsoft YaHei" w:hint="eastAsia"/>
                          <w:sz w:val="16"/>
                          <w:szCs w:val="16"/>
                        </w:rPr>
                        <w:t>影响</w:t>
                      </w:r>
                      <w:proofErr w:type="spellEnd"/>
                    </w:p>
                  </w:txbxContent>
                </v:textbox>
              </v:shape>
            </w:pict>
          </mc:Fallback>
        </mc:AlternateContent>
      </w:r>
      <w:r w:rsidRPr="00F1274A">
        <w:rPr>
          <w:rFonts w:eastAsia="Times New Roman"/>
          <w:noProof/>
          <w:lang w:val="fr-FR"/>
        </w:rPr>
        <mc:AlternateContent>
          <mc:Choice Requires="wps">
            <w:drawing>
              <wp:anchor distT="0" distB="0" distL="114300" distR="114300" simplePos="0" relativeHeight="251660288" behindDoc="0" locked="0" layoutInCell="1" allowOverlap="1" wp14:anchorId="1E7FB08E" wp14:editId="23A5091C">
                <wp:simplePos x="0" y="0"/>
                <wp:positionH relativeFrom="column">
                  <wp:posOffset>828576</wp:posOffset>
                </wp:positionH>
                <wp:positionV relativeFrom="paragraph">
                  <wp:posOffset>-38885</wp:posOffset>
                </wp:positionV>
                <wp:extent cx="2860704" cy="219243"/>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60704" cy="219243"/>
                        </a:xfrm>
                        <a:prstGeom prst="rect">
                          <a:avLst/>
                        </a:prstGeom>
                        <a:solidFill>
                          <a:sysClr val="window" lastClr="FFFFFF">
                            <a:lumMod val="75000"/>
                          </a:sysClr>
                        </a:solidFill>
                        <a:ln w="6350">
                          <a:noFill/>
                        </a:ln>
                      </wps:spPr>
                      <wps:txbx>
                        <w:txbxContent>
                          <w:p w14:paraId="6807BA19" w14:textId="77777777" w:rsidR="00F1274A" w:rsidRPr="008C1322" w:rsidRDefault="00F1274A" w:rsidP="00F1274A">
                            <w:pPr>
                              <w:spacing w:before="0"/>
                              <w:jc w:val="center"/>
                              <w:rPr>
                                <w:b/>
                                <w:bCs/>
                                <w:sz w:val="16"/>
                                <w:szCs w:val="16"/>
                                <w:lang w:eastAsia="zh-CN"/>
                              </w:rPr>
                            </w:pPr>
                            <w:r w:rsidRPr="008C1322">
                              <w:rPr>
                                <w:rFonts w:eastAsiaTheme="minorEastAsia" w:hint="eastAsia"/>
                                <w:b/>
                                <w:bCs/>
                                <w:sz w:val="16"/>
                                <w:szCs w:val="16"/>
                                <w:lang w:eastAsia="zh-CN"/>
                              </w:rPr>
                              <w:t>图</w:t>
                            </w:r>
                            <w:r w:rsidRPr="008C1322">
                              <w:rPr>
                                <w:rFonts w:eastAsiaTheme="minorEastAsia" w:hint="eastAsia"/>
                                <w:b/>
                                <w:bCs/>
                                <w:sz w:val="16"/>
                                <w:szCs w:val="16"/>
                                <w:lang w:eastAsia="zh-CN"/>
                              </w:rPr>
                              <w:t>1</w:t>
                            </w:r>
                            <w:r w:rsidRPr="008C1322">
                              <w:rPr>
                                <w:rFonts w:eastAsiaTheme="minorEastAsia" w:hint="eastAsia"/>
                                <w:b/>
                                <w:bCs/>
                                <w:sz w:val="16"/>
                                <w:szCs w:val="16"/>
                                <w:lang w:eastAsia="zh-CN"/>
                              </w:rPr>
                              <w:t>：国际电联</w:t>
                            </w:r>
                            <w:r w:rsidRPr="008C1322">
                              <w:rPr>
                                <w:rFonts w:eastAsiaTheme="minorEastAsia" w:hint="eastAsia"/>
                                <w:b/>
                                <w:bCs/>
                                <w:sz w:val="16"/>
                                <w:szCs w:val="16"/>
                                <w:lang w:eastAsia="zh-CN"/>
                              </w:rPr>
                              <w:t>2020</w:t>
                            </w:r>
                            <w:r w:rsidRPr="008C1322">
                              <w:rPr>
                                <w:rFonts w:eastAsiaTheme="minorEastAsia" w:hint="eastAsia"/>
                                <w:b/>
                                <w:bCs/>
                                <w:sz w:val="16"/>
                                <w:szCs w:val="16"/>
                                <w:lang w:eastAsia="zh-CN"/>
                              </w:rPr>
                              <w:t>年风险偏好图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B08E" id="Text Box 4" o:spid="_x0000_s1028" type="#_x0000_t202" style="position:absolute;left:0;text-align:left;margin-left:65.25pt;margin-top:-3.05pt;width:225.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" fillcolor="#bfbfbf" stroked="f" strokeweight=".5pt">
                <v:textbox>
                  <w:txbxContent>
                    <w:p w14:paraId="6807BA19" w14:textId="77777777" w:rsidR="00F1274A" w:rsidRPr="008C1322" w:rsidRDefault="00F1274A" w:rsidP="00F1274A">
                      <w:pPr>
                        <w:spacing w:before="0"/>
                        <w:jc w:val="center"/>
                        <w:rPr>
                          <w:b/>
                          <w:bCs/>
                          <w:sz w:val="16"/>
                          <w:szCs w:val="16"/>
                          <w:lang w:eastAsia="zh-CN"/>
                        </w:rPr>
                      </w:pPr>
                      <w:r w:rsidRPr="008C1322">
                        <w:rPr>
                          <w:rFonts w:eastAsiaTheme="minorEastAsia" w:hint="eastAsia"/>
                          <w:b/>
                          <w:bCs/>
                          <w:sz w:val="16"/>
                          <w:szCs w:val="16"/>
                          <w:lang w:eastAsia="zh-CN"/>
                        </w:rPr>
                        <w:t>图</w:t>
                      </w:r>
                      <w:r w:rsidRPr="008C1322">
                        <w:rPr>
                          <w:rFonts w:eastAsiaTheme="minorEastAsia" w:hint="eastAsia"/>
                          <w:b/>
                          <w:bCs/>
                          <w:sz w:val="16"/>
                          <w:szCs w:val="16"/>
                          <w:lang w:eastAsia="zh-CN"/>
                        </w:rPr>
                        <w:t>1</w:t>
                      </w:r>
                      <w:r w:rsidRPr="008C1322">
                        <w:rPr>
                          <w:rFonts w:eastAsiaTheme="minorEastAsia" w:hint="eastAsia"/>
                          <w:b/>
                          <w:bCs/>
                          <w:sz w:val="16"/>
                          <w:szCs w:val="16"/>
                          <w:lang w:eastAsia="zh-CN"/>
                        </w:rPr>
                        <w:t>：国际电联</w:t>
                      </w:r>
                      <w:r w:rsidRPr="008C1322">
                        <w:rPr>
                          <w:rFonts w:eastAsiaTheme="minorEastAsia" w:hint="eastAsia"/>
                          <w:b/>
                          <w:bCs/>
                          <w:sz w:val="16"/>
                          <w:szCs w:val="16"/>
                          <w:lang w:eastAsia="zh-CN"/>
                        </w:rPr>
                        <w:t>2020</w:t>
                      </w:r>
                      <w:r w:rsidRPr="008C1322">
                        <w:rPr>
                          <w:rFonts w:eastAsiaTheme="minorEastAsia" w:hint="eastAsia"/>
                          <w:b/>
                          <w:bCs/>
                          <w:sz w:val="16"/>
                          <w:szCs w:val="16"/>
                          <w:lang w:eastAsia="zh-CN"/>
                        </w:rPr>
                        <w:t>年风险偏好图</w:t>
                      </w:r>
                    </w:p>
                  </w:txbxContent>
                </v:textbox>
              </v:shape>
            </w:pict>
          </mc:Fallback>
        </mc:AlternateContent>
      </w:r>
      <w:r w:rsidRPr="00F1274A">
        <w:rPr>
          <w:rFonts w:eastAsia="Times New Roman"/>
          <w:noProof/>
          <w:lang w:val="fr-FR"/>
        </w:rPr>
        <mc:AlternateContent>
          <mc:Choice Requires="wps">
            <w:drawing>
              <wp:anchor distT="0" distB="0" distL="114300" distR="114300" simplePos="0" relativeHeight="251659264" behindDoc="0" locked="0" layoutInCell="1" allowOverlap="1" wp14:anchorId="0D5B42A1" wp14:editId="0117CA99">
                <wp:simplePos x="0" y="0"/>
                <wp:positionH relativeFrom="column">
                  <wp:posOffset>4122318</wp:posOffset>
                </wp:positionH>
                <wp:positionV relativeFrom="paragraph">
                  <wp:posOffset>1798624</wp:posOffset>
                </wp:positionV>
                <wp:extent cx="1777594" cy="797357"/>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777594" cy="797357"/>
                        </a:xfrm>
                        <a:prstGeom prst="rect">
                          <a:avLst/>
                        </a:prstGeom>
                        <a:solidFill>
                          <a:sysClr val="window" lastClr="FFFFFF"/>
                        </a:solidFill>
                        <a:ln w="6350">
                          <a:noFill/>
                        </a:ln>
                      </wps:spPr>
                      <wps:txbx>
                        <w:txbxContent>
                          <w:p w14:paraId="0FCE4A0A" w14:textId="77777777" w:rsidR="00F1274A" w:rsidRPr="00D12C12" w:rsidRDefault="00F1274A" w:rsidP="00F1274A">
                            <w:pPr>
                              <w:rPr>
                                <w:color w:val="92D050"/>
                                <w:sz w:val="18"/>
                                <w:szCs w:val="18"/>
                                <w:lang w:eastAsia="zh-CN"/>
                              </w:rPr>
                            </w:pPr>
                            <w:r w:rsidRPr="008C1322">
                              <w:rPr>
                                <w:rFonts w:ascii="SimSun" w:hAnsi="SimSun" w:cs="SimSun" w:hint="eastAsia"/>
                                <w:color w:val="00B050"/>
                                <w:sz w:val="16"/>
                                <w:szCs w:val="16"/>
                                <w:lang w:eastAsia="zh-CN"/>
                              </w:rPr>
                              <w:t>低风险偏好</w:t>
                            </w:r>
                          </w:p>
                          <w:p w14:paraId="77FB0FEF" w14:textId="77777777" w:rsidR="00F1274A" w:rsidRPr="00D12C12" w:rsidRDefault="00F1274A" w:rsidP="00F1274A">
                            <w:pPr>
                              <w:rPr>
                                <w:color w:val="E36C0A" w:themeColor="accent6" w:themeShade="BF"/>
                                <w:sz w:val="18"/>
                                <w:szCs w:val="18"/>
                                <w:lang w:eastAsia="zh-CN"/>
                              </w:rPr>
                            </w:pPr>
                            <w:r w:rsidRPr="008C1322">
                              <w:rPr>
                                <w:rFonts w:ascii="SimSun" w:hAnsi="SimSun" w:cs="SimSun" w:hint="eastAsia"/>
                                <w:color w:val="E36C0A" w:themeColor="accent6" w:themeShade="BF"/>
                                <w:sz w:val="16"/>
                                <w:szCs w:val="16"/>
                                <w:lang w:eastAsia="zh-CN"/>
                              </w:rPr>
                              <w:t>中等风险偏好</w:t>
                            </w:r>
                          </w:p>
                          <w:p w14:paraId="759F4DC4" w14:textId="77777777" w:rsidR="00F1274A" w:rsidRPr="00D12C12" w:rsidRDefault="00F1274A" w:rsidP="00F1274A">
                            <w:pPr>
                              <w:rPr>
                                <w:color w:val="FF0000"/>
                                <w:sz w:val="18"/>
                                <w:szCs w:val="18"/>
                              </w:rPr>
                            </w:pPr>
                            <w:r w:rsidRPr="008C1322">
                              <w:rPr>
                                <w:rFonts w:ascii="SimSun" w:hAnsi="SimSun" w:cs="SimSun" w:hint="eastAsia"/>
                                <w:color w:val="C00000"/>
                                <w:sz w:val="16"/>
                                <w:szCs w:val="16"/>
                                <w:lang w:eastAsia="zh-CN"/>
                              </w:rPr>
                              <w:t>高风险偏好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B42A1" id="Text Box 3" o:spid="_x0000_s1029" type="#_x0000_t202" style="position:absolute;left:0;text-align:left;margin-left:324.6pt;margin-top:141.6pt;width:139.9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" fillcolor="window" stroked="f" strokeweight=".5pt">
                <v:textbox>
                  <w:txbxContent>
                    <w:p w14:paraId="0FCE4A0A" w14:textId="77777777" w:rsidR="00F1274A" w:rsidRPr="00D12C12" w:rsidRDefault="00F1274A" w:rsidP="00F1274A">
                      <w:pPr>
                        <w:rPr>
                          <w:color w:val="92D050"/>
                          <w:sz w:val="18"/>
                          <w:szCs w:val="18"/>
                          <w:lang w:eastAsia="zh-CN"/>
                        </w:rPr>
                      </w:pPr>
                      <w:r w:rsidRPr="008C1322">
                        <w:rPr>
                          <w:rFonts w:ascii="SimSun" w:hAnsi="SimSun" w:cs="SimSun" w:hint="eastAsia"/>
                          <w:color w:val="00B050"/>
                          <w:sz w:val="16"/>
                          <w:szCs w:val="16"/>
                          <w:lang w:eastAsia="zh-CN"/>
                        </w:rPr>
                        <w:t>低风险偏好</w:t>
                      </w:r>
                    </w:p>
                    <w:p w14:paraId="77FB0FEF" w14:textId="77777777" w:rsidR="00F1274A" w:rsidRPr="00D12C12" w:rsidRDefault="00F1274A" w:rsidP="00F1274A">
                      <w:pPr>
                        <w:rPr>
                          <w:color w:val="E36C0A" w:themeColor="accent6" w:themeShade="BF"/>
                          <w:sz w:val="18"/>
                          <w:szCs w:val="18"/>
                          <w:lang w:eastAsia="zh-CN"/>
                        </w:rPr>
                      </w:pPr>
                      <w:r w:rsidRPr="008C1322">
                        <w:rPr>
                          <w:rFonts w:ascii="SimSun" w:hAnsi="SimSun" w:cs="SimSun" w:hint="eastAsia"/>
                          <w:color w:val="E36C0A" w:themeColor="accent6" w:themeShade="BF"/>
                          <w:sz w:val="16"/>
                          <w:szCs w:val="16"/>
                          <w:lang w:eastAsia="zh-CN"/>
                        </w:rPr>
                        <w:t>中等风险偏好</w:t>
                      </w:r>
                    </w:p>
                    <w:p w14:paraId="759F4DC4" w14:textId="77777777" w:rsidR="00F1274A" w:rsidRPr="00D12C12" w:rsidRDefault="00F1274A" w:rsidP="00F1274A">
                      <w:pPr>
                        <w:rPr>
                          <w:color w:val="FF0000"/>
                          <w:sz w:val="18"/>
                          <w:szCs w:val="18"/>
                        </w:rPr>
                      </w:pPr>
                      <w:r w:rsidRPr="008C1322">
                        <w:rPr>
                          <w:rFonts w:ascii="SimSun" w:hAnsi="SimSun" w:cs="SimSun" w:hint="eastAsia"/>
                          <w:color w:val="C00000"/>
                          <w:sz w:val="16"/>
                          <w:szCs w:val="16"/>
                          <w:lang w:eastAsia="zh-CN"/>
                        </w:rPr>
                        <w:t>高风险偏好</w:t>
                      </w:r>
                    </w:p>
                  </w:txbxContent>
                </v:textbox>
              </v:shape>
            </w:pict>
          </mc:Fallback>
        </mc:AlternateContent>
      </w:r>
      <w:r w:rsidRPr="00F1274A">
        <w:rPr>
          <w:rFonts w:eastAsia="Times New Roman"/>
          <w:noProof/>
          <w:lang w:val="fr-FR"/>
        </w:rPr>
        <w:drawing>
          <wp:inline distT="0" distB="0" distL="0" distR="0" wp14:anchorId="08C3F43A" wp14:editId="607D01BA">
            <wp:extent cx="3252083" cy="25339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901"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9795"/>
                    <a:stretch>
                      <a:fillRect/>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Pr="00F1274A">
        <w:rPr>
          <w:rFonts w:eastAsia="Times New Roman"/>
          <w:noProof/>
          <w:lang w:val="fr-FR"/>
        </w:rPr>
        <w:drawing>
          <wp:inline distT="0" distB="0" distL="0" distR="0" wp14:anchorId="36B82BCD" wp14:editId="527536EE">
            <wp:extent cx="1997481" cy="7017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15242" name="Picture 3"/>
                    <pic:cNvPicPr>
                      <a:picLocks noChangeAspect="1" noChangeArrowheads="1"/>
                    </pic:cNvPicPr>
                  </pic:nvPicPr>
                  <pic:blipFill>
                    <a:blip r:embed="rId10">
                      <a:extLst>
                        <a:ext uri="{28A0092B-C50C-407E-A947-70E740481C1C}">
                          <a14:useLocalDpi xmlns:a14="http://schemas.microsoft.com/office/drawing/2010/main" val="0"/>
                        </a:ext>
                      </a:extLst>
                    </a:blip>
                    <a:srcRect l="22379" t="80205" r="28118" b="1893"/>
                    <a:stretch>
                      <a:fillRect/>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50642B54" w14:textId="236D36AF" w:rsidR="008E6A9D" w:rsidRPr="00CB2218" w:rsidRDefault="00A75F6C" w:rsidP="00F1274A">
      <w:pPr>
        <w:spacing w:before="360"/>
        <w:ind w:firstLineChars="200" w:firstLine="480"/>
        <w:rPr>
          <w:rFonts w:eastAsia="Times New Roman"/>
          <w:lang w:eastAsia="zh-CN"/>
        </w:rPr>
      </w:pPr>
      <w:r w:rsidRPr="00CB2218">
        <w:rPr>
          <w:rFonts w:hint="eastAsia"/>
          <w:lang w:eastAsia="zh-CN"/>
        </w:rPr>
        <w:t>国际电联</w:t>
      </w:r>
      <w:r w:rsidR="00254DD3">
        <w:rPr>
          <w:rFonts w:hint="eastAsia"/>
          <w:lang w:eastAsia="zh-CN"/>
        </w:rPr>
        <w:t>应对</w:t>
      </w:r>
      <w:r w:rsidRPr="00CB2218">
        <w:rPr>
          <w:lang w:eastAsia="zh-CN"/>
        </w:rPr>
        <w:t>主要</w:t>
      </w:r>
      <w:r w:rsidRPr="00CB2218">
        <w:rPr>
          <w:rFonts w:hint="eastAsia"/>
          <w:lang w:eastAsia="zh-CN"/>
        </w:rPr>
        <w:t>运作</w:t>
      </w:r>
      <w:r w:rsidRPr="00CB2218">
        <w:rPr>
          <w:lang w:eastAsia="zh-CN"/>
        </w:rPr>
        <w:t>和战略风险的</w:t>
      </w:r>
      <w:r w:rsidR="00254DD3">
        <w:rPr>
          <w:rFonts w:hint="eastAsia"/>
          <w:lang w:eastAsia="zh-CN"/>
        </w:rPr>
        <w:t>方式</w:t>
      </w:r>
      <w:r w:rsidRPr="00CB2218">
        <w:rPr>
          <w:lang w:eastAsia="zh-CN"/>
        </w:rPr>
        <w:t>如下</w:t>
      </w:r>
      <w:r w:rsidR="00FA56FB" w:rsidRPr="00CB2218">
        <w:rPr>
          <w:rFonts w:hint="eastAsia"/>
          <w:lang w:eastAsia="zh-CN"/>
        </w:rPr>
        <w:t>所述</w:t>
      </w:r>
      <w:r w:rsidRPr="00CB2218">
        <w:rPr>
          <w:lang w:eastAsia="zh-CN"/>
        </w:rPr>
        <w:t>。</w:t>
      </w:r>
      <w:r w:rsidR="00254DD3">
        <w:rPr>
          <w:rFonts w:hint="eastAsia"/>
          <w:lang w:eastAsia="zh-CN"/>
        </w:rPr>
        <w:t>本</w:t>
      </w:r>
      <w:r w:rsidRPr="00CB2218">
        <w:rPr>
          <w:rFonts w:hint="eastAsia"/>
          <w:lang w:eastAsia="zh-CN"/>
        </w:rPr>
        <w:t>清单</w:t>
      </w:r>
      <w:r w:rsidRPr="00CB2218">
        <w:rPr>
          <w:lang w:eastAsia="zh-CN"/>
        </w:rPr>
        <w:t>既未涵盖国际电联工作的方方面面</w:t>
      </w:r>
      <w:r w:rsidRPr="00CB2218">
        <w:rPr>
          <w:rFonts w:hint="eastAsia"/>
          <w:lang w:eastAsia="zh-CN"/>
        </w:rPr>
        <w:t>，</w:t>
      </w:r>
      <w:r w:rsidRPr="00CB2218">
        <w:rPr>
          <w:lang w:eastAsia="zh-CN"/>
        </w:rPr>
        <w:t>亦不囊括所有的潜在风险。</w:t>
      </w:r>
      <w:r w:rsidRPr="00CB2218">
        <w:rPr>
          <w:rFonts w:hint="eastAsia"/>
          <w:lang w:eastAsia="zh-CN"/>
        </w:rPr>
        <w:t>相反</w:t>
      </w:r>
      <w:r w:rsidRPr="00CB2218">
        <w:rPr>
          <w:lang w:eastAsia="zh-CN"/>
        </w:rPr>
        <w:t>，</w:t>
      </w:r>
      <w:r w:rsidRPr="00CB2218">
        <w:rPr>
          <w:rFonts w:hint="eastAsia"/>
          <w:lang w:eastAsia="zh-CN"/>
        </w:rPr>
        <w:t>清单阐明了</w:t>
      </w:r>
      <w:r w:rsidRPr="00CB2218">
        <w:rPr>
          <w:lang w:eastAsia="zh-CN"/>
        </w:rPr>
        <w:t>对关键领域风险的</w:t>
      </w:r>
      <w:r w:rsidRPr="00CB2218">
        <w:rPr>
          <w:rFonts w:hint="eastAsia"/>
          <w:lang w:eastAsia="zh-CN"/>
        </w:rPr>
        <w:t>承受</w:t>
      </w:r>
      <w:r w:rsidRPr="00CB2218">
        <w:rPr>
          <w:lang w:eastAsia="zh-CN"/>
        </w:rPr>
        <w:t>意愿</w:t>
      </w:r>
      <w:r w:rsidR="00254DD3">
        <w:rPr>
          <w:rFonts w:hint="eastAsia"/>
          <w:lang w:eastAsia="zh-CN"/>
        </w:rPr>
        <w:t>，</w:t>
      </w:r>
      <w:r w:rsidR="00FA56FB" w:rsidRPr="00CB2218">
        <w:rPr>
          <w:rFonts w:hint="eastAsia"/>
          <w:lang w:eastAsia="zh-CN"/>
        </w:rPr>
        <w:t>它按</w:t>
      </w:r>
      <w:r w:rsidR="00254DD3">
        <w:rPr>
          <w:rFonts w:hint="eastAsia"/>
          <w:lang w:eastAsia="zh-CN"/>
        </w:rPr>
        <w:t>“视角</w:t>
      </w:r>
      <w:r w:rsidR="00F02FED" w:rsidRPr="00F02FED">
        <w:rPr>
          <w:rFonts w:ascii="SimSun" w:hAnsi="SimSun" w:hint="eastAsia"/>
          <w:lang w:eastAsia="zh-CN"/>
        </w:rPr>
        <w:t>”</w:t>
      </w:r>
      <w:r w:rsidR="00FA56FB" w:rsidRPr="00CB2218">
        <w:rPr>
          <w:rFonts w:hint="eastAsia"/>
          <w:lang w:eastAsia="zh-CN"/>
        </w:rPr>
        <w:t>进行</w:t>
      </w:r>
      <w:r w:rsidR="00254DD3">
        <w:rPr>
          <w:rFonts w:hint="eastAsia"/>
          <w:lang w:eastAsia="zh-CN"/>
        </w:rPr>
        <w:t>分类</w:t>
      </w:r>
      <w:r w:rsidR="00FA56FB" w:rsidRPr="00CB2218">
        <w:rPr>
          <w:rFonts w:hint="eastAsia"/>
          <w:lang w:eastAsia="zh-CN"/>
        </w:rPr>
        <w:t>，与风险管理流程保持一致。</w:t>
      </w:r>
    </w:p>
    <w:p w14:paraId="2DDF12A7" w14:textId="21FCFC50" w:rsidR="008E6A9D" w:rsidRPr="008B223F" w:rsidRDefault="00A75F6C" w:rsidP="008B223F">
      <w:pPr>
        <w:pStyle w:val="Headingi"/>
        <w:rPr>
          <w:rFonts w:eastAsia="STKaiti"/>
          <w:b/>
          <w:bCs/>
          <w:i w:val="0"/>
          <w:iCs/>
          <w:lang w:eastAsia="zh-CN"/>
        </w:rPr>
      </w:pPr>
      <w:r w:rsidRPr="008B223F">
        <w:rPr>
          <w:rFonts w:eastAsia="STKaiti"/>
          <w:b/>
          <w:bCs/>
          <w:i w:val="0"/>
          <w:iCs/>
          <w:lang w:eastAsia="zh-CN"/>
        </w:rPr>
        <w:t>战略</w:t>
      </w:r>
    </w:p>
    <w:p w14:paraId="61DB620A" w14:textId="7D8A7667" w:rsidR="008E6A9D" w:rsidRPr="00CB2218" w:rsidRDefault="001A7C3E" w:rsidP="001A7C3E">
      <w:pPr>
        <w:pStyle w:val="enumlev1"/>
        <w:rPr>
          <w:rFonts w:eastAsia="Times New Roman"/>
          <w:lang w:eastAsia="zh-CN"/>
        </w:rPr>
      </w:pPr>
      <w:r>
        <w:rPr>
          <w:lang w:eastAsia="zh-CN"/>
        </w:rPr>
        <w:t>–</w:t>
      </w:r>
      <w:r>
        <w:rPr>
          <w:lang w:eastAsia="zh-CN"/>
        </w:rPr>
        <w:tab/>
      </w:r>
      <w:r w:rsidR="001C2B2B" w:rsidRPr="00CB2218">
        <w:rPr>
          <w:rFonts w:hint="eastAsia"/>
          <w:lang w:eastAsia="zh-CN"/>
        </w:rPr>
        <w:t>有关</w:t>
      </w:r>
      <w:r w:rsidR="001C2B2B" w:rsidRPr="00CB2218">
        <w:rPr>
          <w:lang w:eastAsia="zh-CN"/>
        </w:rPr>
        <w:t>战略目标和部门目标的实现：</w:t>
      </w:r>
    </w:p>
    <w:p w14:paraId="384CFD83" w14:textId="1A84972B" w:rsidR="008E6A9D" w:rsidRPr="00CB2218" w:rsidRDefault="001A7C3E" w:rsidP="001A7C3E">
      <w:pPr>
        <w:pStyle w:val="enumlev2"/>
        <w:rPr>
          <w:rFonts w:eastAsia="Times New Roman"/>
          <w:lang w:eastAsia="zh-CN"/>
        </w:rPr>
      </w:pPr>
      <w:r>
        <w:rPr>
          <w:lang w:eastAsia="zh-CN"/>
        </w:rPr>
        <w:t>•</w:t>
      </w:r>
      <w:r>
        <w:rPr>
          <w:lang w:eastAsia="zh-CN"/>
        </w:rPr>
        <w:tab/>
      </w:r>
      <w:r w:rsidR="001C2B2B" w:rsidRPr="00CB2218">
        <w:rPr>
          <w:rFonts w:hint="eastAsia"/>
          <w:lang w:eastAsia="zh-CN"/>
        </w:rPr>
        <w:t>对</w:t>
      </w:r>
      <w:r w:rsidR="00AC59EB" w:rsidRPr="00CB2218">
        <w:rPr>
          <w:rFonts w:hint="eastAsia"/>
          <w:lang w:eastAsia="zh-CN"/>
        </w:rPr>
        <w:t>损害</w:t>
      </w:r>
      <w:r w:rsidR="001C2B2B" w:rsidRPr="00CB2218">
        <w:rPr>
          <w:lang w:eastAsia="zh-CN"/>
        </w:rPr>
        <w:t>组织</w:t>
      </w:r>
      <w:r w:rsidR="001C2B2B" w:rsidRPr="00CB2218">
        <w:rPr>
          <w:rFonts w:hint="eastAsia"/>
          <w:lang w:eastAsia="zh-CN"/>
        </w:rPr>
        <w:t>总</w:t>
      </w:r>
      <w:r w:rsidR="001C2B2B" w:rsidRPr="00CB2218">
        <w:rPr>
          <w:lang w:eastAsia="zh-CN"/>
        </w:rPr>
        <w:t>体战略目标和部门目标</w:t>
      </w:r>
      <w:r w:rsidR="005541BE" w:rsidRPr="00CB2218">
        <w:rPr>
          <w:lang w:eastAsia="zh-CN"/>
        </w:rPr>
        <w:t>有效和高效实现</w:t>
      </w:r>
      <w:r w:rsidR="005541BE" w:rsidRPr="00CB2218">
        <w:rPr>
          <w:rFonts w:hint="eastAsia"/>
          <w:lang w:eastAsia="zh-CN"/>
        </w:rPr>
        <w:t>的威胁</w:t>
      </w:r>
      <w:r w:rsidR="00AC59EB" w:rsidRPr="00CB2218">
        <w:rPr>
          <w:rFonts w:hint="eastAsia"/>
          <w:lang w:eastAsia="zh-CN"/>
        </w:rPr>
        <w:t>的</w:t>
      </w:r>
      <w:r w:rsidR="007D5C64">
        <w:rPr>
          <w:rFonts w:hint="eastAsia"/>
          <w:lang w:eastAsia="zh-CN"/>
        </w:rPr>
        <w:t>低</w:t>
      </w:r>
      <w:r w:rsidR="005541BE" w:rsidRPr="00CB2218">
        <w:rPr>
          <w:rFonts w:hint="eastAsia"/>
          <w:lang w:eastAsia="zh-CN"/>
        </w:rPr>
        <w:t>风险</w:t>
      </w:r>
      <w:r w:rsidR="001C2B2B" w:rsidRPr="00CB2218">
        <w:rPr>
          <w:rFonts w:hint="eastAsia"/>
          <w:lang w:eastAsia="zh-CN"/>
        </w:rPr>
        <w:t>偏好；</w:t>
      </w:r>
      <w:r w:rsidR="001C2B2B" w:rsidRPr="00CB2218">
        <w:rPr>
          <w:lang w:eastAsia="zh-CN"/>
        </w:rPr>
        <w:t>以及</w:t>
      </w:r>
    </w:p>
    <w:p w14:paraId="7CA6694C" w14:textId="03F9DBF2" w:rsidR="008E6A9D" w:rsidRPr="00CB2218" w:rsidRDefault="001A7C3E" w:rsidP="001A7C3E">
      <w:pPr>
        <w:pStyle w:val="enumlev2"/>
        <w:rPr>
          <w:rFonts w:eastAsia="Times New Roman"/>
          <w:lang w:eastAsia="zh-CN"/>
        </w:rPr>
      </w:pPr>
      <w:r>
        <w:rPr>
          <w:lang w:eastAsia="zh-CN"/>
        </w:rPr>
        <w:t>•</w:t>
      </w:r>
      <w:r>
        <w:rPr>
          <w:lang w:eastAsia="zh-CN"/>
        </w:rPr>
        <w:tab/>
      </w:r>
      <w:r w:rsidR="001C2B2B" w:rsidRPr="00CB2218">
        <w:rPr>
          <w:lang w:eastAsia="zh-CN"/>
        </w:rPr>
        <w:t>创新和技术进步相关风险的高偏好</w:t>
      </w:r>
      <w:r w:rsidR="001C2B2B" w:rsidRPr="00CB2218">
        <w:rPr>
          <w:rFonts w:hint="eastAsia"/>
          <w:lang w:eastAsia="zh-CN"/>
        </w:rPr>
        <w:t>。</w:t>
      </w:r>
    </w:p>
    <w:p w14:paraId="1722793B" w14:textId="09D2A35B" w:rsidR="008E6A9D" w:rsidRPr="001A7C3E" w:rsidRDefault="001A7C3E" w:rsidP="001A7C3E">
      <w:pPr>
        <w:pStyle w:val="enumlev1"/>
        <w:rPr>
          <w:lang w:eastAsia="zh-CN"/>
        </w:rPr>
      </w:pPr>
      <w:r>
        <w:rPr>
          <w:lang w:eastAsia="zh-CN"/>
        </w:rPr>
        <w:t>–</w:t>
      </w:r>
      <w:r>
        <w:rPr>
          <w:lang w:eastAsia="zh-CN"/>
        </w:rPr>
        <w:tab/>
      </w:r>
      <w:r w:rsidR="00A75F6C" w:rsidRPr="001A7C3E">
        <w:rPr>
          <w:rFonts w:hint="eastAsia"/>
          <w:lang w:eastAsia="zh-CN"/>
        </w:rPr>
        <w:t>有关声誉</w:t>
      </w:r>
      <w:r w:rsidR="00A75F6C" w:rsidRPr="001A7C3E">
        <w:rPr>
          <w:lang w:eastAsia="zh-CN"/>
        </w:rPr>
        <w:t>影响</w:t>
      </w:r>
      <w:r w:rsidR="00A75F6C" w:rsidRPr="001A7C3E">
        <w:rPr>
          <w:rFonts w:hint="eastAsia"/>
          <w:lang w:eastAsia="zh-CN"/>
        </w:rPr>
        <w:t>：</w:t>
      </w:r>
    </w:p>
    <w:p w14:paraId="20918036" w14:textId="50681257" w:rsidR="008E6A9D" w:rsidRPr="001A7C3E" w:rsidRDefault="001A7C3E" w:rsidP="001A7C3E">
      <w:pPr>
        <w:pStyle w:val="enumlev2"/>
        <w:rPr>
          <w:lang w:eastAsia="zh-CN"/>
        </w:rPr>
      </w:pPr>
      <w:r>
        <w:rPr>
          <w:lang w:eastAsia="zh-CN"/>
        </w:rPr>
        <w:t>•</w:t>
      </w:r>
      <w:r>
        <w:rPr>
          <w:lang w:eastAsia="zh-CN"/>
        </w:rPr>
        <w:tab/>
      </w:r>
      <w:r w:rsidR="00611BA2" w:rsidRPr="001A7C3E">
        <w:rPr>
          <w:rFonts w:hint="eastAsia"/>
          <w:lang w:eastAsia="zh-CN"/>
        </w:rPr>
        <w:t>对</w:t>
      </w:r>
      <w:r w:rsidR="00611BA2" w:rsidRPr="001A7C3E">
        <w:rPr>
          <w:lang w:eastAsia="zh-CN"/>
        </w:rPr>
        <w:t>严重</w:t>
      </w:r>
      <w:r w:rsidR="00611BA2" w:rsidRPr="001A7C3E">
        <w:rPr>
          <w:rFonts w:hint="eastAsia"/>
          <w:lang w:eastAsia="zh-CN"/>
        </w:rPr>
        <w:t>损</w:t>
      </w:r>
      <w:r w:rsidR="00611BA2" w:rsidRPr="001A7C3E">
        <w:rPr>
          <w:lang w:eastAsia="zh-CN"/>
        </w:rPr>
        <w:t>害国际电联声誉的风险的低偏好</w:t>
      </w:r>
      <w:r w:rsidR="00611BA2" w:rsidRPr="001A7C3E">
        <w:rPr>
          <w:rFonts w:hint="eastAsia"/>
          <w:lang w:eastAsia="zh-CN"/>
        </w:rPr>
        <w:t>。</w:t>
      </w:r>
    </w:p>
    <w:p w14:paraId="08F05ECE" w14:textId="7AA0D84D" w:rsidR="008E6A9D" w:rsidRPr="008B223F" w:rsidRDefault="00AC59EB" w:rsidP="008B223F">
      <w:pPr>
        <w:pStyle w:val="Headingi"/>
        <w:rPr>
          <w:rFonts w:eastAsia="STKaiti"/>
          <w:b/>
          <w:bCs/>
          <w:i w:val="0"/>
          <w:iCs/>
          <w:lang w:eastAsia="zh-CN"/>
        </w:rPr>
      </w:pPr>
      <w:r w:rsidRPr="008B223F">
        <w:rPr>
          <w:rFonts w:eastAsia="STKaiti" w:hint="eastAsia"/>
          <w:b/>
          <w:bCs/>
          <w:i w:val="0"/>
          <w:iCs/>
          <w:lang w:eastAsia="zh-CN"/>
        </w:rPr>
        <w:t>运作</w:t>
      </w:r>
    </w:p>
    <w:p w14:paraId="0871A762" w14:textId="70D19BC5" w:rsidR="008E6A9D" w:rsidRPr="001A7C3E" w:rsidRDefault="001A7C3E" w:rsidP="001A7C3E">
      <w:pPr>
        <w:pStyle w:val="enumlev1"/>
        <w:rPr>
          <w:lang w:eastAsia="zh-CN"/>
        </w:rPr>
      </w:pPr>
      <w:r>
        <w:rPr>
          <w:lang w:eastAsia="zh-CN"/>
        </w:rPr>
        <w:t>–</w:t>
      </w:r>
      <w:r>
        <w:rPr>
          <w:lang w:eastAsia="zh-CN"/>
        </w:rPr>
        <w:tab/>
      </w:r>
      <w:r w:rsidR="001C2B2B" w:rsidRPr="001A7C3E">
        <w:rPr>
          <w:rFonts w:hint="eastAsia"/>
          <w:lang w:eastAsia="zh-CN"/>
        </w:rPr>
        <w:t>有关</w:t>
      </w:r>
      <w:r w:rsidR="001C2B2B" w:rsidRPr="001A7C3E">
        <w:rPr>
          <w:lang w:eastAsia="zh-CN"/>
        </w:rPr>
        <w:t>所提供的服务</w:t>
      </w:r>
      <w:r w:rsidR="00AC59EB" w:rsidRPr="001A7C3E">
        <w:rPr>
          <w:rFonts w:hint="eastAsia"/>
          <w:lang w:eastAsia="zh-CN"/>
        </w:rPr>
        <w:t>和基础设施：</w:t>
      </w:r>
    </w:p>
    <w:p w14:paraId="0B2F03F7" w14:textId="2F7F885D" w:rsidR="008E6A9D" w:rsidRPr="001A7C3E" w:rsidRDefault="001A7C3E" w:rsidP="001A7C3E">
      <w:pPr>
        <w:pStyle w:val="enumlev2"/>
        <w:rPr>
          <w:lang w:eastAsia="zh-CN"/>
        </w:rPr>
      </w:pPr>
      <w:r>
        <w:rPr>
          <w:lang w:eastAsia="zh-CN"/>
        </w:rPr>
        <w:t>•</w:t>
      </w:r>
      <w:r>
        <w:rPr>
          <w:lang w:eastAsia="zh-CN"/>
        </w:rPr>
        <w:tab/>
      </w:r>
      <w:r w:rsidR="001C2B2B" w:rsidRPr="001A7C3E">
        <w:rPr>
          <w:rFonts w:hint="eastAsia"/>
          <w:lang w:eastAsia="zh-CN"/>
        </w:rPr>
        <w:t>对</w:t>
      </w:r>
      <w:r w:rsidR="001C2B2B" w:rsidRPr="001A7C3E">
        <w:rPr>
          <w:lang w:eastAsia="zh-CN"/>
        </w:rPr>
        <w:t>组织</w:t>
      </w:r>
      <w:r w:rsidR="001C2B2B" w:rsidRPr="001A7C3E">
        <w:rPr>
          <w:rFonts w:hint="eastAsia"/>
          <w:lang w:eastAsia="zh-CN"/>
        </w:rPr>
        <w:t>服务对</w:t>
      </w:r>
      <w:r w:rsidR="001C2B2B" w:rsidRPr="001A7C3E">
        <w:rPr>
          <w:lang w:eastAsia="zh-CN"/>
        </w:rPr>
        <w:t>象提供的</w:t>
      </w:r>
      <w:r w:rsidR="001C2B2B" w:rsidRPr="001A7C3E">
        <w:rPr>
          <w:rFonts w:hint="eastAsia"/>
          <w:lang w:eastAsia="zh-CN"/>
        </w:rPr>
        <w:t>服务</w:t>
      </w:r>
      <w:r w:rsidR="001C2B2B" w:rsidRPr="001A7C3E">
        <w:rPr>
          <w:lang w:eastAsia="zh-CN"/>
        </w:rPr>
        <w:t>质量的低风险偏好</w:t>
      </w:r>
      <w:r w:rsidR="001C2B2B" w:rsidRPr="001A7C3E">
        <w:rPr>
          <w:rFonts w:hint="eastAsia"/>
          <w:lang w:eastAsia="zh-CN"/>
        </w:rPr>
        <w:t>；以及</w:t>
      </w:r>
    </w:p>
    <w:p w14:paraId="25B7D866" w14:textId="577661D9" w:rsidR="008E6A9D" w:rsidRPr="001A7C3E" w:rsidRDefault="001A7C3E" w:rsidP="001A7C3E">
      <w:pPr>
        <w:pStyle w:val="enumlev2"/>
        <w:rPr>
          <w:lang w:eastAsia="zh-CN"/>
        </w:rPr>
      </w:pPr>
      <w:r>
        <w:rPr>
          <w:lang w:eastAsia="zh-CN"/>
        </w:rPr>
        <w:t>•</w:t>
      </w:r>
      <w:r>
        <w:rPr>
          <w:lang w:eastAsia="zh-CN"/>
        </w:rPr>
        <w:tab/>
      </w:r>
      <w:r w:rsidR="001C2B2B" w:rsidRPr="001A7C3E">
        <w:rPr>
          <w:rFonts w:hint="eastAsia"/>
          <w:lang w:eastAsia="zh-CN"/>
        </w:rPr>
        <w:t>对</w:t>
      </w:r>
      <w:r w:rsidR="001C2B2B" w:rsidRPr="001A7C3E">
        <w:rPr>
          <w:lang w:eastAsia="zh-CN"/>
        </w:rPr>
        <w:t>严重安全违规、非法进入</w:t>
      </w:r>
      <w:r w:rsidR="00DB0C33" w:rsidRPr="001A7C3E">
        <w:rPr>
          <w:rFonts w:hint="eastAsia"/>
          <w:lang w:eastAsia="zh-CN"/>
        </w:rPr>
        <w:t>保密记录</w:t>
      </w:r>
      <w:r w:rsidR="001C2B2B" w:rsidRPr="001A7C3E">
        <w:rPr>
          <w:lang w:eastAsia="zh-CN"/>
        </w:rPr>
        <w:t>或</w:t>
      </w:r>
      <w:r w:rsidR="001C2B2B" w:rsidRPr="001A7C3E">
        <w:rPr>
          <w:rFonts w:hint="eastAsia"/>
          <w:lang w:eastAsia="zh-CN"/>
        </w:rPr>
        <w:t>保密记录（如</w:t>
      </w:r>
      <w:r w:rsidR="001C2B2B" w:rsidRPr="001A7C3E">
        <w:rPr>
          <w:lang w:eastAsia="zh-CN"/>
        </w:rPr>
        <w:t>频率登记数据库</w:t>
      </w:r>
      <w:r w:rsidR="001C2B2B" w:rsidRPr="001A7C3E">
        <w:rPr>
          <w:rFonts w:hint="eastAsia"/>
          <w:lang w:eastAsia="zh-CN"/>
        </w:rPr>
        <w:t>）</w:t>
      </w:r>
      <w:r w:rsidR="001C2B2B" w:rsidRPr="001A7C3E">
        <w:rPr>
          <w:lang w:eastAsia="zh-CN"/>
        </w:rPr>
        <w:t>丢失的极低风险</w:t>
      </w:r>
      <w:r w:rsidR="001C2B2B" w:rsidRPr="001A7C3E">
        <w:rPr>
          <w:rFonts w:hint="eastAsia"/>
          <w:lang w:eastAsia="zh-CN"/>
        </w:rPr>
        <w:t>偏</w:t>
      </w:r>
      <w:r w:rsidR="001C2B2B" w:rsidRPr="001A7C3E">
        <w:rPr>
          <w:lang w:eastAsia="zh-CN"/>
        </w:rPr>
        <w:t>好</w:t>
      </w:r>
      <w:r w:rsidR="001C2B2B" w:rsidRPr="001A7C3E">
        <w:rPr>
          <w:rFonts w:hint="eastAsia"/>
          <w:lang w:eastAsia="zh-CN"/>
        </w:rPr>
        <w:t>。</w:t>
      </w:r>
    </w:p>
    <w:p w14:paraId="18F58757" w14:textId="2A0F87BF" w:rsidR="008E6A9D" w:rsidRPr="008B223F" w:rsidRDefault="00DB0C33" w:rsidP="008B223F">
      <w:pPr>
        <w:pStyle w:val="Headingi"/>
        <w:rPr>
          <w:rFonts w:eastAsia="STKaiti"/>
          <w:b/>
          <w:bCs/>
          <w:i w:val="0"/>
          <w:iCs/>
          <w:lang w:eastAsia="zh-CN"/>
        </w:rPr>
      </w:pPr>
      <w:r w:rsidRPr="008B223F">
        <w:rPr>
          <w:rFonts w:eastAsia="STKaiti" w:hint="eastAsia"/>
          <w:b/>
          <w:bCs/>
          <w:i w:val="0"/>
          <w:iCs/>
          <w:lang w:eastAsia="zh-CN"/>
        </w:rPr>
        <w:t>财务</w:t>
      </w:r>
    </w:p>
    <w:p w14:paraId="1E55D69F" w14:textId="3451B9DF" w:rsidR="008E6A9D" w:rsidRPr="001A7C3E" w:rsidRDefault="001A7C3E" w:rsidP="001A7C3E">
      <w:pPr>
        <w:pStyle w:val="enumlev1"/>
        <w:rPr>
          <w:lang w:eastAsia="zh-CN"/>
        </w:rPr>
      </w:pPr>
      <w:r>
        <w:rPr>
          <w:lang w:eastAsia="zh-CN"/>
        </w:rPr>
        <w:t>–</w:t>
      </w:r>
      <w:r>
        <w:rPr>
          <w:lang w:eastAsia="zh-CN"/>
        </w:rPr>
        <w:tab/>
      </w:r>
      <w:r w:rsidR="00DB0C33" w:rsidRPr="001A7C3E">
        <w:rPr>
          <w:rFonts w:hint="eastAsia"/>
          <w:lang w:eastAsia="zh-CN"/>
        </w:rPr>
        <w:t>关于财务报表：</w:t>
      </w:r>
    </w:p>
    <w:p w14:paraId="35681993" w14:textId="2A104588" w:rsidR="00DB0C33" w:rsidRPr="001A7C3E" w:rsidRDefault="001A7C3E" w:rsidP="001A7C3E">
      <w:pPr>
        <w:pStyle w:val="enumlev2"/>
        <w:rPr>
          <w:lang w:eastAsia="zh-CN"/>
        </w:rPr>
      </w:pPr>
      <w:r>
        <w:rPr>
          <w:lang w:eastAsia="zh-CN"/>
        </w:rPr>
        <w:t>•</w:t>
      </w:r>
      <w:r>
        <w:rPr>
          <w:lang w:eastAsia="zh-CN"/>
        </w:rPr>
        <w:tab/>
      </w:r>
      <w:r w:rsidR="00DB0C33" w:rsidRPr="001A7C3E">
        <w:rPr>
          <w:rFonts w:hint="eastAsia"/>
          <w:lang w:eastAsia="zh-CN"/>
        </w:rPr>
        <w:t>对财务信息和记录的准确性和全面性（包括</w:t>
      </w:r>
      <w:r w:rsidR="002A10A8" w:rsidRPr="001A7C3E">
        <w:rPr>
          <w:lang w:eastAsia="zh-CN"/>
        </w:rPr>
        <w:t>财务记录不完整、不正确、延迟或</w:t>
      </w:r>
      <w:r w:rsidR="002A10A8" w:rsidRPr="001A7C3E">
        <w:rPr>
          <w:rFonts w:hint="eastAsia"/>
          <w:lang w:eastAsia="zh-CN"/>
        </w:rPr>
        <w:t>支撑</w:t>
      </w:r>
      <w:r w:rsidR="002A10A8" w:rsidRPr="001A7C3E">
        <w:rPr>
          <w:lang w:eastAsia="zh-CN"/>
        </w:rPr>
        <w:t>不足</w:t>
      </w:r>
      <w:r w:rsidR="00DB0C33" w:rsidRPr="001A7C3E">
        <w:rPr>
          <w:rFonts w:hint="eastAsia"/>
          <w:lang w:eastAsia="zh-CN"/>
        </w:rPr>
        <w:t>）相关风险</w:t>
      </w:r>
      <w:r w:rsidR="002A10A8" w:rsidRPr="001A7C3E">
        <w:rPr>
          <w:rFonts w:hint="eastAsia"/>
          <w:lang w:eastAsia="zh-CN"/>
        </w:rPr>
        <w:t>的低</w:t>
      </w:r>
      <w:r w:rsidR="00DB0C33" w:rsidRPr="001A7C3E">
        <w:rPr>
          <w:rFonts w:hint="eastAsia"/>
          <w:lang w:eastAsia="zh-CN"/>
        </w:rPr>
        <w:t>偏好。</w:t>
      </w:r>
    </w:p>
    <w:p w14:paraId="3DED6527" w14:textId="3E5469AB" w:rsidR="008E6A9D" w:rsidRPr="001A7C3E" w:rsidRDefault="001A7C3E" w:rsidP="001A7C3E">
      <w:pPr>
        <w:pStyle w:val="enumlev1"/>
        <w:rPr>
          <w:lang w:eastAsia="zh-CN"/>
        </w:rPr>
      </w:pPr>
      <w:r>
        <w:rPr>
          <w:lang w:eastAsia="zh-CN"/>
        </w:rPr>
        <w:t>–</w:t>
      </w:r>
      <w:r>
        <w:rPr>
          <w:lang w:eastAsia="zh-CN"/>
        </w:rPr>
        <w:tab/>
      </w:r>
      <w:r w:rsidR="002A10A8" w:rsidRPr="001A7C3E">
        <w:rPr>
          <w:rFonts w:hint="eastAsia"/>
          <w:lang w:eastAsia="zh-CN"/>
        </w:rPr>
        <w:t>关于采购：</w:t>
      </w:r>
    </w:p>
    <w:p w14:paraId="7FDCDB08" w14:textId="69FDDA6B" w:rsidR="00DB0C33" w:rsidRPr="001A7C3E" w:rsidRDefault="001A7C3E" w:rsidP="001A7C3E">
      <w:pPr>
        <w:pStyle w:val="enumlev2"/>
        <w:rPr>
          <w:lang w:eastAsia="zh-CN"/>
        </w:rPr>
      </w:pPr>
      <w:r>
        <w:rPr>
          <w:lang w:eastAsia="zh-CN"/>
        </w:rPr>
        <w:t>•</w:t>
      </w:r>
      <w:r>
        <w:rPr>
          <w:lang w:eastAsia="zh-CN"/>
        </w:rPr>
        <w:tab/>
      </w:r>
      <w:r w:rsidR="00DB0C33" w:rsidRPr="001A7C3E">
        <w:rPr>
          <w:rFonts w:hint="eastAsia"/>
          <w:lang w:eastAsia="zh-CN"/>
        </w:rPr>
        <w:t>对</w:t>
      </w:r>
      <w:r w:rsidR="002A10A8" w:rsidRPr="001A7C3E">
        <w:rPr>
          <w:rFonts w:hint="eastAsia"/>
          <w:lang w:eastAsia="zh-CN"/>
        </w:rPr>
        <w:t>导致国际电联的物非所值或财务损失的</w:t>
      </w:r>
      <w:r w:rsidR="00DB0C33" w:rsidRPr="001A7C3E">
        <w:rPr>
          <w:rFonts w:hint="eastAsia"/>
          <w:lang w:eastAsia="zh-CN"/>
        </w:rPr>
        <w:t>采购失败</w:t>
      </w:r>
      <w:r w:rsidR="00572169" w:rsidRPr="001A7C3E">
        <w:rPr>
          <w:rFonts w:hint="eastAsia"/>
          <w:lang w:eastAsia="zh-CN"/>
        </w:rPr>
        <w:t>的</w:t>
      </w:r>
      <w:r w:rsidR="00DB0C33" w:rsidRPr="001A7C3E">
        <w:rPr>
          <w:rFonts w:hint="eastAsia"/>
          <w:lang w:eastAsia="zh-CN"/>
        </w:rPr>
        <w:t>相关风险的</w:t>
      </w:r>
      <w:r w:rsidR="002A10A8" w:rsidRPr="001A7C3E">
        <w:rPr>
          <w:rFonts w:hint="eastAsia"/>
          <w:lang w:eastAsia="zh-CN"/>
        </w:rPr>
        <w:t>低风险偏好</w:t>
      </w:r>
      <w:r w:rsidR="00DB0C33" w:rsidRPr="001A7C3E">
        <w:rPr>
          <w:rFonts w:hint="eastAsia"/>
          <w:lang w:eastAsia="zh-CN"/>
        </w:rPr>
        <w:t>。</w:t>
      </w:r>
    </w:p>
    <w:p w14:paraId="72E0506D" w14:textId="1BCD324D" w:rsidR="008E6A9D" w:rsidRPr="008B223F" w:rsidRDefault="002A10A8" w:rsidP="008B223F">
      <w:pPr>
        <w:pStyle w:val="Headingi"/>
        <w:rPr>
          <w:rFonts w:eastAsia="STKaiti"/>
          <w:b/>
          <w:bCs/>
          <w:i w:val="0"/>
          <w:iCs/>
          <w:lang w:eastAsia="zh-CN"/>
        </w:rPr>
      </w:pPr>
      <w:r w:rsidRPr="008B223F">
        <w:rPr>
          <w:rFonts w:eastAsia="STKaiti" w:hint="eastAsia"/>
          <w:b/>
          <w:bCs/>
          <w:i w:val="0"/>
          <w:iCs/>
          <w:lang w:eastAsia="zh-CN"/>
        </w:rPr>
        <w:t>信托</w:t>
      </w:r>
    </w:p>
    <w:p w14:paraId="227A504C" w14:textId="47668DCD" w:rsidR="008E6A9D" w:rsidRPr="001A7C3E" w:rsidRDefault="001A7C3E" w:rsidP="001A7C3E">
      <w:pPr>
        <w:pStyle w:val="enumlev1"/>
        <w:rPr>
          <w:lang w:eastAsia="zh-CN"/>
        </w:rPr>
      </w:pPr>
      <w:r>
        <w:rPr>
          <w:lang w:eastAsia="zh-CN"/>
        </w:rPr>
        <w:t>–</w:t>
      </w:r>
      <w:r>
        <w:rPr>
          <w:lang w:eastAsia="zh-CN"/>
        </w:rPr>
        <w:tab/>
      </w:r>
      <w:r w:rsidR="00F254E9" w:rsidRPr="001A7C3E">
        <w:rPr>
          <w:rFonts w:hint="eastAsia"/>
          <w:lang w:eastAsia="zh-CN"/>
        </w:rPr>
        <w:t>有关</w:t>
      </w:r>
      <w:r w:rsidR="00F254E9" w:rsidRPr="001A7C3E">
        <w:rPr>
          <w:lang w:eastAsia="zh-CN"/>
        </w:rPr>
        <w:t>内部管理和控制</w:t>
      </w:r>
      <w:r w:rsidR="00F254E9" w:rsidRPr="001A7C3E">
        <w:rPr>
          <w:rFonts w:hint="eastAsia"/>
          <w:lang w:eastAsia="zh-CN"/>
        </w:rPr>
        <w:t>：</w:t>
      </w:r>
    </w:p>
    <w:p w14:paraId="49674043" w14:textId="099EF753" w:rsidR="008E6A9D" w:rsidRPr="001A7C3E" w:rsidRDefault="001A7C3E" w:rsidP="001A7C3E">
      <w:pPr>
        <w:pStyle w:val="enumlev2"/>
        <w:rPr>
          <w:lang w:eastAsia="zh-CN"/>
        </w:rPr>
      </w:pPr>
      <w:r>
        <w:rPr>
          <w:lang w:eastAsia="zh-CN"/>
        </w:rPr>
        <w:t>•</w:t>
      </w:r>
      <w:r>
        <w:rPr>
          <w:lang w:eastAsia="zh-CN"/>
        </w:rPr>
        <w:tab/>
      </w:r>
      <w:r w:rsidR="00F254E9" w:rsidRPr="001A7C3E">
        <w:rPr>
          <w:rFonts w:hint="eastAsia"/>
          <w:lang w:eastAsia="zh-CN"/>
        </w:rPr>
        <w:t>在</w:t>
      </w:r>
      <w:r w:rsidR="00F254E9" w:rsidRPr="001A7C3E">
        <w:rPr>
          <w:lang w:eastAsia="zh-CN"/>
        </w:rPr>
        <w:t>欺诈、腐败、非法行为</w:t>
      </w:r>
      <w:r w:rsidR="00F254E9" w:rsidRPr="001A7C3E">
        <w:rPr>
          <w:rFonts w:hint="eastAsia"/>
          <w:lang w:eastAsia="zh-CN"/>
        </w:rPr>
        <w:t>和</w:t>
      </w:r>
      <w:r w:rsidR="002A10A8" w:rsidRPr="001A7C3E">
        <w:rPr>
          <w:rFonts w:hint="eastAsia"/>
          <w:lang w:eastAsia="zh-CN"/>
        </w:rPr>
        <w:t>不端行为</w:t>
      </w:r>
      <w:r w:rsidR="00F254E9" w:rsidRPr="001A7C3E">
        <w:rPr>
          <w:lang w:eastAsia="zh-CN"/>
        </w:rPr>
        <w:t>方面无偏好</w:t>
      </w:r>
      <w:r w:rsidR="00F254E9" w:rsidRPr="001A7C3E">
        <w:rPr>
          <w:rFonts w:hint="eastAsia"/>
          <w:lang w:eastAsia="zh-CN"/>
        </w:rPr>
        <w:t>（即零</w:t>
      </w:r>
      <w:r w:rsidR="00F254E9" w:rsidRPr="001A7C3E">
        <w:rPr>
          <w:lang w:eastAsia="zh-CN"/>
        </w:rPr>
        <w:t>容忍度</w:t>
      </w:r>
      <w:proofErr w:type="gramStart"/>
      <w:r w:rsidR="00F254E9" w:rsidRPr="001A7C3E">
        <w:rPr>
          <w:rFonts w:hint="eastAsia"/>
          <w:lang w:eastAsia="zh-CN"/>
        </w:rPr>
        <w:t>）；</w:t>
      </w:r>
      <w:proofErr w:type="gramEnd"/>
    </w:p>
    <w:p w14:paraId="19191D37" w14:textId="5FE32C55" w:rsidR="008E6A9D" w:rsidRPr="001A7C3E" w:rsidRDefault="001A7C3E" w:rsidP="001A7C3E">
      <w:pPr>
        <w:pStyle w:val="enumlev2"/>
        <w:rPr>
          <w:lang w:eastAsia="zh-CN"/>
        </w:rPr>
      </w:pPr>
      <w:r>
        <w:rPr>
          <w:lang w:eastAsia="zh-CN"/>
        </w:rPr>
        <w:t>•</w:t>
      </w:r>
      <w:r>
        <w:rPr>
          <w:lang w:eastAsia="zh-CN"/>
        </w:rPr>
        <w:tab/>
      </w:r>
      <w:r w:rsidR="00F254E9" w:rsidRPr="001A7C3E">
        <w:rPr>
          <w:rFonts w:hint="eastAsia"/>
          <w:lang w:eastAsia="zh-CN"/>
        </w:rPr>
        <w:t>对</w:t>
      </w:r>
      <w:r w:rsidR="00F254E9" w:rsidRPr="001A7C3E">
        <w:rPr>
          <w:lang w:eastAsia="zh-CN"/>
        </w:rPr>
        <w:t>人员安全</w:t>
      </w:r>
      <w:r w:rsidR="002A10A8" w:rsidRPr="001A7C3E">
        <w:rPr>
          <w:rFonts w:hint="eastAsia"/>
          <w:lang w:eastAsia="zh-CN"/>
        </w:rPr>
        <w:t>和合规</w:t>
      </w:r>
      <w:r w:rsidR="00F254E9" w:rsidRPr="001A7C3E">
        <w:rPr>
          <w:lang w:eastAsia="zh-CN"/>
        </w:rPr>
        <w:t>相关风险的低偏好</w:t>
      </w:r>
      <w:r w:rsidR="00F254E9" w:rsidRPr="001A7C3E">
        <w:rPr>
          <w:rFonts w:hint="eastAsia"/>
          <w:lang w:eastAsia="zh-CN"/>
        </w:rPr>
        <w:t>。</w:t>
      </w:r>
    </w:p>
    <w:p w14:paraId="73827668" w14:textId="5A6AD0F9" w:rsidR="008E6A9D" w:rsidRPr="00FA56FB" w:rsidRDefault="00421130" w:rsidP="00421130">
      <w:pPr>
        <w:pStyle w:val="Heading1"/>
        <w:rPr>
          <w:rFonts w:asciiTheme="minorHAnsi" w:eastAsia="Times New Roman" w:hAnsiTheme="minorHAnsi"/>
          <w:szCs w:val="24"/>
          <w:lang w:val="en-AU" w:eastAsia="en-AU"/>
        </w:rPr>
      </w:pPr>
      <w:r>
        <w:rPr>
          <w:rFonts w:hint="eastAsia"/>
          <w:lang w:eastAsia="zh-CN"/>
        </w:rPr>
        <w:lastRenderedPageBreak/>
        <w:t>3</w:t>
      </w:r>
      <w:r>
        <w:rPr>
          <w:lang w:eastAsia="zh-CN"/>
        </w:rPr>
        <w:tab/>
      </w:r>
      <w:r w:rsidR="00540A7B" w:rsidRPr="00FA56FB">
        <w:rPr>
          <w:rFonts w:hint="eastAsia"/>
          <w:lang w:eastAsia="zh-CN"/>
        </w:rPr>
        <w:t>审议</w:t>
      </w:r>
    </w:p>
    <w:p w14:paraId="6F057328" w14:textId="1821DA73" w:rsidR="008E6A9D" w:rsidRPr="00CB2218" w:rsidRDefault="00540A7B" w:rsidP="006E0685">
      <w:pPr>
        <w:ind w:firstLineChars="200" w:firstLine="480"/>
        <w:rPr>
          <w:rFonts w:eastAsia="Times New Roman"/>
          <w:lang w:eastAsia="zh-CN"/>
        </w:rPr>
      </w:pPr>
      <w:r w:rsidRPr="00CB2218">
        <w:rPr>
          <w:rFonts w:hint="eastAsia"/>
          <w:lang w:eastAsia="zh-CN"/>
        </w:rPr>
        <w:t>该</w:t>
      </w:r>
      <w:r w:rsidRPr="00CB2218">
        <w:rPr>
          <w:lang w:eastAsia="zh-CN"/>
        </w:rPr>
        <w:t>陈述书</w:t>
      </w:r>
      <w:r w:rsidRPr="00CB2218">
        <w:rPr>
          <w:rFonts w:hint="eastAsia"/>
          <w:lang w:eastAsia="zh-CN"/>
        </w:rPr>
        <w:t>在</w:t>
      </w:r>
      <w:r w:rsidRPr="00CB2218">
        <w:rPr>
          <w:lang w:eastAsia="zh-CN"/>
        </w:rPr>
        <w:t>拟定</w:t>
      </w:r>
      <w:r w:rsidR="007D5C64">
        <w:rPr>
          <w:rFonts w:hint="eastAsia"/>
          <w:lang w:eastAsia="zh-CN"/>
        </w:rPr>
        <w:t>时</w:t>
      </w:r>
      <w:r w:rsidRPr="00CB2218">
        <w:rPr>
          <w:lang w:eastAsia="zh-CN"/>
        </w:rPr>
        <w:t>铭记</w:t>
      </w:r>
      <w:r w:rsidRPr="00CB2218">
        <w:rPr>
          <w:rFonts w:hint="eastAsia"/>
          <w:lang w:eastAsia="zh-CN"/>
        </w:rPr>
        <w:t>风险</w:t>
      </w:r>
      <w:r w:rsidRPr="00CB2218">
        <w:rPr>
          <w:lang w:eastAsia="zh-CN"/>
        </w:rPr>
        <w:t>偏好</w:t>
      </w:r>
      <w:r w:rsidRPr="00CB2218">
        <w:rPr>
          <w:rFonts w:hint="eastAsia"/>
          <w:lang w:eastAsia="zh-CN"/>
        </w:rPr>
        <w:t>将</w:t>
      </w:r>
      <w:r w:rsidRPr="00CB2218">
        <w:rPr>
          <w:lang w:eastAsia="zh-CN"/>
        </w:rPr>
        <w:t>不断变化。</w:t>
      </w:r>
      <w:r w:rsidRPr="00CB2218">
        <w:rPr>
          <w:rFonts w:hint="eastAsia"/>
          <w:lang w:eastAsia="zh-CN"/>
        </w:rPr>
        <w:t>风险</w:t>
      </w:r>
      <w:r w:rsidRPr="00CB2218">
        <w:rPr>
          <w:lang w:eastAsia="zh-CN"/>
        </w:rPr>
        <w:t>偏好陈述书采用的结构可对任何变化做出迅速反应。监督</w:t>
      </w:r>
      <w:r w:rsidRPr="00CB2218">
        <w:rPr>
          <w:rFonts w:hint="eastAsia"/>
          <w:lang w:eastAsia="zh-CN"/>
        </w:rPr>
        <w:t>和审议</w:t>
      </w:r>
      <w:r w:rsidRPr="00CB2218">
        <w:rPr>
          <w:lang w:eastAsia="zh-CN"/>
        </w:rPr>
        <w:t>应</w:t>
      </w:r>
      <w:r w:rsidRPr="00CB2218">
        <w:rPr>
          <w:rFonts w:hint="eastAsia"/>
          <w:lang w:eastAsia="zh-CN"/>
        </w:rPr>
        <w:t>着眼于</w:t>
      </w:r>
      <w:r w:rsidRPr="00CB2218">
        <w:rPr>
          <w:lang w:eastAsia="zh-CN"/>
        </w:rPr>
        <w:t>培育风险意识文化。</w:t>
      </w:r>
    </w:p>
    <w:p w14:paraId="3F1FBDA4" w14:textId="68BB36F1" w:rsidR="008E6A9D" w:rsidRPr="00CB2218" w:rsidRDefault="00540A7B" w:rsidP="006E0685">
      <w:pPr>
        <w:ind w:firstLineChars="200" w:firstLine="480"/>
        <w:rPr>
          <w:rFonts w:eastAsia="Times New Roman"/>
          <w:lang w:eastAsia="zh-CN"/>
        </w:rPr>
      </w:pPr>
      <w:r w:rsidRPr="00CB2218">
        <w:rPr>
          <w:rFonts w:hint="eastAsia"/>
          <w:lang w:eastAsia="zh-CN"/>
        </w:rPr>
        <w:t>风险</w:t>
      </w:r>
      <w:r w:rsidRPr="00CB2218">
        <w:rPr>
          <w:lang w:eastAsia="zh-CN"/>
        </w:rPr>
        <w:t>偏好陈述书每年审议一次，或在发生重大变化</w:t>
      </w:r>
      <w:r w:rsidRPr="00CB2218">
        <w:rPr>
          <w:rFonts w:hint="eastAsia"/>
          <w:lang w:eastAsia="zh-CN"/>
        </w:rPr>
        <w:t>时</w:t>
      </w:r>
      <w:r w:rsidRPr="00CB2218">
        <w:rPr>
          <w:lang w:eastAsia="zh-CN"/>
        </w:rPr>
        <w:t>随时审议。</w:t>
      </w:r>
    </w:p>
    <w:p w14:paraId="5862A1B0" w14:textId="77777777" w:rsidR="00B45365" w:rsidRPr="00280EB8" w:rsidRDefault="00B45365" w:rsidP="00280EB8">
      <w:pPr>
        <w:rPr>
          <w:lang w:eastAsia="zh-CN"/>
        </w:rPr>
      </w:pPr>
    </w:p>
    <w:p w14:paraId="06B368CB" w14:textId="77777777" w:rsidR="006E0685" w:rsidRDefault="006E0685" w:rsidP="00411C49">
      <w:pPr>
        <w:pStyle w:val="Reasons"/>
      </w:pPr>
    </w:p>
    <w:p w14:paraId="5AE1AFF5" w14:textId="2DD91492" w:rsidR="00195FED" w:rsidRDefault="006E0685" w:rsidP="006E0685">
      <w:pPr>
        <w:jc w:val="center"/>
      </w:pPr>
      <w:r>
        <w:t>______________</w:t>
      </w:r>
    </w:p>
    <w:sectPr w:rsidR="00195FED" w:rsidSect="006C36CD">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4957" w14:textId="77777777" w:rsidR="00CC26C8" w:rsidRDefault="00CC26C8">
      <w:r>
        <w:separator/>
      </w:r>
    </w:p>
  </w:endnote>
  <w:endnote w:type="continuationSeparator" w:id="0">
    <w:p w14:paraId="33D9E617" w14:textId="77777777" w:rsidR="00CC26C8" w:rsidRDefault="00C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A4FFA" w14:textId="77777777" w:rsidR="00795A1C" w:rsidRDefault="00795A1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FD1D" w14:textId="77777777" w:rsidR="00CC26C8" w:rsidRDefault="00CC26C8">
      <w:r>
        <w:t>____________________</w:t>
      </w:r>
    </w:p>
  </w:footnote>
  <w:footnote w:type="continuationSeparator" w:id="0">
    <w:p w14:paraId="74C7A94F" w14:textId="77777777" w:rsidR="00CC26C8" w:rsidRDefault="00CC26C8">
      <w:r>
        <w:continuationSeparator/>
      </w:r>
    </w:p>
  </w:footnote>
  <w:footnote w:id="1">
    <w:p w14:paraId="5E6EF157" w14:textId="52E6A28A" w:rsidR="00795A1C" w:rsidRPr="00441F13" w:rsidRDefault="00795A1C" w:rsidP="00611332">
      <w:pPr>
        <w:pStyle w:val="FootnoteText"/>
        <w:jc w:val="both"/>
        <w:rPr>
          <w:sz w:val="20"/>
          <w:szCs w:val="16"/>
          <w:lang w:eastAsia="zh-CN"/>
        </w:rPr>
      </w:pPr>
      <w:r w:rsidRPr="00B4129E">
        <w:rPr>
          <w:rStyle w:val="FootnoteReference"/>
          <w:szCs w:val="16"/>
        </w:rPr>
        <w:footnoteRef/>
      </w:r>
      <w:r w:rsidRPr="00FD2628">
        <w:rPr>
          <w:sz w:val="20"/>
          <w:lang w:eastAsia="zh-CN"/>
        </w:rPr>
        <w:t xml:space="preserve"> </w:t>
      </w:r>
      <w:r w:rsidRPr="00FD2628">
        <w:rPr>
          <w:sz w:val="20"/>
          <w:lang w:eastAsia="zh-CN"/>
        </w:rPr>
        <w:tab/>
      </w:r>
      <w:r w:rsidRPr="00441F13">
        <w:rPr>
          <w:sz w:val="20"/>
          <w:szCs w:val="16"/>
          <w:lang w:eastAsia="zh-CN"/>
        </w:rPr>
        <w:t>美国反虚假财务报告委员会</w:t>
      </w:r>
      <w:r w:rsidR="00F02FED">
        <w:rPr>
          <w:rFonts w:hint="eastAsia"/>
          <w:sz w:val="20"/>
          <w:szCs w:val="16"/>
          <w:lang w:eastAsia="zh-CN"/>
        </w:rPr>
        <w:t>（</w:t>
      </w:r>
      <w:r w:rsidRPr="00441F13">
        <w:rPr>
          <w:sz w:val="20"/>
          <w:szCs w:val="16"/>
          <w:lang w:eastAsia="zh-CN"/>
        </w:rPr>
        <w:t>Treadway</w:t>
      </w:r>
      <w:r w:rsidR="005C6863">
        <w:rPr>
          <w:sz w:val="20"/>
          <w:szCs w:val="16"/>
          <w:lang w:eastAsia="zh-CN"/>
        </w:rPr>
        <w:t xml:space="preserve"> </w:t>
      </w:r>
      <w:r w:rsidRPr="00441F13">
        <w:rPr>
          <w:sz w:val="20"/>
          <w:szCs w:val="16"/>
          <w:lang w:eastAsia="zh-CN"/>
        </w:rPr>
        <w:t>Commission</w:t>
      </w:r>
      <w:r w:rsidR="00F02FED">
        <w:rPr>
          <w:rFonts w:hint="eastAsia"/>
          <w:sz w:val="20"/>
          <w:szCs w:val="16"/>
          <w:lang w:eastAsia="zh-CN"/>
        </w:rPr>
        <w:t>）</w:t>
      </w:r>
      <w:r w:rsidR="00BB79C8">
        <w:rPr>
          <w:rFonts w:hint="eastAsia"/>
          <w:sz w:val="20"/>
          <w:szCs w:val="16"/>
          <w:lang w:eastAsia="zh-CN"/>
        </w:rPr>
        <w:t>下属的</w:t>
      </w:r>
      <w:r w:rsidRPr="00441F13">
        <w:rPr>
          <w:sz w:val="20"/>
          <w:szCs w:val="16"/>
          <w:lang w:eastAsia="zh-CN"/>
        </w:rPr>
        <w:t>发起</w:t>
      </w:r>
      <w:r w:rsidRPr="00441F13">
        <w:rPr>
          <w:rFonts w:hint="eastAsia"/>
          <w:sz w:val="20"/>
          <w:szCs w:val="16"/>
          <w:lang w:eastAsia="zh-CN"/>
        </w:rPr>
        <w:t>组织</w:t>
      </w:r>
      <w:r w:rsidRPr="00441F13">
        <w:rPr>
          <w:sz w:val="20"/>
          <w:szCs w:val="16"/>
          <w:lang w:eastAsia="zh-CN"/>
        </w:rPr>
        <w:t>委员会</w:t>
      </w:r>
      <w:r w:rsidRPr="00441F13">
        <w:rPr>
          <w:rFonts w:hint="eastAsia"/>
          <w:sz w:val="20"/>
          <w:szCs w:val="16"/>
          <w:lang w:eastAsia="zh-CN"/>
        </w:rPr>
        <w:t>（</w:t>
      </w:r>
      <w:r w:rsidRPr="00441F13">
        <w:rPr>
          <w:rFonts w:hint="eastAsia"/>
          <w:sz w:val="20"/>
          <w:szCs w:val="16"/>
          <w:lang w:eastAsia="zh-CN"/>
        </w:rPr>
        <w:t>COSO</w:t>
      </w:r>
      <w:r w:rsidRPr="00441F13">
        <w:rPr>
          <w:rFonts w:hint="eastAsia"/>
          <w:sz w:val="20"/>
          <w:szCs w:val="16"/>
          <w:lang w:eastAsia="zh-CN"/>
        </w:rPr>
        <w:t>）的文件《企业风险管理</w:t>
      </w:r>
      <w:r w:rsidRPr="00441F13">
        <w:rPr>
          <w:rFonts w:hint="eastAsia"/>
          <w:sz w:val="20"/>
          <w:szCs w:val="16"/>
          <w:lang w:eastAsia="zh-CN"/>
        </w:rPr>
        <w:t xml:space="preserve"> </w:t>
      </w:r>
      <w:r w:rsidRPr="00441F13">
        <w:rPr>
          <w:sz w:val="20"/>
          <w:szCs w:val="16"/>
          <w:lang w:eastAsia="zh-CN"/>
        </w:rPr>
        <w:t xml:space="preserve">– </w:t>
      </w:r>
      <w:r w:rsidRPr="00441F13">
        <w:rPr>
          <w:rFonts w:hint="eastAsia"/>
          <w:sz w:val="20"/>
          <w:szCs w:val="16"/>
          <w:lang w:eastAsia="zh-CN"/>
        </w:rPr>
        <w:t>与战略和绩效整合》</w:t>
      </w:r>
      <w:r w:rsidR="00F02FED">
        <w:rPr>
          <w:rFonts w:hint="eastAsia"/>
          <w:sz w:val="20"/>
          <w:lang w:eastAsia="zh-CN"/>
        </w:rPr>
        <w:t>（</w:t>
      </w:r>
      <w:hyperlink r:id="rId1" w:history="1">
        <w:r w:rsidR="00F02FED" w:rsidRPr="00043A32">
          <w:rPr>
            <w:rStyle w:val="Hyperlink"/>
            <w:sz w:val="20"/>
            <w:lang w:eastAsia="zh-CN"/>
          </w:rPr>
          <w:t>www.coso.org</w:t>
        </w:r>
      </w:hyperlink>
      <w:r w:rsidR="00F02FED">
        <w:rPr>
          <w:rFonts w:hint="eastAsia"/>
          <w:sz w:val="20"/>
          <w:lang w:eastAsia="zh-CN"/>
        </w:rPr>
        <w:t>）</w:t>
      </w:r>
      <w:r w:rsidRPr="00441F13">
        <w:rPr>
          <w:rFonts w:hint="eastAsia"/>
          <w:sz w:val="20"/>
          <w:szCs w:val="16"/>
          <w:lang w:eastAsia="zh-CN"/>
        </w:rPr>
        <w:t>。</w:t>
      </w:r>
      <w:r w:rsidRPr="00441F13">
        <w:rPr>
          <w:rFonts w:hint="eastAsia"/>
          <w:sz w:val="20"/>
          <w:szCs w:val="16"/>
          <w:lang w:eastAsia="zh-CN"/>
        </w:rPr>
        <w:t>COSO</w:t>
      </w:r>
      <w:r w:rsidRPr="00441F13">
        <w:rPr>
          <w:rFonts w:hint="eastAsia"/>
          <w:sz w:val="20"/>
          <w:szCs w:val="16"/>
          <w:lang w:eastAsia="zh-CN"/>
        </w:rPr>
        <w:t>于</w:t>
      </w:r>
      <w:r w:rsidRPr="00441F13">
        <w:rPr>
          <w:rFonts w:hint="eastAsia"/>
          <w:sz w:val="20"/>
          <w:szCs w:val="16"/>
          <w:lang w:eastAsia="zh-CN"/>
        </w:rPr>
        <w:t>2004</w:t>
      </w:r>
      <w:r w:rsidRPr="00441F13">
        <w:rPr>
          <w:rFonts w:hint="eastAsia"/>
          <w:sz w:val="20"/>
          <w:szCs w:val="16"/>
          <w:lang w:eastAsia="zh-CN"/>
        </w:rPr>
        <w:t>年</w:t>
      </w:r>
      <w:r w:rsidRPr="00441F13">
        <w:rPr>
          <w:rFonts w:hint="eastAsia"/>
          <w:sz w:val="20"/>
          <w:szCs w:val="16"/>
          <w:lang w:eastAsia="zh-CN"/>
        </w:rPr>
        <w:t>9</w:t>
      </w:r>
      <w:r w:rsidRPr="00441F13">
        <w:rPr>
          <w:rFonts w:hint="eastAsia"/>
          <w:sz w:val="20"/>
          <w:szCs w:val="16"/>
          <w:lang w:eastAsia="zh-CN"/>
        </w:rPr>
        <w:t>月首次发布了其企业风险管理整合框架，最新修订版于</w:t>
      </w:r>
      <w:r w:rsidRPr="00441F13">
        <w:rPr>
          <w:rFonts w:hint="eastAsia"/>
          <w:sz w:val="20"/>
          <w:szCs w:val="16"/>
          <w:lang w:eastAsia="zh-CN"/>
        </w:rPr>
        <w:t>2017</w:t>
      </w:r>
      <w:r w:rsidRPr="00441F13">
        <w:rPr>
          <w:rFonts w:hint="eastAsia"/>
          <w:sz w:val="20"/>
          <w:szCs w:val="16"/>
          <w:lang w:eastAsia="zh-CN"/>
        </w:rPr>
        <w:t>年</w:t>
      </w:r>
      <w:r w:rsidRPr="00441F13">
        <w:rPr>
          <w:rFonts w:hint="eastAsia"/>
          <w:sz w:val="20"/>
          <w:szCs w:val="16"/>
          <w:lang w:eastAsia="zh-CN"/>
        </w:rPr>
        <w:t>6</w:t>
      </w:r>
      <w:r w:rsidRPr="00441F13">
        <w:rPr>
          <w:rFonts w:hint="eastAsia"/>
          <w:sz w:val="20"/>
          <w:szCs w:val="16"/>
          <w:lang w:eastAsia="zh-CN"/>
        </w:rPr>
        <w:t>月发布。</w:t>
      </w:r>
    </w:p>
  </w:footnote>
  <w:footnote w:id="2">
    <w:p w14:paraId="0F7184A2" w14:textId="29C031C8" w:rsidR="00795A1C" w:rsidRPr="00FD2628" w:rsidRDefault="00795A1C" w:rsidP="00B627D9">
      <w:pPr>
        <w:pStyle w:val="FootnoteText"/>
        <w:rPr>
          <w:lang w:eastAsia="zh-CN"/>
        </w:rPr>
      </w:pPr>
      <w:r>
        <w:rPr>
          <w:rStyle w:val="FootnoteReference"/>
        </w:rPr>
        <w:footnoteRef/>
      </w:r>
      <w:r>
        <w:rPr>
          <w:lang w:eastAsia="zh-CN"/>
        </w:rPr>
        <w:t xml:space="preserve"> </w:t>
      </w:r>
      <w:r w:rsidR="00514B38">
        <w:rPr>
          <w:rFonts w:hint="eastAsia"/>
          <w:lang w:eastAsia="zh-CN"/>
        </w:rPr>
        <w:t>《</w:t>
      </w:r>
      <w:r w:rsidR="00514B38" w:rsidRPr="0084763E">
        <w:rPr>
          <w:rFonts w:hint="eastAsia"/>
          <w:sz w:val="20"/>
          <w:szCs w:val="16"/>
          <w:lang w:eastAsia="zh-CN"/>
        </w:rPr>
        <w:t>有效</w:t>
      </w:r>
      <w:r w:rsidR="00514B38">
        <w:rPr>
          <w:rFonts w:hint="eastAsia"/>
          <w:sz w:val="20"/>
          <w:szCs w:val="16"/>
          <w:lang w:eastAsia="zh-CN"/>
        </w:rPr>
        <w:t>的</w:t>
      </w:r>
      <w:r w:rsidR="00514B38" w:rsidRPr="0084763E">
        <w:rPr>
          <w:rFonts w:hint="eastAsia"/>
          <w:sz w:val="20"/>
          <w:szCs w:val="16"/>
          <w:lang w:eastAsia="zh-CN"/>
        </w:rPr>
        <w:t>风险</w:t>
      </w:r>
      <w:r w:rsidR="00514B38">
        <w:rPr>
          <w:rFonts w:hint="eastAsia"/>
          <w:sz w:val="20"/>
          <w:szCs w:val="16"/>
          <w:lang w:eastAsia="zh-CN"/>
        </w:rPr>
        <w:t>管理和控制</w:t>
      </w:r>
      <w:r w:rsidR="00514B38" w:rsidRPr="0084763E">
        <w:rPr>
          <w:rFonts w:hint="eastAsia"/>
          <w:sz w:val="20"/>
          <w:szCs w:val="16"/>
          <w:lang w:eastAsia="zh-CN"/>
        </w:rPr>
        <w:t>的三道防线</w:t>
      </w:r>
      <w:r w:rsidR="00514B38">
        <w:rPr>
          <w:rFonts w:hint="eastAsia"/>
          <w:lang w:eastAsia="zh-CN"/>
        </w:rPr>
        <w:t>》</w:t>
      </w:r>
      <w:r w:rsidRPr="0084763E">
        <w:rPr>
          <w:rFonts w:hint="eastAsia"/>
          <w:sz w:val="20"/>
          <w:szCs w:val="16"/>
          <w:lang w:eastAsia="zh-CN"/>
        </w:rPr>
        <w:t>（</w:t>
      </w:r>
      <w:r w:rsidRPr="0084763E">
        <w:rPr>
          <w:rFonts w:hint="eastAsia"/>
          <w:sz w:val="20"/>
          <w:szCs w:val="16"/>
          <w:lang w:eastAsia="zh-CN"/>
        </w:rPr>
        <w:t>2013</w:t>
      </w:r>
      <w:r w:rsidRPr="0084763E">
        <w:rPr>
          <w:rFonts w:hint="eastAsia"/>
          <w:sz w:val="20"/>
          <w:szCs w:val="16"/>
          <w:lang w:eastAsia="zh-CN"/>
        </w:rPr>
        <w:t>年</w:t>
      </w:r>
      <w:r w:rsidRPr="0084763E">
        <w:rPr>
          <w:rFonts w:hint="eastAsia"/>
          <w:sz w:val="20"/>
          <w:szCs w:val="16"/>
          <w:lang w:eastAsia="zh-CN"/>
        </w:rPr>
        <w:t>1</w:t>
      </w:r>
      <w:r w:rsidRPr="0084763E">
        <w:rPr>
          <w:rFonts w:hint="eastAsia"/>
          <w:sz w:val="20"/>
          <w:szCs w:val="16"/>
          <w:lang w:eastAsia="zh-CN"/>
        </w:rPr>
        <w:t>月，佛罗里达州阿尔塔蒙特斯普林斯：内部审计师协会）已纳入联合国风险管理、监督和问责</w:t>
      </w:r>
      <w:r w:rsidR="00514B38">
        <w:rPr>
          <w:rFonts w:hint="eastAsia"/>
          <w:sz w:val="20"/>
          <w:szCs w:val="16"/>
          <w:lang w:eastAsia="zh-CN"/>
        </w:rPr>
        <w:t>制</w:t>
      </w:r>
      <w:r w:rsidR="0013229F">
        <w:rPr>
          <w:rFonts w:hint="eastAsia"/>
          <w:sz w:val="20"/>
          <w:szCs w:val="16"/>
          <w:lang w:eastAsia="zh-CN"/>
        </w:rPr>
        <w:t>模型</w:t>
      </w:r>
      <w:r w:rsidRPr="0084763E">
        <w:rPr>
          <w:rFonts w:hint="eastAsia"/>
          <w:sz w:val="20"/>
          <w:szCs w:val="16"/>
          <w:lang w:eastAsia="zh-CN"/>
        </w:rPr>
        <w:t>中。</w:t>
      </w:r>
    </w:p>
  </w:footnote>
  <w:footnote w:id="3">
    <w:p w14:paraId="21D29A6D" w14:textId="65E0D8E0" w:rsidR="00795A1C" w:rsidRPr="006C46AC" w:rsidRDefault="00795A1C" w:rsidP="00B627D9">
      <w:pPr>
        <w:pStyle w:val="FootnoteText"/>
        <w:spacing w:before="0"/>
        <w:rPr>
          <w:sz w:val="20"/>
          <w:lang w:eastAsia="zh-CN"/>
        </w:rPr>
      </w:pPr>
      <w:r w:rsidRPr="00B4129E">
        <w:rPr>
          <w:rStyle w:val="FootnoteReference"/>
          <w:szCs w:val="16"/>
        </w:rPr>
        <w:footnoteRef/>
      </w:r>
      <w:r>
        <w:rPr>
          <w:sz w:val="20"/>
          <w:lang w:eastAsia="zh-CN"/>
        </w:rPr>
        <w:t xml:space="preserve"> </w:t>
      </w:r>
      <w:r>
        <w:rPr>
          <w:sz w:val="20"/>
          <w:lang w:eastAsia="zh-CN"/>
        </w:rPr>
        <w:tab/>
      </w:r>
      <w:r w:rsidRPr="0084763E">
        <w:rPr>
          <w:rFonts w:hint="eastAsia"/>
          <w:sz w:val="20"/>
          <w:lang w:eastAsia="zh-CN"/>
        </w:rPr>
        <w:t>见</w:t>
      </w:r>
      <w:r>
        <w:rPr>
          <w:rFonts w:hint="eastAsia"/>
          <w:sz w:val="20"/>
          <w:lang w:eastAsia="zh-CN"/>
        </w:rPr>
        <w:t>附件</w:t>
      </w:r>
      <w:r>
        <w:rPr>
          <w:rFonts w:hint="eastAsia"/>
          <w:sz w:val="20"/>
          <w:lang w:eastAsia="zh-CN"/>
        </w:rPr>
        <w:t>B</w:t>
      </w:r>
      <w:r>
        <w:rPr>
          <w:rFonts w:hint="eastAsia"/>
          <w:sz w:val="20"/>
          <w:lang w:eastAsia="zh-CN"/>
        </w:rPr>
        <w:t>中</w:t>
      </w:r>
      <w:r w:rsidR="00CF3B48">
        <w:rPr>
          <w:rFonts w:hint="eastAsia"/>
          <w:sz w:val="20"/>
          <w:lang w:eastAsia="zh-CN"/>
        </w:rPr>
        <w:t>《</w:t>
      </w:r>
      <w:r w:rsidR="00CF3B48" w:rsidRPr="0084763E">
        <w:rPr>
          <w:rFonts w:hint="eastAsia"/>
          <w:sz w:val="20"/>
          <w:lang w:eastAsia="zh-CN"/>
        </w:rPr>
        <w:t>国际电联风险偏好</w:t>
      </w:r>
      <w:r w:rsidR="00CF3B48">
        <w:rPr>
          <w:rFonts w:hint="eastAsia"/>
          <w:sz w:val="20"/>
          <w:lang w:eastAsia="zh-CN"/>
        </w:rPr>
        <w:t>陈述书》。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7773" w14:textId="77777777" w:rsidR="00795A1C" w:rsidRDefault="00795A1C" w:rsidP="00CE6F22">
    <w:pPr>
      <w:pStyle w:val="Header"/>
    </w:pPr>
    <w:r>
      <w:fldChar w:fldCharType="begin"/>
    </w:r>
    <w:r>
      <w:instrText>PAGE</w:instrText>
    </w:r>
    <w:r>
      <w:fldChar w:fldCharType="separate"/>
    </w:r>
    <w:r>
      <w:rPr>
        <w:noProof/>
      </w:rPr>
      <w:t>2</w:t>
    </w:r>
    <w:r>
      <w:rPr>
        <w:noProof/>
      </w:rPr>
      <w:fldChar w:fldCharType="end"/>
    </w:r>
  </w:p>
  <w:p w14:paraId="604D4D05" w14:textId="7FA15BA3" w:rsidR="00795A1C" w:rsidRDefault="00795A1C" w:rsidP="00D453EE">
    <w:pPr>
      <w:pStyle w:val="Header"/>
      <w:rPr>
        <w:lang w:eastAsia="zh-CN"/>
      </w:rPr>
    </w:pPr>
    <w:r>
      <w:t>C20/</w:t>
    </w:r>
    <w:r>
      <w:rPr>
        <w:lang w:eastAsia="zh-CN"/>
      </w:rPr>
      <w:t>61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2" w15:restartNumberingAfterBreak="0">
    <w:nsid w:val="0D8B4A83"/>
    <w:multiLevelType w:val="hybridMultilevel"/>
    <w:tmpl w:val="913C1D1C"/>
    <w:lvl w:ilvl="0" w:tplc="A1CA3D96">
      <w:start w:val="1"/>
      <w:numFmt w:val="bullet"/>
      <w:lvlText w:val="-"/>
      <w:lvlJc w:val="left"/>
      <w:pPr>
        <w:ind w:left="1140" w:hanging="420"/>
      </w:pPr>
      <w:rPr>
        <w:rFonts w:ascii="Calibri" w:eastAsia="SimSun" w:hAnsi="Calibri"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0E004E0"/>
    <w:multiLevelType w:val="hybridMultilevel"/>
    <w:tmpl w:val="E7ECCD16"/>
    <w:lvl w:ilvl="0" w:tplc="CA022CDA">
      <w:start w:val="1"/>
      <w:numFmt w:val="decimal"/>
      <w:lvlText w:val="%1."/>
      <w:lvlJc w:val="left"/>
      <w:pPr>
        <w:ind w:left="720" w:hanging="360"/>
      </w:pPr>
      <w:rPr>
        <w:rFonts w:hint="default"/>
      </w:rPr>
    </w:lvl>
    <w:lvl w:ilvl="1" w:tplc="2A02E64C">
      <w:start w:val="1"/>
      <w:numFmt w:val="lowerLetter"/>
      <w:lvlText w:val="%2."/>
      <w:lvlJc w:val="left"/>
      <w:pPr>
        <w:ind w:left="1440" w:hanging="360"/>
      </w:pPr>
    </w:lvl>
    <w:lvl w:ilvl="2" w:tplc="95F0ABD2" w:tentative="1">
      <w:start w:val="1"/>
      <w:numFmt w:val="lowerRoman"/>
      <w:lvlText w:val="%3."/>
      <w:lvlJc w:val="right"/>
      <w:pPr>
        <w:ind w:left="2160" w:hanging="180"/>
      </w:pPr>
    </w:lvl>
    <w:lvl w:ilvl="3" w:tplc="32567B0A" w:tentative="1">
      <w:start w:val="1"/>
      <w:numFmt w:val="decimal"/>
      <w:lvlText w:val="%4."/>
      <w:lvlJc w:val="left"/>
      <w:pPr>
        <w:ind w:left="2880" w:hanging="360"/>
      </w:pPr>
    </w:lvl>
    <w:lvl w:ilvl="4" w:tplc="D01677EA" w:tentative="1">
      <w:start w:val="1"/>
      <w:numFmt w:val="lowerLetter"/>
      <w:lvlText w:val="%5."/>
      <w:lvlJc w:val="left"/>
      <w:pPr>
        <w:ind w:left="3600" w:hanging="360"/>
      </w:pPr>
    </w:lvl>
    <w:lvl w:ilvl="5" w:tplc="BF268B8E" w:tentative="1">
      <w:start w:val="1"/>
      <w:numFmt w:val="lowerRoman"/>
      <w:lvlText w:val="%6."/>
      <w:lvlJc w:val="right"/>
      <w:pPr>
        <w:ind w:left="4320" w:hanging="180"/>
      </w:pPr>
    </w:lvl>
    <w:lvl w:ilvl="6" w:tplc="4FB4FFF4" w:tentative="1">
      <w:start w:val="1"/>
      <w:numFmt w:val="decimal"/>
      <w:lvlText w:val="%7."/>
      <w:lvlJc w:val="left"/>
      <w:pPr>
        <w:ind w:left="5040" w:hanging="360"/>
      </w:pPr>
    </w:lvl>
    <w:lvl w:ilvl="7" w:tplc="D50CD446" w:tentative="1">
      <w:start w:val="1"/>
      <w:numFmt w:val="lowerLetter"/>
      <w:lvlText w:val="%8."/>
      <w:lvlJc w:val="left"/>
      <w:pPr>
        <w:ind w:left="5760" w:hanging="360"/>
      </w:pPr>
    </w:lvl>
    <w:lvl w:ilvl="8" w:tplc="102257C8" w:tentative="1">
      <w:start w:val="1"/>
      <w:numFmt w:val="lowerRoman"/>
      <w:lvlText w:val="%9."/>
      <w:lvlJc w:val="right"/>
      <w:pPr>
        <w:ind w:left="6480" w:hanging="180"/>
      </w:pPr>
    </w:lvl>
  </w:abstractNum>
  <w:abstractNum w:abstractNumId="4" w15:restartNumberingAfterBreak="0">
    <w:nsid w:val="1A2F2C2E"/>
    <w:multiLevelType w:val="hybridMultilevel"/>
    <w:tmpl w:val="28383632"/>
    <w:lvl w:ilvl="0" w:tplc="BE8ED83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61244C"/>
    <w:multiLevelType w:val="hybridMultilevel"/>
    <w:tmpl w:val="4C26E0C0"/>
    <w:lvl w:ilvl="0" w:tplc="0BF2993E">
      <w:numFmt w:val="bullet"/>
      <w:lvlText w:val="-"/>
      <w:lvlJc w:val="left"/>
      <w:pPr>
        <w:ind w:left="360" w:hanging="360"/>
      </w:pPr>
      <w:rPr>
        <w:rFonts w:ascii="Calibri" w:eastAsiaTheme="minorEastAsia" w:hAnsi="Calibri" w:cstheme="minorBidi" w:hint="default"/>
      </w:rPr>
    </w:lvl>
    <w:lvl w:ilvl="1" w:tplc="7812ED62">
      <w:start w:val="1"/>
      <w:numFmt w:val="bullet"/>
      <w:lvlText w:val="o"/>
      <w:lvlJc w:val="left"/>
      <w:pPr>
        <w:ind w:left="1080" w:hanging="360"/>
      </w:pPr>
      <w:rPr>
        <w:rFonts w:ascii="Courier New" w:hAnsi="Courier New" w:cs="Courier New" w:hint="default"/>
      </w:rPr>
    </w:lvl>
    <w:lvl w:ilvl="2" w:tplc="607CE750" w:tentative="1">
      <w:start w:val="1"/>
      <w:numFmt w:val="bullet"/>
      <w:lvlText w:val=""/>
      <w:lvlJc w:val="left"/>
      <w:pPr>
        <w:ind w:left="1800" w:hanging="360"/>
      </w:pPr>
      <w:rPr>
        <w:rFonts w:ascii="Wingdings" w:hAnsi="Wingdings" w:hint="default"/>
      </w:rPr>
    </w:lvl>
    <w:lvl w:ilvl="3" w:tplc="AA5C39E6" w:tentative="1">
      <w:start w:val="1"/>
      <w:numFmt w:val="bullet"/>
      <w:lvlText w:val=""/>
      <w:lvlJc w:val="left"/>
      <w:pPr>
        <w:ind w:left="2520" w:hanging="360"/>
      </w:pPr>
      <w:rPr>
        <w:rFonts w:ascii="Symbol" w:hAnsi="Symbol" w:hint="default"/>
      </w:rPr>
    </w:lvl>
    <w:lvl w:ilvl="4" w:tplc="8C6EDDA2" w:tentative="1">
      <w:start w:val="1"/>
      <w:numFmt w:val="bullet"/>
      <w:lvlText w:val="o"/>
      <w:lvlJc w:val="left"/>
      <w:pPr>
        <w:ind w:left="3240" w:hanging="360"/>
      </w:pPr>
      <w:rPr>
        <w:rFonts w:ascii="Courier New" w:hAnsi="Courier New" w:cs="Courier New" w:hint="default"/>
      </w:rPr>
    </w:lvl>
    <w:lvl w:ilvl="5" w:tplc="16925184" w:tentative="1">
      <w:start w:val="1"/>
      <w:numFmt w:val="bullet"/>
      <w:lvlText w:val=""/>
      <w:lvlJc w:val="left"/>
      <w:pPr>
        <w:ind w:left="3960" w:hanging="360"/>
      </w:pPr>
      <w:rPr>
        <w:rFonts w:ascii="Wingdings" w:hAnsi="Wingdings" w:hint="default"/>
      </w:rPr>
    </w:lvl>
    <w:lvl w:ilvl="6" w:tplc="97DA11B4" w:tentative="1">
      <w:start w:val="1"/>
      <w:numFmt w:val="bullet"/>
      <w:lvlText w:val=""/>
      <w:lvlJc w:val="left"/>
      <w:pPr>
        <w:ind w:left="4680" w:hanging="360"/>
      </w:pPr>
      <w:rPr>
        <w:rFonts w:ascii="Symbol" w:hAnsi="Symbol" w:hint="default"/>
      </w:rPr>
    </w:lvl>
    <w:lvl w:ilvl="7" w:tplc="7FBCD148" w:tentative="1">
      <w:start w:val="1"/>
      <w:numFmt w:val="bullet"/>
      <w:lvlText w:val="o"/>
      <w:lvlJc w:val="left"/>
      <w:pPr>
        <w:ind w:left="5400" w:hanging="360"/>
      </w:pPr>
      <w:rPr>
        <w:rFonts w:ascii="Courier New" w:hAnsi="Courier New" w:cs="Courier New" w:hint="default"/>
      </w:rPr>
    </w:lvl>
    <w:lvl w:ilvl="8" w:tplc="52342AD8" w:tentative="1">
      <w:start w:val="1"/>
      <w:numFmt w:val="bullet"/>
      <w:lvlText w:val=""/>
      <w:lvlJc w:val="left"/>
      <w:pPr>
        <w:ind w:left="6120" w:hanging="360"/>
      </w:pPr>
      <w:rPr>
        <w:rFonts w:ascii="Wingdings" w:hAnsi="Wingdings" w:hint="default"/>
      </w:rPr>
    </w:lvl>
  </w:abstractNum>
  <w:abstractNum w:abstractNumId="7" w15:restartNumberingAfterBreak="0">
    <w:nsid w:val="27EB122F"/>
    <w:multiLevelType w:val="hybridMultilevel"/>
    <w:tmpl w:val="33C45834"/>
    <w:lvl w:ilvl="0" w:tplc="AC24688A">
      <w:start w:val="1"/>
      <w:numFmt w:val="bullet"/>
      <w:lvlText w:val="-"/>
      <w:lvlJc w:val="left"/>
      <w:pPr>
        <w:ind w:left="360" w:hanging="360"/>
      </w:pPr>
      <w:rPr>
        <w:rFonts w:ascii="Calibri" w:eastAsia="SimSun" w:hAnsi="Calibri" w:cs="Times New Roman" w:hint="default"/>
      </w:rPr>
    </w:lvl>
    <w:lvl w:ilvl="1" w:tplc="163EA222" w:tentative="1">
      <w:start w:val="1"/>
      <w:numFmt w:val="bullet"/>
      <w:lvlText w:val="o"/>
      <w:lvlJc w:val="left"/>
      <w:pPr>
        <w:ind w:left="1080" w:hanging="360"/>
      </w:pPr>
      <w:rPr>
        <w:rFonts w:ascii="Courier New" w:hAnsi="Courier New" w:cs="Courier New" w:hint="default"/>
      </w:rPr>
    </w:lvl>
    <w:lvl w:ilvl="2" w:tplc="815419FE" w:tentative="1">
      <w:start w:val="1"/>
      <w:numFmt w:val="bullet"/>
      <w:lvlText w:val=""/>
      <w:lvlJc w:val="left"/>
      <w:pPr>
        <w:ind w:left="1800" w:hanging="360"/>
      </w:pPr>
      <w:rPr>
        <w:rFonts w:ascii="Wingdings" w:hAnsi="Wingdings" w:hint="default"/>
      </w:rPr>
    </w:lvl>
    <w:lvl w:ilvl="3" w:tplc="71680ACC" w:tentative="1">
      <w:start w:val="1"/>
      <w:numFmt w:val="bullet"/>
      <w:lvlText w:val=""/>
      <w:lvlJc w:val="left"/>
      <w:pPr>
        <w:ind w:left="2520" w:hanging="360"/>
      </w:pPr>
      <w:rPr>
        <w:rFonts w:ascii="Symbol" w:hAnsi="Symbol" w:hint="default"/>
      </w:rPr>
    </w:lvl>
    <w:lvl w:ilvl="4" w:tplc="6EAC4926" w:tentative="1">
      <w:start w:val="1"/>
      <w:numFmt w:val="bullet"/>
      <w:lvlText w:val="o"/>
      <w:lvlJc w:val="left"/>
      <w:pPr>
        <w:ind w:left="3240" w:hanging="360"/>
      </w:pPr>
      <w:rPr>
        <w:rFonts w:ascii="Courier New" w:hAnsi="Courier New" w:cs="Courier New" w:hint="default"/>
      </w:rPr>
    </w:lvl>
    <w:lvl w:ilvl="5" w:tplc="A63A855C" w:tentative="1">
      <w:start w:val="1"/>
      <w:numFmt w:val="bullet"/>
      <w:lvlText w:val=""/>
      <w:lvlJc w:val="left"/>
      <w:pPr>
        <w:ind w:left="3960" w:hanging="360"/>
      </w:pPr>
      <w:rPr>
        <w:rFonts w:ascii="Wingdings" w:hAnsi="Wingdings" w:hint="default"/>
      </w:rPr>
    </w:lvl>
    <w:lvl w:ilvl="6" w:tplc="7B34D92A" w:tentative="1">
      <w:start w:val="1"/>
      <w:numFmt w:val="bullet"/>
      <w:lvlText w:val=""/>
      <w:lvlJc w:val="left"/>
      <w:pPr>
        <w:ind w:left="4680" w:hanging="360"/>
      </w:pPr>
      <w:rPr>
        <w:rFonts w:ascii="Symbol" w:hAnsi="Symbol" w:hint="default"/>
      </w:rPr>
    </w:lvl>
    <w:lvl w:ilvl="7" w:tplc="D8B63BF6" w:tentative="1">
      <w:start w:val="1"/>
      <w:numFmt w:val="bullet"/>
      <w:lvlText w:val="o"/>
      <w:lvlJc w:val="left"/>
      <w:pPr>
        <w:ind w:left="5400" w:hanging="360"/>
      </w:pPr>
      <w:rPr>
        <w:rFonts w:ascii="Courier New" w:hAnsi="Courier New" w:cs="Courier New" w:hint="default"/>
      </w:rPr>
    </w:lvl>
    <w:lvl w:ilvl="8" w:tplc="B3B8519C" w:tentative="1">
      <w:start w:val="1"/>
      <w:numFmt w:val="bullet"/>
      <w:lvlText w:val=""/>
      <w:lvlJc w:val="left"/>
      <w:pPr>
        <w:ind w:left="612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285ED0"/>
    <w:multiLevelType w:val="hybridMultilevel"/>
    <w:tmpl w:val="C5A85F3A"/>
    <w:lvl w:ilvl="0" w:tplc="BB30BC8C">
      <w:start w:val="1"/>
      <w:numFmt w:val="lowerLetter"/>
      <w:lvlText w:val="(%1)"/>
      <w:lvlJc w:val="left"/>
      <w:pPr>
        <w:ind w:left="720" w:hanging="360"/>
      </w:pPr>
      <w:rPr>
        <w:rFonts w:hint="default"/>
      </w:rPr>
    </w:lvl>
    <w:lvl w:ilvl="1" w:tplc="DD22F79C" w:tentative="1">
      <w:start w:val="1"/>
      <w:numFmt w:val="lowerLetter"/>
      <w:lvlText w:val="%2."/>
      <w:lvlJc w:val="left"/>
      <w:pPr>
        <w:ind w:left="1440" w:hanging="360"/>
      </w:pPr>
    </w:lvl>
    <w:lvl w:ilvl="2" w:tplc="D3FCEDFE" w:tentative="1">
      <w:start w:val="1"/>
      <w:numFmt w:val="lowerRoman"/>
      <w:lvlText w:val="%3."/>
      <w:lvlJc w:val="right"/>
      <w:pPr>
        <w:ind w:left="2160" w:hanging="180"/>
      </w:pPr>
    </w:lvl>
    <w:lvl w:ilvl="3" w:tplc="E27EBCB2" w:tentative="1">
      <w:start w:val="1"/>
      <w:numFmt w:val="decimal"/>
      <w:lvlText w:val="%4."/>
      <w:lvlJc w:val="left"/>
      <w:pPr>
        <w:ind w:left="2880" w:hanging="360"/>
      </w:pPr>
    </w:lvl>
    <w:lvl w:ilvl="4" w:tplc="8D9897AE" w:tentative="1">
      <w:start w:val="1"/>
      <w:numFmt w:val="lowerLetter"/>
      <w:lvlText w:val="%5."/>
      <w:lvlJc w:val="left"/>
      <w:pPr>
        <w:ind w:left="3600" w:hanging="360"/>
      </w:pPr>
    </w:lvl>
    <w:lvl w:ilvl="5" w:tplc="6108F41E" w:tentative="1">
      <w:start w:val="1"/>
      <w:numFmt w:val="lowerRoman"/>
      <w:lvlText w:val="%6."/>
      <w:lvlJc w:val="right"/>
      <w:pPr>
        <w:ind w:left="4320" w:hanging="180"/>
      </w:pPr>
    </w:lvl>
    <w:lvl w:ilvl="6" w:tplc="D91EDEBC" w:tentative="1">
      <w:start w:val="1"/>
      <w:numFmt w:val="decimal"/>
      <w:lvlText w:val="%7."/>
      <w:lvlJc w:val="left"/>
      <w:pPr>
        <w:ind w:left="5040" w:hanging="360"/>
      </w:pPr>
    </w:lvl>
    <w:lvl w:ilvl="7" w:tplc="5D88B144" w:tentative="1">
      <w:start w:val="1"/>
      <w:numFmt w:val="lowerLetter"/>
      <w:lvlText w:val="%8."/>
      <w:lvlJc w:val="left"/>
      <w:pPr>
        <w:ind w:left="5760" w:hanging="360"/>
      </w:pPr>
    </w:lvl>
    <w:lvl w:ilvl="8" w:tplc="308009DA" w:tentative="1">
      <w:start w:val="1"/>
      <w:numFmt w:val="lowerRoman"/>
      <w:lvlText w:val="%9."/>
      <w:lvlJc w:val="right"/>
      <w:pPr>
        <w:ind w:left="6480" w:hanging="180"/>
      </w:pPr>
    </w:lvl>
  </w:abstractNum>
  <w:abstractNum w:abstractNumId="12" w15:restartNumberingAfterBreak="0">
    <w:nsid w:val="48A93079"/>
    <w:multiLevelType w:val="hybridMultilevel"/>
    <w:tmpl w:val="E22689E8"/>
    <w:lvl w:ilvl="0" w:tplc="3B6E5E38">
      <w:start w:val="1"/>
      <w:numFmt w:val="bullet"/>
      <w:lvlText w:val="-"/>
      <w:lvlJc w:val="left"/>
      <w:pPr>
        <w:ind w:left="360" w:hanging="360"/>
      </w:pPr>
      <w:rPr>
        <w:rFonts w:ascii="Calibri" w:eastAsiaTheme="minorEastAsia" w:hAnsi="Calibri" w:cstheme="minorBidi" w:hint="default"/>
      </w:rPr>
    </w:lvl>
    <w:lvl w:ilvl="1" w:tplc="26B0AE90">
      <w:start w:val="1"/>
      <w:numFmt w:val="bullet"/>
      <w:lvlText w:val="o"/>
      <w:lvlJc w:val="left"/>
      <w:pPr>
        <w:ind w:left="1080" w:hanging="360"/>
      </w:pPr>
      <w:rPr>
        <w:rFonts w:ascii="Courier New" w:hAnsi="Courier New" w:cs="Courier New" w:hint="default"/>
      </w:rPr>
    </w:lvl>
    <w:lvl w:ilvl="2" w:tplc="5D4A4FD8" w:tentative="1">
      <w:start w:val="1"/>
      <w:numFmt w:val="bullet"/>
      <w:lvlText w:val=""/>
      <w:lvlJc w:val="left"/>
      <w:pPr>
        <w:ind w:left="1800" w:hanging="360"/>
      </w:pPr>
      <w:rPr>
        <w:rFonts w:ascii="Wingdings" w:hAnsi="Wingdings" w:hint="default"/>
      </w:rPr>
    </w:lvl>
    <w:lvl w:ilvl="3" w:tplc="853E0B7C" w:tentative="1">
      <w:start w:val="1"/>
      <w:numFmt w:val="bullet"/>
      <w:lvlText w:val=""/>
      <w:lvlJc w:val="left"/>
      <w:pPr>
        <w:ind w:left="2520" w:hanging="360"/>
      </w:pPr>
      <w:rPr>
        <w:rFonts w:ascii="Symbol" w:hAnsi="Symbol" w:hint="default"/>
      </w:rPr>
    </w:lvl>
    <w:lvl w:ilvl="4" w:tplc="D7E4F550" w:tentative="1">
      <w:start w:val="1"/>
      <w:numFmt w:val="bullet"/>
      <w:lvlText w:val="o"/>
      <w:lvlJc w:val="left"/>
      <w:pPr>
        <w:ind w:left="3240" w:hanging="360"/>
      </w:pPr>
      <w:rPr>
        <w:rFonts w:ascii="Courier New" w:hAnsi="Courier New" w:cs="Courier New" w:hint="default"/>
      </w:rPr>
    </w:lvl>
    <w:lvl w:ilvl="5" w:tplc="A5D0A0B4" w:tentative="1">
      <w:start w:val="1"/>
      <w:numFmt w:val="bullet"/>
      <w:lvlText w:val=""/>
      <w:lvlJc w:val="left"/>
      <w:pPr>
        <w:ind w:left="3960" w:hanging="360"/>
      </w:pPr>
      <w:rPr>
        <w:rFonts w:ascii="Wingdings" w:hAnsi="Wingdings" w:hint="default"/>
      </w:rPr>
    </w:lvl>
    <w:lvl w:ilvl="6" w:tplc="A05218E6" w:tentative="1">
      <w:start w:val="1"/>
      <w:numFmt w:val="bullet"/>
      <w:lvlText w:val=""/>
      <w:lvlJc w:val="left"/>
      <w:pPr>
        <w:ind w:left="4680" w:hanging="360"/>
      </w:pPr>
      <w:rPr>
        <w:rFonts w:ascii="Symbol" w:hAnsi="Symbol" w:hint="default"/>
      </w:rPr>
    </w:lvl>
    <w:lvl w:ilvl="7" w:tplc="6EB8092A" w:tentative="1">
      <w:start w:val="1"/>
      <w:numFmt w:val="bullet"/>
      <w:lvlText w:val="o"/>
      <w:lvlJc w:val="left"/>
      <w:pPr>
        <w:ind w:left="5400" w:hanging="360"/>
      </w:pPr>
      <w:rPr>
        <w:rFonts w:ascii="Courier New" w:hAnsi="Courier New" w:cs="Courier New" w:hint="default"/>
      </w:rPr>
    </w:lvl>
    <w:lvl w:ilvl="8" w:tplc="0C740D9A" w:tentative="1">
      <w:start w:val="1"/>
      <w:numFmt w:val="bullet"/>
      <w:lvlText w:val=""/>
      <w:lvlJc w:val="left"/>
      <w:pPr>
        <w:ind w:left="6120" w:hanging="360"/>
      </w:pPr>
      <w:rPr>
        <w:rFonts w:ascii="Wingdings" w:hAnsi="Wingdings" w:hint="default"/>
      </w:rPr>
    </w:lvl>
  </w:abstractNum>
  <w:abstractNum w:abstractNumId="13"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A4B53"/>
    <w:multiLevelType w:val="hybridMultilevel"/>
    <w:tmpl w:val="799E47B0"/>
    <w:lvl w:ilvl="0" w:tplc="B8CE6376">
      <w:start w:val="1"/>
      <w:numFmt w:val="decimal"/>
      <w:lvlText w:val="%1."/>
      <w:lvlJc w:val="left"/>
      <w:pPr>
        <w:ind w:left="360" w:hanging="360"/>
      </w:pPr>
      <w:rPr>
        <w:rFonts w:hint="default"/>
      </w:rPr>
    </w:lvl>
    <w:lvl w:ilvl="1" w:tplc="1B10A3F4" w:tentative="1">
      <w:start w:val="1"/>
      <w:numFmt w:val="lowerLetter"/>
      <w:lvlText w:val="%2."/>
      <w:lvlJc w:val="left"/>
      <w:pPr>
        <w:ind w:left="1080" w:hanging="360"/>
      </w:pPr>
    </w:lvl>
    <w:lvl w:ilvl="2" w:tplc="45F8B408" w:tentative="1">
      <w:start w:val="1"/>
      <w:numFmt w:val="lowerRoman"/>
      <w:lvlText w:val="%3."/>
      <w:lvlJc w:val="right"/>
      <w:pPr>
        <w:ind w:left="1800" w:hanging="180"/>
      </w:pPr>
    </w:lvl>
    <w:lvl w:ilvl="3" w:tplc="090C6D9C" w:tentative="1">
      <w:start w:val="1"/>
      <w:numFmt w:val="decimal"/>
      <w:lvlText w:val="%4."/>
      <w:lvlJc w:val="left"/>
      <w:pPr>
        <w:ind w:left="2520" w:hanging="360"/>
      </w:pPr>
    </w:lvl>
    <w:lvl w:ilvl="4" w:tplc="67D274D2" w:tentative="1">
      <w:start w:val="1"/>
      <w:numFmt w:val="lowerLetter"/>
      <w:lvlText w:val="%5."/>
      <w:lvlJc w:val="left"/>
      <w:pPr>
        <w:ind w:left="3240" w:hanging="360"/>
      </w:pPr>
    </w:lvl>
    <w:lvl w:ilvl="5" w:tplc="337C8A2E" w:tentative="1">
      <w:start w:val="1"/>
      <w:numFmt w:val="lowerRoman"/>
      <w:lvlText w:val="%6."/>
      <w:lvlJc w:val="right"/>
      <w:pPr>
        <w:ind w:left="3960" w:hanging="180"/>
      </w:pPr>
    </w:lvl>
    <w:lvl w:ilvl="6" w:tplc="AAB6722A" w:tentative="1">
      <w:start w:val="1"/>
      <w:numFmt w:val="decimal"/>
      <w:lvlText w:val="%7."/>
      <w:lvlJc w:val="left"/>
      <w:pPr>
        <w:ind w:left="4680" w:hanging="360"/>
      </w:pPr>
    </w:lvl>
    <w:lvl w:ilvl="7" w:tplc="545015D4" w:tentative="1">
      <w:start w:val="1"/>
      <w:numFmt w:val="lowerLetter"/>
      <w:lvlText w:val="%8."/>
      <w:lvlJc w:val="left"/>
      <w:pPr>
        <w:ind w:left="5400" w:hanging="360"/>
      </w:pPr>
    </w:lvl>
    <w:lvl w:ilvl="8" w:tplc="D2C0AF38" w:tentative="1">
      <w:start w:val="1"/>
      <w:numFmt w:val="lowerRoman"/>
      <w:lvlText w:val="%9."/>
      <w:lvlJc w:val="right"/>
      <w:pPr>
        <w:ind w:left="612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15"/>
  </w:num>
  <w:num w:numId="5">
    <w:abstractNumId w:val="17"/>
  </w:num>
  <w:num w:numId="6">
    <w:abstractNumId w:val="16"/>
  </w:num>
  <w:num w:numId="7">
    <w:abstractNumId w:val="5"/>
  </w:num>
  <w:num w:numId="8">
    <w:abstractNumId w:val="9"/>
  </w:num>
  <w:num w:numId="9">
    <w:abstractNumId w:val="3"/>
  </w:num>
  <w:num w:numId="10">
    <w:abstractNumId w:val="12"/>
  </w:num>
  <w:num w:numId="11">
    <w:abstractNumId w:val="7"/>
  </w:num>
  <w:num w:numId="12">
    <w:abstractNumId w:val="6"/>
  </w:num>
  <w:num w:numId="13">
    <w:abstractNumId w:val="14"/>
  </w:num>
  <w:num w:numId="14">
    <w:abstractNumId w:val="1"/>
  </w:num>
  <w:num w:numId="15">
    <w:abstractNumId w:val="13"/>
    <w:lvlOverride w:ilvl="0">
      <w:startOverride w:val="1"/>
    </w:lvlOverride>
  </w:num>
  <w:num w:numId="16">
    <w:abstractNumId w:val="1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B0"/>
    <w:rsid w:val="00001B77"/>
    <w:rsid w:val="0000517A"/>
    <w:rsid w:val="00012C98"/>
    <w:rsid w:val="00016E1C"/>
    <w:rsid w:val="00020DAE"/>
    <w:rsid w:val="00022C97"/>
    <w:rsid w:val="000237C0"/>
    <w:rsid w:val="00031E72"/>
    <w:rsid w:val="000404D2"/>
    <w:rsid w:val="00050D74"/>
    <w:rsid w:val="0006146C"/>
    <w:rsid w:val="00063C8A"/>
    <w:rsid w:val="0006485E"/>
    <w:rsid w:val="00072886"/>
    <w:rsid w:val="00083B88"/>
    <w:rsid w:val="00083C04"/>
    <w:rsid w:val="000853C0"/>
    <w:rsid w:val="00087F16"/>
    <w:rsid w:val="0009409E"/>
    <w:rsid w:val="000A1C21"/>
    <w:rsid w:val="000A618B"/>
    <w:rsid w:val="000A7AD1"/>
    <w:rsid w:val="000B70EE"/>
    <w:rsid w:val="000C08B1"/>
    <w:rsid w:val="000D15EA"/>
    <w:rsid w:val="000D351C"/>
    <w:rsid w:val="000D457E"/>
    <w:rsid w:val="000E5618"/>
    <w:rsid w:val="000E7D80"/>
    <w:rsid w:val="000F22DF"/>
    <w:rsid w:val="000F4956"/>
    <w:rsid w:val="00100D84"/>
    <w:rsid w:val="001115C8"/>
    <w:rsid w:val="00124C9D"/>
    <w:rsid w:val="0013229F"/>
    <w:rsid w:val="00133C6E"/>
    <w:rsid w:val="00145A36"/>
    <w:rsid w:val="00147905"/>
    <w:rsid w:val="00152FFD"/>
    <w:rsid w:val="00157773"/>
    <w:rsid w:val="0016586F"/>
    <w:rsid w:val="00167579"/>
    <w:rsid w:val="0018251A"/>
    <w:rsid w:val="00190272"/>
    <w:rsid w:val="00193244"/>
    <w:rsid w:val="00195C6C"/>
    <w:rsid w:val="00195FED"/>
    <w:rsid w:val="001A4BD6"/>
    <w:rsid w:val="001A7C3E"/>
    <w:rsid w:val="001C2B2B"/>
    <w:rsid w:val="001C6A93"/>
    <w:rsid w:val="001D5A18"/>
    <w:rsid w:val="001E190D"/>
    <w:rsid w:val="001F4699"/>
    <w:rsid w:val="001F77FD"/>
    <w:rsid w:val="00230BBB"/>
    <w:rsid w:val="00242E77"/>
    <w:rsid w:val="00247040"/>
    <w:rsid w:val="00253433"/>
    <w:rsid w:val="00254DD3"/>
    <w:rsid w:val="00271AFD"/>
    <w:rsid w:val="00280EB8"/>
    <w:rsid w:val="00286AA3"/>
    <w:rsid w:val="00293633"/>
    <w:rsid w:val="002A10A8"/>
    <w:rsid w:val="002A6670"/>
    <w:rsid w:val="002D1B26"/>
    <w:rsid w:val="002D2F8C"/>
    <w:rsid w:val="002E66CC"/>
    <w:rsid w:val="00303502"/>
    <w:rsid w:val="003136F1"/>
    <w:rsid w:val="00325C25"/>
    <w:rsid w:val="0032659C"/>
    <w:rsid w:val="00331FEB"/>
    <w:rsid w:val="003410E6"/>
    <w:rsid w:val="0034682F"/>
    <w:rsid w:val="0035448E"/>
    <w:rsid w:val="00360F16"/>
    <w:rsid w:val="00372C8F"/>
    <w:rsid w:val="003760D8"/>
    <w:rsid w:val="00380ECE"/>
    <w:rsid w:val="0038675B"/>
    <w:rsid w:val="00393DDF"/>
    <w:rsid w:val="00397F55"/>
    <w:rsid w:val="003A79BA"/>
    <w:rsid w:val="003B1E06"/>
    <w:rsid w:val="003B405F"/>
    <w:rsid w:val="003B4454"/>
    <w:rsid w:val="003B5630"/>
    <w:rsid w:val="003C2E37"/>
    <w:rsid w:val="003F1415"/>
    <w:rsid w:val="003F435D"/>
    <w:rsid w:val="003F7F25"/>
    <w:rsid w:val="0040144C"/>
    <w:rsid w:val="00403EB7"/>
    <w:rsid w:val="00406A87"/>
    <w:rsid w:val="00421130"/>
    <w:rsid w:val="0042174E"/>
    <w:rsid w:val="00427BA1"/>
    <w:rsid w:val="00430BF0"/>
    <w:rsid w:val="00441F13"/>
    <w:rsid w:val="00451563"/>
    <w:rsid w:val="00461C24"/>
    <w:rsid w:val="00462731"/>
    <w:rsid w:val="004672E6"/>
    <w:rsid w:val="00474ED1"/>
    <w:rsid w:val="00493085"/>
    <w:rsid w:val="00496A42"/>
    <w:rsid w:val="004A36EC"/>
    <w:rsid w:val="004A55D7"/>
    <w:rsid w:val="004B0EE7"/>
    <w:rsid w:val="004B1294"/>
    <w:rsid w:val="004B63CE"/>
    <w:rsid w:val="004B7B26"/>
    <w:rsid w:val="004C2DFF"/>
    <w:rsid w:val="004D163F"/>
    <w:rsid w:val="004D2DEA"/>
    <w:rsid w:val="004E4BFF"/>
    <w:rsid w:val="004F2598"/>
    <w:rsid w:val="00514B38"/>
    <w:rsid w:val="005403F7"/>
    <w:rsid w:val="00540632"/>
    <w:rsid w:val="00540A7B"/>
    <w:rsid w:val="00541CF4"/>
    <w:rsid w:val="005451E8"/>
    <w:rsid w:val="00546895"/>
    <w:rsid w:val="005507F2"/>
    <w:rsid w:val="005541BE"/>
    <w:rsid w:val="005604A4"/>
    <w:rsid w:val="0056601F"/>
    <w:rsid w:val="00572169"/>
    <w:rsid w:val="0057350A"/>
    <w:rsid w:val="005759CC"/>
    <w:rsid w:val="005A72E1"/>
    <w:rsid w:val="005B233F"/>
    <w:rsid w:val="005B25AE"/>
    <w:rsid w:val="005B501E"/>
    <w:rsid w:val="005B7323"/>
    <w:rsid w:val="005C1758"/>
    <w:rsid w:val="005C42A4"/>
    <w:rsid w:val="005C548F"/>
    <w:rsid w:val="005C65B0"/>
    <w:rsid w:val="005C6632"/>
    <w:rsid w:val="005C6863"/>
    <w:rsid w:val="005D1C9E"/>
    <w:rsid w:val="005D21D0"/>
    <w:rsid w:val="005D5E12"/>
    <w:rsid w:val="005E4D41"/>
    <w:rsid w:val="005E7F34"/>
    <w:rsid w:val="005F1AE0"/>
    <w:rsid w:val="005F3B13"/>
    <w:rsid w:val="00600C32"/>
    <w:rsid w:val="00601B37"/>
    <w:rsid w:val="00603BEA"/>
    <w:rsid w:val="00611332"/>
    <w:rsid w:val="00611BA2"/>
    <w:rsid w:val="006127EE"/>
    <w:rsid w:val="00614474"/>
    <w:rsid w:val="006150FF"/>
    <w:rsid w:val="00654257"/>
    <w:rsid w:val="0065435A"/>
    <w:rsid w:val="00654741"/>
    <w:rsid w:val="0066649C"/>
    <w:rsid w:val="00666DB2"/>
    <w:rsid w:val="0067720F"/>
    <w:rsid w:val="00680E7A"/>
    <w:rsid w:val="006A2DD3"/>
    <w:rsid w:val="006A5AF8"/>
    <w:rsid w:val="006B6A7E"/>
    <w:rsid w:val="006C12D0"/>
    <w:rsid w:val="006C36CD"/>
    <w:rsid w:val="006D3950"/>
    <w:rsid w:val="006D73FF"/>
    <w:rsid w:val="006E0685"/>
    <w:rsid w:val="006E782F"/>
    <w:rsid w:val="00700D1F"/>
    <w:rsid w:val="007205CB"/>
    <w:rsid w:val="00720936"/>
    <w:rsid w:val="00726073"/>
    <w:rsid w:val="00734FE8"/>
    <w:rsid w:val="007360CE"/>
    <w:rsid w:val="00755698"/>
    <w:rsid w:val="007570EF"/>
    <w:rsid w:val="00772315"/>
    <w:rsid w:val="00775157"/>
    <w:rsid w:val="007813AE"/>
    <w:rsid w:val="00783D06"/>
    <w:rsid w:val="00793056"/>
    <w:rsid w:val="00794518"/>
    <w:rsid w:val="00795A1C"/>
    <w:rsid w:val="00795CBC"/>
    <w:rsid w:val="007A37DB"/>
    <w:rsid w:val="007B26F6"/>
    <w:rsid w:val="007C0B7B"/>
    <w:rsid w:val="007C3D52"/>
    <w:rsid w:val="007D1F9E"/>
    <w:rsid w:val="007D501F"/>
    <w:rsid w:val="007D5C64"/>
    <w:rsid w:val="007D5EFF"/>
    <w:rsid w:val="007E189D"/>
    <w:rsid w:val="007F65FA"/>
    <w:rsid w:val="00811259"/>
    <w:rsid w:val="00813AA2"/>
    <w:rsid w:val="008173A3"/>
    <w:rsid w:val="00824391"/>
    <w:rsid w:val="00824D00"/>
    <w:rsid w:val="008334EE"/>
    <w:rsid w:val="00833A88"/>
    <w:rsid w:val="008418F5"/>
    <w:rsid w:val="0084763E"/>
    <w:rsid w:val="0086059C"/>
    <w:rsid w:val="00864589"/>
    <w:rsid w:val="008729E9"/>
    <w:rsid w:val="008863C9"/>
    <w:rsid w:val="00890AFB"/>
    <w:rsid w:val="00890FC4"/>
    <w:rsid w:val="00895905"/>
    <w:rsid w:val="008B223F"/>
    <w:rsid w:val="008E6A9D"/>
    <w:rsid w:val="008F098D"/>
    <w:rsid w:val="009164A9"/>
    <w:rsid w:val="00916D67"/>
    <w:rsid w:val="009253B4"/>
    <w:rsid w:val="009258CB"/>
    <w:rsid w:val="00931722"/>
    <w:rsid w:val="0093362E"/>
    <w:rsid w:val="009439CF"/>
    <w:rsid w:val="00944563"/>
    <w:rsid w:val="009472B1"/>
    <w:rsid w:val="00953160"/>
    <w:rsid w:val="009625D8"/>
    <w:rsid w:val="00964221"/>
    <w:rsid w:val="00972954"/>
    <w:rsid w:val="009831DC"/>
    <w:rsid w:val="0098459B"/>
    <w:rsid w:val="00997185"/>
    <w:rsid w:val="009C2458"/>
    <w:rsid w:val="009C4A7B"/>
    <w:rsid w:val="009C6123"/>
    <w:rsid w:val="009E33E9"/>
    <w:rsid w:val="009E649F"/>
    <w:rsid w:val="009F1E3E"/>
    <w:rsid w:val="00A1213C"/>
    <w:rsid w:val="00A12B14"/>
    <w:rsid w:val="00A272FF"/>
    <w:rsid w:val="00A2790F"/>
    <w:rsid w:val="00A36A52"/>
    <w:rsid w:val="00A36D76"/>
    <w:rsid w:val="00A5354B"/>
    <w:rsid w:val="00A66615"/>
    <w:rsid w:val="00A71B57"/>
    <w:rsid w:val="00A75F6C"/>
    <w:rsid w:val="00AA4845"/>
    <w:rsid w:val="00AA4EBD"/>
    <w:rsid w:val="00AB42C1"/>
    <w:rsid w:val="00AB6E32"/>
    <w:rsid w:val="00AB7A67"/>
    <w:rsid w:val="00AC1B58"/>
    <w:rsid w:val="00AC516F"/>
    <w:rsid w:val="00AC59EB"/>
    <w:rsid w:val="00AD1BC4"/>
    <w:rsid w:val="00AE2926"/>
    <w:rsid w:val="00AF4EDF"/>
    <w:rsid w:val="00AF76B1"/>
    <w:rsid w:val="00B0184B"/>
    <w:rsid w:val="00B035CD"/>
    <w:rsid w:val="00B0769D"/>
    <w:rsid w:val="00B15770"/>
    <w:rsid w:val="00B179E1"/>
    <w:rsid w:val="00B217BF"/>
    <w:rsid w:val="00B217F8"/>
    <w:rsid w:val="00B25AEC"/>
    <w:rsid w:val="00B30C23"/>
    <w:rsid w:val="00B32D74"/>
    <w:rsid w:val="00B332EA"/>
    <w:rsid w:val="00B40A53"/>
    <w:rsid w:val="00B45365"/>
    <w:rsid w:val="00B46A65"/>
    <w:rsid w:val="00B54B7F"/>
    <w:rsid w:val="00B60184"/>
    <w:rsid w:val="00B627D9"/>
    <w:rsid w:val="00B62D20"/>
    <w:rsid w:val="00B6689C"/>
    <w:rsid w:val="00B77826"/>
    <w:rsid w:val="00B81E75"/>
    <w:rsid w:val="00BA135D"/>
    <w:rsid w:val="00BB79C8"/>
    <w:rsid w:val="00BC1DC9"/>
    <w:rsid w:val="00BC365F"/>
    <w:rsid w:val="00BD1A5A"/>
    <w:rsid w:val="00BD7087"/>
    <w:rsid w:val="00BD7A9B"/>
    <w:rsid w:val="00BD7BE1"/>
    <w:rsid w:val="00BF3BA7"/>
    <w:rsid w:val="00BF416B"/>
    <w:rsid w:val="00C007C4"/>
    <w:rsid w:val="00C05EEE"/>
    <w:rsid w:val="00C27E15"/>
    <w:rsid w:val="00C35D45"/>
    <w:rsid w:val="00C604EC"/>
    <w:rsid w:val="00C64000"/>
    <w:rsid w:val="00C64BA4"/>
    <w:rsid w:val="00C64E4E"/>
    <w:rsid w:val="00C66E64"/>
    <w:rsid w:val="00C761A0"/>
    <w:rsid w:val="00C85F7E"/>
    <w:rsid w:val="00C90D53"/>
    <w:rsid w:val="00C96ABD"/>
    <w:rsid w:val="00CB1248"/>
    <w:rsid w:val="00CB2218"/>
    <w:rsid w:val="00CC26C8"/>
    <w:rsid w:val="00CC4974"/>
    <w:rsid w:val="00CD47F0"/>
    <w:rsid w:val="00CD5566"/>
    <w:rsid w:val="00CD64D7"/>
    <w:rsid w:val="00CD7114"/>
    <w:rsid w:val="00CE6F22"/>
    <w:rsid w:val="00CF00B7"/>
    <w:rsid w:val="00CF3B48"/>
    <w:rsid w:val="00CF41F6"/>
    <w:rsid w:val="00CF63C9"/>
    <w:rsid w:val="00CF7D3E"/>
    <w:rsid w:val="00D02B4E"/>
    <w:rsid w:val="00D049DE"/>
    <w:rsid w:val="00D16634"/>
    <w:rsid w:val="00D21F11"/>
    <w:rsid w:val="00D2573D"/>
    <w:rsid w:val="00D36817"/>
    <w:rsid w:val="00D426D6"/>
    <w:rsid w:val="00D453EE"/>
    <w:rsid w:val="00D5666C"/>
    <w:rsid w:val="00D60618"/>
    <w:rsid w:val="00D666BC"/>
    <w:rsid w:val="00D70F39"/>
    <w:rsid w:val="00D83542"/>
    <w:rsid w:val="00D92275"/>
    <w:rsid w:val="00D92F45"/>
    <w:rsid w:val="00D94637"/>
    <w:rsid w:val="00D9725C"/>
    <w:rsid w:val="00DA7006"/>
    <w:rsid w:val="00DB0C33"/>
    <w:rsid w:val="00DB20F1"/>
    <w:rsid w:val="00DC6427"/>
    <w:rsid w:val="00DD2469"/>
    <w:rsid w:val="00DD66A1"/>
    <w:rsid w:val="00DE196D"/>
    <w:rsid w:val="00DE348F"/>
    <w:rsid w:val="00DF6B49"/>
    <w:rsid w:val="00E067C5"/>
    <w:rsid w:val="00E12C05"/>
    <w:rsid w:val="00E22CFD"/>
    <w:rsid w:val="00E262C5"/>
    <w:rsid w:val="00E265BF"/>
    <w:rsid w:val="00E315B1"/>
    <w:rsid w:val="00E378D8"/>
    <w:rsid w:val="00E415E6"/>
    <w:rsid w:val="00E43A12"/>
    <w:rsid w:val="00E46044"/>
    <w:rsid w:val="00E46E0A"/>
    <w:rsid w:val="00E645A8"/>
    <w:rsid w:val="00E67C67"/>
    <w:rsid w:val="00E72C5C"/>
    <w:rsid w:val="00E73B7F"/>
    <w:rsid w:val="00E77476"/>
    <w:rsid w:val="00E8228B"/>
    <w:rsid w:val="00EB34DD"/>
    <w:rsid w:val="00EB39D8"/>
    <w:rsid w:val="00EE258C"/>
    <w:rsid w:val="00EE5706"/>
    <w:rsid w:val="00EF1625"/>
    <w:rsid w:val="00EF373D"/>
    <w:rsid w:val="00F00A0F"/>
    <w:rsid w:val="00F02FED"/>
    <w:rsid w:val="00F11595"/>
    <w:rsid w:val="00F1274A"/>
    <w:rsid w:val="00F13BC9"/>
    <w:rsid w:val="00F161D0"/>
    <w:rsid w:val="00F254E9"/>
    <w:rsid w:val="00F33A5F"/>
    <w:rsid w:val="00F357B2"/>
    <w:rsid w:val="00F364AF"/>
    <w:rsid w:val="00F36556"/>
    <w:rsid w:val="00F37CD0"/>
    <w:rsid w:val="00F705DF"/>
    <w:rsid w:val="00F70622"/>
    <w:rsid w:val="00F85624"/>
    <w:rsid w:val="00F85972"/>
    <w:rsid w:val="00F87C05"/>
    <w:rsid w:val="00F93191"/>
    <w:rsid w:val="00F93A17"/>
    <w:rsid w:val="00FA2AF6"/>
    <w:rsid w:val="00FA449C"/>
    <w:rsid w:val="00FA56FB"/>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D02B00"/>
  <w15:docId w15:val="{5FC33DDC-B7D1-4525-ACD5-CA590B1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Style 58,超?级链,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ListTable3-Accent51">
    <w:name w:val="List Table 3 - Accent 51"/>
    <w:basedOn w:val="TableNormal"/>
    <w:uiPriority w:val="48"/>
    <w:rsid w:val="008E6A9D"/>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1Light-Accent1">
    <w:name w:val="List Table 1 Light Accent 1"/>
    <w:basedOn w:val="TableNormal"/>
    <w:uiPriority w:val="46"/>
    <w:rsid w:val="008E6A9D"/>
    <w:rPr>
      <w:rFonts w:ascii="Times New Roman" w:hAnsi="Times New Roman"/>
      <w:lang w:eastAsia="ja-JP"/>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
    <w:name w:val="bri"/>
    <w:basedOn w:val="DefaultParagraphFont"/>
    <w:rsid w:val="003136F1"/>
  </w:style>
  <w:style w:type="character" w:styleId="Emphasis">
    <w:name w:val="Emphasis"/>
    <w:basedOn w:val="DefaultParagraphFont"/>
    <w:uiPriority w:val="20"/>
    <w:qFormat/>
    <w:rsid w:val="00B32D74"/>
    <w:rPr>
      <w:i/>
      <w:iCs/>
    </w:rPr>
  </w:style>
  <w:style w:type="paragraph" w:styleId="BalloonText">
    <w:name w:val="Balloon Text"/>
    <w:basedOn w:val="Normal"/>
    <w:link w:val="BalloonTextChar"/>
    <w:semiHidden/>
    <w:unhideWhenUsed/>
    <w:rsid w:val="004D2DEA"/>
    <w:pPr>
      <w:spacing w:before="0"/>
    </w:pPr>
    <w:rPr>
      <w:sz w:val="18"/>
      <w:szCs w:val="18"/>
    </w:rPr>
  </w:style>
  <w:style w:type="character" w:customStyle="1" w:styleId="BalloonTextChar">
    <w:name w:val="Balloon Text Char"/>
    <w:basedOn w:val="DefaultParagraphFont"/>
    <w:link w:val="BalloonText"/>
    <w:semiHidden/>
    <w:rsid w:val="004D2DEA"/>
    <w:rPr>
      <w:rFonts w:ascii="Calibri" w:hAnsi="Calibri"/>
      <w:sz w:val="18"/>
      <w:szCs w:val="18"/>
      <w:lang w:val="en-GB" w:eastAsia="en-US"/>
    </w:rPr>
  </w:style>
  <w:style w:type="character" w:customStyle="1" w:styleId="ListParagraphChar">
    <w:name w:val="List Paragraph Char"/>
    <w:basedOn w:val="DefaultParagraphFont"/>
    <w:link w:val="ListParagraph"/>
    <w:uiPriority w:val="34"/>
    <w:rsid w:val="007D501F"/>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F0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tu.int/md/S17-CL-C-0073/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s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A32A-8400-44F0-8EA5-4BC7046F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0</TotalTime>
  <Pages>11</Pages>
  <Words>7691</Words>
  <Characters>1073</Characters>
  <Application>Microsoft Office Word</Application>
  <DocSecurity>4</DocSecurity>
  <Lines>8</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Kong, Hongli</dc:creator>
  <cp:keywords>C2018, C18</cp:keywords>
  <dc:description/>
  <cp:lastModifiedBy>Janin, Patricia</cp:lastModifiedBy>
  <cp:revision>2</cp:revision>
  <cp:lastPrinted>2015-02-24T13:23:00Z</cp:lastPrinted>
  <dcterms:created xsi:type="dcterms:W3CDTF">2020-06-03T12:13:00Z</dcterms:created>
  <dcterms:modified xsi:type="dcterms:W3CDTF">2020-06-03T12:13:00Z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