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AF0EBE7" w14:textId="77777777" w:rsidTr="009F66A3">
        <w:trPr>
          <w:cantSplit/>
          <w:trHeight w:val="1276"/>
        </w:trPr>
        <w:tc>
          <w:tcPr>
            <w:tcW w:w="6911" w:type="dxa"/>
          </w:tcPr>
          <w:p w14:paraId="551BCC5A"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267B802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291BC86C" wp14:editId="29E4B1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A2DEC92" w14:textId="77777777" w:rsidTr="00464B6C">
        <w:trPr>
          <w:cantSplit/>
        </w:trPr>
        <w:tc>
          <w:tcPr>
            <w:tcW w:w="6911" w:type="dxa"/>
            <w:tcBorders>
              <w:bottom w:val="single" w:sz="12" w:space="0" w:color="auto"/>
            </w:tcBorders>
          </w:tcPr>
          <w:p w14:paraId="3796E78B"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33D8541" w14:textId="77777777" w:rsidR="002A2188" w:rsidRPr="00813E5E" w:rsidRDefault="002A2188" w:rsidP="00464B6C">
            <w:pPr>
              <w:spacing w:before="0" w:line="240" w:lineRule="atLeast"/>
              <w:rPr>
                <w:szCs w:val="24"/>
              </w:rPr>
            </w:pPr>
          </w:p>
        </w:tc>
      </w:tr>
      <w:tr w:rsidR="002A2188" w:rsidRPr="00813E5E" w14:paraId="33AEA105" w14:textId="77777777" w:rsidTr="00464B6C">
        <w:trPr>
          <w:cantSplit/>
        </w:trPr>
        <w:tc>
          <w:tcPr>
            <w:tcW w:w="6911" w:type="dxa"/>
            <w:tcBorders>
              <w:top w:val="single" w:sz="12" w:space="0" w:color="auto"/>
            </w:tcBorders>
          </w:tcPr>
          <w:p w14:paraId="2ED994B3" w14:textId="77777777" w:rsidR="002A2188" w:rsidRPr="00813E5E" w:rsidRDefault="002A2188" w:rsidP="00876816">
            <w:pPr>
              <w:spacing w:before="0"/>
              <w:rPr>
                <w:b/>
                <w:smallCaps/>
                <w:szCs w:val="24"/>
              </w:rPr>
            </w:pPr>
          </w:p>
        </w:tc>
        <w:tc>
          <w:tcPr>
            <w:tcW w:w="3120" w:type="dxa"/>
            <w:tcBorders>
              <w:top w:val="single" w:sz="12" w:space="0" w:color="auto"/>
            </w:tcBorders>
          </w:tcPr>
          <w:p w14:paraId="6C2A73F0" w14:textId="77777777" w:rsidR="002A2188" w:rsidRPr="00813E5E" w:rsidRDefault="002A2188" w:rsidP="00876816">
            <w:pPr>
              <w:spacing w:before="0"/>
              <w:rPr>
                <w:szCs w:val="24"/>
              </w:rPr>
            </w:pPr>
          </w:p>
        </w:tc>
      </w:tr>
      <w:tr w:rsidR="002A2188" w:rsidRPr="00813E5E" w14:paraId="5B2CADF5" w14:textId="77777777" w:rsidTr="00464B6C">
        <w:trPr>
          <w:cantSplit/>
          <w:trHeight w:val="23"/>
        </w:trPr>
        <w:tc>
          <w:tcPr>
            <w:tcW w:w="6911" w:type="dxa"/>
            <w:vMerge w:val="restart"/>
          </w:tcPr>
          <w:p w14:paraId="4D6406C5" w14:textId="72174474" w:rsidR="002A2188" w:rsidRPr="00E85629" w:rsidRDefault="00876816" w:rsidP="00876816">
            <w:pPr>
              <w:tabs>
                <w:tab w:val="left" w:pos="851"/>
              </w:tabs>
              <w:spacing w:before="0" w:line="240" w:lineRule="atLeast"/>
              <w:rPr>
                <w:b/>
              </w:rPr>
            </w:pPr>
            <w:bookmarkStart w:id="2" w:name="dmeeting" w:colFirst="0" w:colLast="0"/>
            <w:bookmarkStart w:id="3" w:name="dnum" w:colFirst="1" w:colLast="1"/>
            <w:r>
              <w:rPr>
                <w:b/>
              </w:rPr>
              <w:t xml:space="preserve">Agenda item: </w:t>
            </w:r>
            <w:r w:rsidR="00312656">
              <w:rPr>
                <w:b/>
              </w:rPr>
              <w:t>ADM 27</w:t>
            </w:r>
          </w:p>
        </w:tc>
        <w:tc>
          <w:tcPr>
            <w:tcW w:w="3120" w:type="dxa"/>
          </w:tcPr>
          <w:p w14:paraId="11649820" w14:textId="2ABDBA87" w:rsidR="002A2188" w:rsidRPr="00E85629" w:rsidRDefault="009F66A3" w:rsidP="00876816">
            <w:pPr>
              <w:tabs>
                <w:tab w:val="left" w:pos="851"/>
              </w:tabs>
              <w:spacing w:before="0" w:line="240" w:lineRule="atLeast"/>
              <w:rPr>
                <w:b/>
              </w:rPr>
            </w:pPr>
            <w:r>
              <w:rPr>
                <w:b/>
              </w:rPr>
              <w:t>Document C20</w:t>
            </w:r>
            <w:r w:rsidR="002A2188">
              <w:rPr>
                <w:b/>
              </w:rPr>
              <w:t>/</w:t>
            </w:r>
            <w:r w:rsidR="00312656">
              <w:rPr>
                <w:b/>
              </w:rPr>
              <w:t>60</w:t>
            </w:r>
            <w:r w:rsidR="002A2188">
              <w:rPr>
                <w:b/>
              </w:rPr>
              <w:t>-E</w:t>
            </w:r>
          </w:p>
        </w:tc>
      </w:tr>
      <w:tr w:rsidR="002A2188" w:rsidRPr="00813E5E" w14:paraId="1D28E65F" w14:textId="77777777" w:rsidTr="00464B6C">
        <w:trPr>
          <w:cantSplit/>
          <w:trHeight w:val="23"/>
        </w:trPr>
        <w:tc>
          <w:tcPr>
            <w:tcW w:w="6911" w:type="dxa"/>
            <w:vMerge/>
          </w:tcPr>
          <w:p w14:paraId="5C1A81E5" w14:textId="77777777" w:rsidR="002A2188" w:rsidRPr="00813E5E" w:rsidRDefault="002A2188" w:rsidP="00876816">
            <w:pPr>
              <w:tabs>
                <w:tab w:val="left" w:pos="851"/>
              </w:tabs>
              <w:spacing w:before="0" w:line="240" w:lineRule="atLeast"/>
              <w:rPr>
                <w:b/>
              </w:rPr>
            </w:pPr>
            <w:bookmarkStart w:id="4" w:name="ddate" w:colFirst="1" w:colLast="1"/>
            <w:bookmarkEnd w:id="2"/>
            <w:bookmarkEnd w:id="3"/>
          </w:p>
        </w:tc>
        <w:tc>
          <w:tcPr>
            <w:tcW w:w="3120" w:type="dxa"/>
          </w:tcPr>
          <w:p w14:paraId="7FF60BA0" w14:textId="7ED0E593" w:rsidR="002A2188" w:rsidRPr="00E85629" w:rsidRDefault="00312656" w:rsidP="00876816">
            <w:pPr>
              <w:tabs>
                <w:tab w:val="left" w:pos="993"/>
              </w:tabs>
              <w:spacing w:before="0"/>
              <w:rPr>
                <w:b/>
              </w:rPr>
            </w:pPr>
            <w:r>
              <w:rPr>
                <w:b/>
              </w:rPr>
              <w:t>17</w:t>
            </w:r>
            <w:r w:rsidR="00745A92">
              <w:rPr>
                <w:b/>
              </w:rPr>
              <w:t xml:space="preserve"> April</w:t>
            </w:r>
            <w:r w:rsidR="002A2188">
              <w:rPr>
                <w:b/>
              </w:rPr>
              <w:t xml:space="preserve"> 20</w:t>
            </w:r>
            <w:r w:rsidR="009F66A3">
              <w:rPr>
                <w:b/>
              </w:rPr>
              <w:t>20</w:t>
            </w:r>
          </w:p>
        </w:tc>
      </w:tr>
      <w:tr w:rsidR="002A2188" w:rsidRPr="00813E5E" w14:paraId="75214AB8" w14:textId="77777777" w:rsidTr="00464B6C">
        <w:trPr>
          <w:cantSplit/>
          <w:trHeight w:val="23"/>
        </w:trPr>
        <w:tc>
          <w:tcPr>
            <w:tcW w:w="6911" w:type="dxa"/>
            <w:vMerge/>
          </w:tcPr>
          <w:p w14:paraId="451A9E0F" w14:textId="77777777" w:rsidR="002A2188" w:rsidRPr="00813E5E" w:rsidRDefault="002A2188" w:rsidP="00876816">
            <w:pPr>
              <w:tabs>
                <w:tab w:val="left" w:pos="851"/>
              </w:tabs>
              <w:spacing w:before="0" w:line="240" w:lineRule="atLeast"/>
              <w:rPr>
                <w:b/>
              </w:rPr>
            </w:pPr>
            <w:bookmarkStart w:id="5" w:name="dorlang" w:colFirst="1" w:colLast="1"/>
            <w:bookmarkEnd w:id="4"/>
          </w:p>
        </w:tc>
        <w:tc>
          <w:tcPr>
            <w:tcW w:w="3120" w:type="dxa"/>
          </w:tcPr>
          <w:p w14:paraId="292E6D3B" w14:textId="77777777" w:rsidR="002A2188" w:rsidRPr="00E85629" w:rsidRDefault="002A2188" w:rsidP="00876816">
            <w:pPr>
              <w:tabs>
                <w:tab w:val="left" w:pos="993"/>
              </w:tabs>
              <w:spacing w:before="0"/>
              <w:rPr>
                <w:b/>
              </w:rPr>
            </w:pPr>
            <w:r>
              <w:rPr>
                <w:b/>
              </w:rPr>
              <w:t>Original: English</w:t>
            </w:r>
          </w:p>
        </w:tc>
      </w:tr>
      <w:tr w:rsidR="002A2188" w:rsidRPr="00813E5E" w14:paraId="3EAE072E" w14:textId="77777777" w:rsidTr="00464B6C">
        <w:trPr>
          <w:cantSplit/>
        </w:trPr>
        <w:tc>
          <w:tcPr>
            <w:tcW w:w="10031" w:type="dxa"/>
            <w:gridSpan w:val="2"/>
          </w:tcPr>
          <w:p w14:paraId="193C7054" w14:textId="54984080" w:rsidR="002A2188" w:rsidRPr="00813E5E" w:rsidRDefault="00952207" w:rsidP="00952207">
            <w:pPr>
              <w:pStyle w:val="Source"/>
            </w:pPr>
            <w:bookmarkStart w:id="6" w:name="dsource" w:colFirst="0" w:colLast="0"/>
            <w:bookmarkEnd w:id="5"/>
            <w:r>
              <w:t>Report by the Secretary-General</w:t>
            </w:r>
          </w:p>
        </w:tc>
      </w:tr>
      <w:tr w:rsidR="002A2188" w:rsidRPr="00813E5E" w14:paraId="48E9280F" w14:textId="77777777" w:rsidTr="00464B6C">
        <w:trPr>
          <w:cantSplit/>
        </w:trPr>
        <w:tc>
          <w:tcPr>
            <w:tcW w:w="10031" w:type="dxa"/>
            <w:gridSpan w:val="2"/>
          </w:tcPr>
          <w:p w14:paraId="3556402F" w14:textId="33DF55C4" w:rsidR="002A2188" w:rsidRPr="00312656" w:rsidRDefault="00DD2179" w:rsidP="00952207">
            <w:pPr>
              <w:pStyle w:val="Title1"/>
            </w:pPr>
            <w:bookmarkStart w:id="7" w:name="_Hlk38265546"/>
            <w:bookmarkStart w:id="8" w:name="dtitle1" w:colFirst="0" w:colLast="0"/>
            <w:bookmarkEnd w:id="6"/>
            <w:r w:rsidRPr="00312656">
              <w:rPr>
                <w:smallCaps/>
                <w:szCs w:val="24"/>
                <w:lang w:val="en-US"/>
              </w:rPr>
              <w:t xml:space="preserve">CREATION AND FUNDING OF </w:t>
            </w:r>
            <w:r w:rsidR="00CB31CC" w:rsidRPr="00312656">
              <w:rPr>
                <w:smallCaps/>
                <w:szCs w:val="24"/>
                <w:lang w:val="en-US"/>
              </w:rPr>
              <w:t>a New Investigation Function</w:t>
            </w:r>
            <w:bookmarkEnd w:id="7"/>
          </w:p>
        </w:tc>
      </w:tr>
      <w:bookmarkEnd w:id="8"/>
    </w:tbl>
    <w:p w14:paraId="33B2B14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A27C43" w14:paraId="34F6774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2018FB46" w14:textId="77777777" w:rsidR="00745A92" w:rsidRDefault="00745A92" w:rsidP="00745A92">
            <w:pPr>
              <w:pStyle w:val="Headingb"/>
              <w:jc w:val="both"/>
            </w:pPr>
            <w:r>
              <w:t>Summary</w:t>
            </w:r>
          </w:p>
          <w:p w14:paraId="34D48A31" w14:textId="77777777" w:rsidR="00B239AA" w:rsidRPr="00CB31CC" w:rsidRDefault="00B239AA" w:rsidP="00E943D5">
            <w:pPr>
              <w:pStyle w:val="ListParagraph"/>
              <w:tabs>
                <w:tab w:val="clear" w:pos="567"/>
                <w:tab w:val="left" w:pos="709"/>
              </w:tabs>
              <w:spacing w:after="120"/>
              <w:ind w:left="0"/>
              <w:contextualSpacing w:val="0"/>
              <w:jc w:val="both"/>
              <w:rPr>
                <w:lang w:val="en-US"/>
              </w:rPr>
            </w:pPr>
            <w:r w:rsidRPr="00CB31CC">
              <w:rPr>
                <w:lang w:val="en-US"/>
              </w:rPr>
              <w:t>The fraud case in a Regional Office underscored the importance of strengthening internal controls within ITU. In parallel, ITU has experienced in the last 18-20 months a stiff increase in reports of potential misconduct. Investigating such cases is not only necessary as a matter of ethics and good governance but, in fact, a legal obligation whenever allegations are sufficiently credible. Moreover, such cases entail significant reputational and financial risk.</w:t>
            </w:r>
          </w:p>
          <w:p w14:paraId="796C745C" w14:textId="4C64CE1E" w:rsidR="00745A92" w:rsidRDefault="00EA20B6">
            <w:pPr>
              <w:spacing w:after="120"/>
              <w:jc w:val="both"/>
              <w:rPr>
                <w:rFonts w:asciiTheme="minorHAnsi" w:hAnsiTheme="minorHAnsi"/>
                <w:b/>
                <w:bCs/>
                <w:lang w:val="en-US"/>
              </w:rPr>
            </w:pPr>
            <w:r w:rsidRPr="00AD582B">
              <w:rPr>
                <w:lang w:val="en-US"/>
              </w:rPr>
              <w:t>The creation of a full-time dedicated investigator position is an unambiguous sign that ITU seriously intends to tackle misconduct. Likewise, it demonstrates top management’s determination to address unethical behavior and to uphold the Secretary-General’s commitment to observe a zero-tolerance policy vis-à-vis certain acts such as sexual harassment and fraud</w:t>
            </w:r>
            <w:r w:rsidR="00B4540C">
              <w:rPr>
                <w:lang w:val="en-US"/>
              </w:rPr>
              <w:t>.</w:t>
            </w:r>
            <w:r w:rsidR="00457F16">
              <w:rPr>
                <w:lang w:val="en-US"/>
              </w:rPr>
              <w:t xml:space="preserve"> Such creation</w:t>
            </w:r>
            <w:r w:rsidR="00455D47">
              <w:rPr>
                <w:lang w:val="en-US"/>
              </w:rPr>
              <w:t xml:space="preserve"> also brings the ITU in line with best practices within the UN common system.</w:t>
            </w:r>
          </w:p>
          <w:p w14:paraId="50B8D5A5" w14:textId="77777777" w:rsidR="00745A92" w:rsidRDefault="00745A92" w:rsidP="00745A92">
            <w:pPr>
              <w:pStyle w:val="Headingb"/>
              <w:keepNext w:val="0"/>
              <w:keepLines w:val="0"/>
              <w:spacing w:before="120" w:after="120"/>
              <w:jc w:val="both"/>
              <w:rPr>
                <w:rFonts w:asciiTheme="minorHAnsi" w:hAnsiTheme="minorHAnsi" w:cstheme="minorHAnsi"/>
              </w:rPr>
            </w:pPr>
            <w:r>
              <w:rPr>
                <w:rFonts w:asciiTheme="minorHAnsi" w:hAnsiTheme="minorHAnsi" w:cstheme="minorHAnsi"/>
              </w:rPr>
              <w:t>Action required</w:t>
            </w:r>
          </w:p>
          <w:p w14:paraId="50D4C25B" w14:textId="743511C6" w:rsidR="00745A92" w:rsidRDefault="00271D86" w:rsidP="00745A92">
            <w:pPr>
              <w:spacing w:after="120"/>
              <w:jc w:val="both"/>
              <w:rPr>
                <w:rFonts w:asciiTheme="minorHAnsi" w:hAnsiTheme="minorHAnsi"/>
                <w:lang w:val="en-US"/>
              </w:rPr>
            </w:pPr>
            <w:r>
              <w:rPr>
                <w:lang w:val="en-US"/>
              </w:rPr>
              <w:t xml:space="preserve">The </w:t>
            </w:r>
            <w:r w:rsidR="00EA20B6" w:rsidRPr="00CB31CC">
              <w:rPr>
                <w:lang w:val="en-US"/>
              </w:rPr>
              <w:t xml:space="preserve">Council </w:t>
            </w:r>
            <w:r w:rsidR="00EA20B6">
              <w:rPr>
                <w:lang w:val="en-US"/>
              </w:rPr>
              <w:t xml:space="preserve">is invited to </w:t>
            </w:r>
            <w:r w:rsidR="00EA20B6" w:rsidRPr="00312656">
              <w:rPr>
                <w:b/>
                <w:bCs/>
                <w:lang w:val="en-US"/>
              </w:rPr>
              <w:t>endorse</w:t>
            </w:r>
            <w:r w:rsidR="00EA20B6">
              <w:rPr>
                <w:lang w:val="en-US"/>
              </w:rPr>
              <w:t xml:space="preserve"> </w:t>
            </w:r>
            <w:r w:rsidR="00EA20B6" w:rsidRPr="00CB31CC">
              <w:rPr>
                <w:lang w:val="en-US"/>
              </w:rPr>
              <w:t xml:space="preserve">the </w:t>
            </w:r>
            <w:r w:rsidR="005E7F08">
              <w:rPr>
                <w:lang w:val="en-US"/>
              </w:rPr>
              <w:t xml:space="preserve">reinforcement </w:t>
            </w:r>
            <w:r w:rsidR="00EA20B6" w:rsidRPr="00CB31CC">
              <w:rPr>
                <w:lang w:val="en-US"/>
              </w:rPr>
              <w:t xml:space="preserve">of </w:t>
            </w:r>
            <w:r w:rsidR="005E7F08">
              <w:rPr>
                <w:lang w:val="en-US"/>
              </w:rPr>
              <w:t>ITU’s</w:t>
            </w:r>
            <w:r w:rsidR="00EA20B6" w:rsidRPr="00CB31CC">
              <w:rPr>
                <w:lang w:val="en-US"/>
              </w:rPr>
              <w:t xml:space="preserve"> investigation function, through the creation of a dedicated position</w:t>
            </w:r>
            <w:r w:rsidR="00EA20B6">
              <w:rPr>
                <w:lang w:val="en-US"/>
              </w:rPr>
              <w:t xml:space="preserve">, at the </w:t>
            </w:r>
            <w:r w:rsidR="004D1DB5">
              <w:rPr>
                <w:lang w:val="en-US"/>
              </w:rPr>
              <w:t xml:space="preserve">P.5 or </w:t>
            </w:r>
            <w:r w:rsidR="00EA20B6">
              <w:rPr>
                <w:lang w:val="en-US"/>
              </w:rPr>
              <w:t>P</w:t>
            </w:r>
            <w:r w:rsidR="004D1DB5">
              <w:rPr>
                <w:lang w:val="en-US"/>
              </w:rPr>
              <w:t>.</w:t>
            </w:r>
            <w:r w:rsidR="00EA20B6">
              <w:rPr>
                <w:lang w:val="en-US"/>
              </w:rPr>
              <w:t>4 level,</w:t>
            </w:r>
            <w:r w:rsidR="00EA20B6" w:rsidRPr="00CB31CC">
              <w:rPr>
                <w:lang w:val="en-US"/>
              </w:rPr>
              <w:t xml:space="preserve"> being placed in the Office of the Secretary-General and under his supervision</w:t>
            </w:r>
            <w:r w:rsidR="00EA20B6">
              <w:rPr>
                <w:lang w:val="en-US"/>
              </w:rPr>
              <w:t>, to be financed through a withdrawal from the Reserve Account</w:t>
            </w:r>
            <w:r w:rsidR="00745A92">
              <w:rPr>
                <w:rFonts w:asciiTheme="minorHAnsi" w:hAnsiTheme="minorHAnsi"/>
                <w:lang w:val="en-US"/>
              </w:rPr>
              <w:t>.</w:t>
            </w:r>
          </w:p>
          <w:p w14:paraId="0D3108BC" w14:textId="77777777" w:rsidR="00745A92" w:rsidRPr="00E943D5" w:rsidRDefault="00745A92" w:rsidP="00745A92">
            <w:pPr>
              <w:pStyle w:val="Table"/>
              <w:keepNext w:val="0"/>
              <w:overflowPunct w:val="0"/>
              <w:autoSpaceDE w:val="0"/>
              <w:autoSpaceDN w:val="0"/>
              <w:adjustRightInd w:val="0"/>
              <w:spacing w:before="120"/>
              <w:textAlignment w:val="baseline"/>
              <w:rPr>
                <w:rFonts w:asciiTheme="minorHAnsi" w:hAnsiTheme="minorHAnsi" w:cstheme="minorHAnsi"/>
                <w:bCs/>
                <w:caps w:val="0"/>
                <w:lang w:val="en-US"/>
              </w:rPr>
            </w:pPr>
            <w:r w:rsidRPr="00E943D5">
              <w:rPr>
                <w:rFonts w:asciiTheme="minorHAnsi" w:hAnsiTheme="minorHAnsi" w:cstheme="minorHAnsi"/>
                <w:bCs/>
                <w:caps w:val="0"/>
                <w:lang w:val="en-US"/>
              </w:rPr>
              <w:t>____________</w:t>
            </w:r>
          </w:p>
          <w:p w14:paraId="2D28C873" w14:textId="77777777" w:rsidR="00745A92" w:rsidRPr="00E943D5" w:rsidRDefault="00745A92" w:rsidP="00745A92">
            <w:pPr>
              <w:pStyle w:val="Headingb"/>
              <w:keepNext w:val="0"/>
              <w:keepLines w:val="0"/>
              <w:spacing w:before="120" w:after="120"/>
              <w:rPr>
                <w:rFonts w:asciiTheme="minorHAnsi" w:hAnsiTheme="minorHAnsi" w:cstheme="minorHAnsi"/>
                <w:lang w:val="en-US"/>
              </w:rPr>
            </w:pPr>
            <w:r w:rsidRPr="00E943D5">
              <w:rPr>
                <w:rFonts w:asciiTheme="minorHAnsi" w:hAnsiTheme="minorHAnsi" w:cstheme="minorHAnsi"/>
                <w:lang w:val="en-US"/>
              </w:rPr>
              <w:t>References</w:t>
            </w:r>
          </w:p>
          <w:p w14:paraId="3523CA9F" w14:textId="77777777" w:rsidR="00312656" w:rsidRDefault="00A27C43" w:rsidP="00E66E65">
            <w:pPr>
              <w:rPr>
                <w:lang w:val="en-US"/>
              </w:rPr>
            </w:pPr>
            <w:r w:rsidRPr="00A27C43">
              <w:rPr>
                <w:lang w:val="en-US"/>
              </w:rPr>
              <w:t xml:space="preserve">Document </w:t>
            </w:r>
            <w:hyperlink r:id="rId12" w:history="1">
              <w:r w:rsidRPr="00312656">
                <w:rPr>
                  <w:rStyle w:val="Hyperlink"/>
                  <w:lang w:val="en-US"/>
                </w:rPr>
                <w:t>CWG-FHR-11/15</w:t>
              </w:r>
            </w:hyperlink>
            <w:r w:rsidRPr="00A27C43">
              <w:rPr>
                <w:lang w:val="en-US"/>
              </w:rPr>
              <w:t xml:space="preserve">: </w:t>
            </w:r>
            <w:r>
              <w:rPr>
                <w:lang w:val="en-US"/>
              </w:rPr>
              <w:t xml:space="preserve">Contribution by the United States - </w:t>
            </w:r>
            <w:r w:rsidRPr="00A27C43">
              <w:rPr>
                <w:lang w:val="en-US"/>
              </w:rPr>
              <w:t>p</w:t>
            </w:r>
            <w:r w:rsidRPr="00E943D5">
              <w:rPr>
                <w:lang w:val="en-US"/>
              </w:rPr>
              <w:t>roposal for a</w:t>
            </w:r>
            <w:r>
              <w:rPr>
                <w:lang w:val="en-US"/>
              </w:rPr>
              <w:t xml:space="preserve"> new investigation function and process</w:t>
            </w:r>
            <w:r w:rsidR="00E66E65">
              <w:rPr>
                <w:lang w:val="en-US"/>
              </w:rPr>
              <w:t xml:space="preserve">; </w:t>
            </w:r>
          </w:p>
          <w:p w14:paraId="65C440CA" w14:textId="78E0D965" w:rsidR="002A2188" w:rsidRPr="00E66E65" w:rsidRDefault="00312656" w:rsidP="00E66E65">
            <w:pPr>
              <w:rPr>
                <w:sz w:val="22"/>
                <w:lang w:val="en-US" w:eastAsia="en-GB"/>
              </w:rPr>
            </w:pPr>
            <w:r>
              <w:rPr>
                <w:lang w:val="en-US"/>
              </w:rPr>
              <w:t xml:space="preserve">Document </w:t>
            </w:r>
            <w:hyperlink r:id="rId13" w:history="1">
              <w:r w:rsidR="00E66E65" w:rsidRPr="00312656">
                <w:rPr>
                  <w:rStyle w:val="Hyperlink"/>
                  <w:lang w:val="en-US"/>
                </w:rPr>
                <w:t>C20/50</w:t>
              </w:r>
            </w:hyperlink>
            <w:r>
              <w:rPr>
                <w:lang w:val="en-US"/>
              </w:rPr>
              <w:t>:</w:t>
            </w:r>
            <w:r w:rsidR="00E66E65">
              <w:rPr>
                <w:lang w:val="en-US"/>
              </w:rPr>
              <w:t xml:space="preserve"> Report by the Chairman of the Council Working Group on Financial and Human Resources (CWG-FHR)</w:t>
            </w:r>
          </w:p>
        </w:tc>
      </w:tr>
    </w:tbl>
    <w:p w14:paraId="555B8C5A" w14:textId="4FEE5FA8" w:rsidR="00D830DF" w:rsidRPr="00CE422F" w:rsidRDefault="00D338E0" w:rsidP="00312656">
      <w:pPr>
        <w:pStyle w:val="Annextitle"/>
        <w:rPr>
          <w:lang w:val="en-US"/>
        </w:rPr>
      </w:pPr>
      <w:bookmarkStart w:id="9" w:name="dstart"/>
      <w:bookmarkStart w:id="10" w:name="dbreak"/>
      <w:bookmarkEnd w:id="9"/>
      <w:bookmarkEnd w:id="10"/>
      <w:r w:rsidRPr="00A27C43">
        <w:rPr>
          <w:lang w:val="en-US"/>
        </w:rPr>
        <w:br w:type="page"/>
      </w:r>
      <w:r w:rsidR="00DF67EE">
        <w:rPr>
          <w:lang w:val="en-US"/>
        </w:rPr>
        <w:lastRenderedPageBreak/>
        <w:t>Creation and Funding of</w:t>
      </w:r>
      <w:r w:rsidR="00D830DF" w:rsidRPr="00CE422F">
        <w:rPr>
          <w:lang w:val="en-US"/>
        </w:rPr>
        <w:t xml:space="preserve"> a New Investigation Function and Process</w:t>
      </w:r>
    </w:p>
    <w:p w14:paraId="39664DFD" w14:textId="77777777" w:rsidR="00D830DF" w:rsidRDefault="00D830DF" w:rsidP="00312656">
      <w:pPr>
        <w:rPr>
          <w:lang w:val="en-US"/>
        </w:rPr>
      </w:pPr>
      <w:r w:rsidRPr="004129FD">
        <w:rPr>
          <w:b/>
          <w:bCs/>
          <w:lang w:val="en-US"/>
        </w:rPr>
        <w:t>Background</w:t>
      </w:r>
      <w:r>
        <w:rPr>
          <w:lang w:val="en-US"/>
        </w:rPr>
        <w:t xml:space="preserve"> </w:t>
      </w:r>
    </w:p>
    <w:p w14:paraId="0EB27AB4" w14:textId="71407C7B" w:rsidR="00D830DF" w:rsidRPr="00CB31CC" w:rsidRDefault="00D830DF" w:rsidP="00312656">
      <w:pPr>
        <w:pStyle w:val="ListParagraph"/>
        <w:numPr>
          <w:ilvl w:val="0"/>
          <w:numId w:val="4"/>
        </w:numPr>
        <w:tabs>
          <w:tab w:val="clear" w:pos="1134"/>
        </w:tabs>
        <w:spacing w:after="120"/>
        <w:ind w:left="0" w:firstLine="0"/>
        <w:contextualSpacing w:val="0"/>
        <w:jc w:val="both"/>
        <w:rPr>
          <w:lang w:val="en-US"/>
        </w:rPr>
      </w:pPr>
      <w:r w:rsidRPr="00CB31CC">
        <w:rPr>
          <w:lang w:val="en-US"/>
        </w:rPr>
        <w:t xml:space="preserve">The investigation capacity </w:t>
      </w:r>
      <w:r w:rsidR="00B8256A">
        <w:rPr>
          <w:lang w:val="en-US"/>
        </w:rPr>
        <w:t xml:space="preserve">and needs </w:t>
      </w:r>
      <w:r w:rsidRPr="00CB31CC">
        <w:rPr>
          <w:lang w:val="en-US"/>
        </w:rPr>
        <w:t>within ITU ha</w:t>
      </w:r>
      <w:r w:rsidR="00B8256A">
        <w:rPr>
          <w:lang w:val="en-US"/>
        </w:rPr>
        <w:t>ve</w:t>
      </w:r>
      <w:r w:rsidRPr="00CB31CC">
        <w:rPr>
          <w:lang w:val="en-US"/>
        </w:rPr>
        <w:t xml:space="preserve"> been low</w:t>
      </w:r>
      <w:r w:rsidR="00B8256A">
        <w:rPr>
          <w:lang w:val="en-US"/>
        </w:rPr>
        <w:t xml:space="preserve"> until 2018</w:t>
      </w:r>
      <w:r w:rsidRPr="00CB31CC">
        <w:rPr>
          <w:lang w:val="en-US"/>
        </w:rPr>
        <w:t xml:space="preserve">. In this sense, it is noteworthy that there is no staff member in the Union bearing the title of “Investigator” or having the conduct of investigations as the main duty in his/her job description. </w:t>
      </w:r>
      <w:r w:rsidR="00DD2179">
        <w:rPr>
          <w:lang w:val="en-US"/>
        </w:rPr>
        <w:t>The ITU Internal Audit Unit’s (IAU)</w:t>
      </w:r>
      <w:r w:rsidR="00DD2179" w:rsidRPr="00CB31CC">
        <w:rPr>
          <w:lang w:val="en-US"/>
        </w:rPr>
        <w:t xml:space="preserve"> </w:t>
      </w:r>
      <w:r w:rsidRPr="00CB31CC">
        <w:rPr>
          <w:lang w:val="en-US"/>
        </w:rPr>
        <w:t xml:space="preserve">mandate includes audits and investigations but until </w:t>
      </w:r>
      <w:r w:rsidR="00DD2179">
        <w:rPr>
          <w:lang w:val="en-US"/>
        </w:rPr>
        <w:t>early 2018</w:t>
      </w:r>
      <w:r w:rsidRPr="00CB31CC">
        <w:rPr>
          <w:lang w:val="en-US"/>
        </w:rPr>
        <w:t xml:space="preserve">, the emphasis had been placed on audits. </w:t>
      </w:r>
    </w:p>
    <w:p w14:paraId="701A0B4D" w14:textId="51F46D53" w:rsidR="00D830DF" w:rsidRPr="00CB31CC" w:rsidRDefault="00D830DF" w:rsidP="00312656">
      <w:pPr>
        <w:pStyle w:val="ListParagraph"/>
        <w:numPr>
          <w:ilvl w:val="0"/>
          <w:numId w:val="4"/>
        </w:numPr>
        <w:tabs>
          <w:tab w:val="clear" w:pos="1134"/>
        </w:tabs>
        <w:spacing w:after="120"/>
        <w:ind w:left="0" w:firstLine="0"/>
        <w:contextualSpacing w:val="0"/>
        <w:jc w:val="both"/>
        <w:rPr>
          <w:lang w:val="en-US"/>
        </w:rPr>
      </w:pPr>
      <w:r w:rsidRPr="00CB31CC">
        <w:rPr>
          <w:lang w:val="en-US"/>
        </w:rPr>
        <w:t xml:space="preserve">ITU has been handling misconduct allegations on an </w:t>
      </w:r>
      <w:r w:rsidRPr="00CB31CC">
        <w:rPr>
          <w:i/>
          <w:iCs/>
          <w:lang w:val="en-US"/>
        </w:rPr>
        <w:t>ad hoc</w:t>
      </w:r>
      <w:r w:rsidRPr="00CB31CC">
        <w:rPr>
          <w:lang w:val="en-US"/>
        </w:rPr>
        <w:t xml:space="preserve"> basis, with the involvement of different departments/units (HRMD, IAU, Ethics Office, etc.) and, </w:t>
      </w:r>
      <w:r w:rsidR="00DD2179">
        <w:rPr>
          <w:lang w:val="en-US"/>
        </w:rPr>
        <w:t>very</w:t>
      </w:r>
      <w:r w:rsidRPr="00CB31CC">
        <w:rPr>
          <w:lang w:val="en-US"/>
        </w:rPr>
        <w:t xml:space="preserve"> often, hiring external investigators case-by-case. </w:t>
      </w:r>
    </w:p>
    <w:p w14:paraId="1E88339C" w14:textId="56C0D5C8" w:rsidR="00D830DF" w:rsidRPr="00CB31CC" w:rsidRDefault="00D830DF" w:rsidP="00312656">
      <w:pPr>
        <w:pStyle w:val="ListParagraph"/>
        <w:numPr>
          <w:ilvl w:val="0"/>
          <w:numId w:val="4"/>
        </w:numPr>
        <w:tabs>
          <w:tab w:val="clear" w:pos="1134"/>
        </w:tabs>
        <w:spacing w:after="120"/>
        <w:ind w:left="0" w:firstLine="0"/>
        <w:contextualSpacing w:val="0"/>
        <w:jc w:val="both"/>
        <w:rPr>
          <w:lang w:val="en-US"/>
        </w:rPr>
      </w:pPr>
      <w:r w:rsidRPr="00CB31CC">
        <w:rPr>
          <w:lang w:val="en-US"/>
        </w:rPr>
        <w:t>In 2019, ITU has spent nearly CHF 200</w:t>
      </w:r>
      <w:r w:rsidR="00B8256A">
        <w:rPr>
          <w:lang w:val="en-US"/>
        </w:rPr>
        <w:t>’</w:t>
      </w:r>
      <w:r w:rsidRPr="00CB31CC">
        <w:rPr>
          <w:lang w:val="en-US"/>
        </w:rPr>
        <w:t xml:space="preserve">000 in fees to various external investigators hired on an </w:t>
      </w:r>
      <w:r w:rsidRPr="00CB31CC">
        <w:rPr>
          <w:i/>
          <w:iCs/>
          <w:lang w:val="en-US"/>
        </w:rPr>
        <w:t>ad hoc</w:t>
      </w:r>
      <w:r w:rsidRPr="00CB31CC">
        <w:rPr>
          <w:lang w:val="en-US"/>
        </w:rPr>
        <w:t xml:space="preserve"> basis to</w:t>
      </w:r>
      <w:r w:rsidR="00CF08B3">
        <w:rPr>
          <w:lang w:val="en-US"/>
        </w:rPr>
        <w:t xml:space="preserve"> complement the current in-house investigation capacity</w:t>
      </w:r>
      <w:r w:rsidRPr="00CB31CC">
        <w:rPr>
          <w:lang w:val="en-US"/>
        </w:rPr>
        <w:t xml:space="preserve"> </w:t>
      </w:r>
      <w:r w:rsidR="00CF08B3">
        <w:rPr>
          <w:lang w:val="en-US"/>
        </w:rPr>
        <w:t>mentioned above</w:t>
      </w:r>
      <w:r w:rsidRPr="00CB31CC">
        <w:rPr>
          <w:lang w:val="en-US"/>
        </w:rPr>
        <w:t>.</w:t>
      </w:r>
    </w:p>
    <w:p w14:paraId="1412565F" w14:textId="3ED632BF" w:rsidR="00D830DF" w:rsidRPr="00CB31CC" w:rsidRDefault="007F40CA" w:rsidP="00312656">
      <w:pPr>
        <w:pStyle w:val="ListParagraph"/>
        <w:numPr>
          <w:ilvl w:val="0"/>
          <w:numId w:val="4"/>
        </w:numPr>
        <w:tabs>
          <w:tab w:val="clear" w:pos="1134"/>
        </w:tabs>
        <w:spacing w:after="120"/>
        <w:ind w:left="0" w:firstLine="0"/>
        <w:contextualSpacing w:val="0"/>
        <w:jc w:val="both"/>
        <w:rPr>
          <w:lang w:val="en-US"/>
        </w:rPr>
      </w:pPr>
      <w:r w:rsidRPr="00CB31CC">
        <w:rPr>
          <w:lang w:val="en-US"/>
        </w:rPr>
        <w:t xml:space="preserve">Therefore, the ITU management has concluded that the investigation function has to be reinforced, not only in terms of resources allocated to those activities but also in terms </w:t>
      </w:r>
      <w:r w:rsidR="005E7F08">
        <w:rPr>
          <w:lang w:val="en-US"/>
        </w:rPr>
        <w:t>of</w:t>
      </w:r>
      <w:r w:rsidRPr="00CB31CC">
        <w:rPr>
          <w:lang w:val="en-US"/>
        </w:rPr>
        <w:t xml:space="preserve"> structure and procedures to be </w:t>
      </w:r>
      <w:r w:rsidR="00285601">
        <w:rPr>
          <w:lang w:val="en-US"/>
        </w:rPr>
        <w:t xml:space="preserve">further </w:t>
      </w:r>
      <w:r w:rsidRPr="00CB31CC">
        <w:rPr>
          <w:lang w:val="en-US"/>
        </w:rPr>
        <w:t>developed and implemented.</w:t>
      </w:r>
    </w:p>
    <w:p w14:paraId="40115164" w14:textId="751963FD" w:rsidR="002A64FA" w:rsidRPr="00CB31CC" w:rsidRDefault="002A64FA" w:rsidP="00312656">
      <w:pPr>
        <w:pStyle w:val="ListParagraph"/>
        <w:numPr>
          <w:ilvl w:val="0"/>
          <w:numId w:val="4"/>
        </w:numPr>
        <w:tabs>
          <w:tab w:val="clear" w:pos="1134"/>
        </w:tabs>
        <w:spacing w:after="120"/>
        <w:ind w:left="0" w:firstLine="0"/>
        <w:contextualSpacing w:val="0"/>
        <w:jc w:val="both"/>
        <w:rPr>
          <w:lang w:val="en-US"/>
        </w:rPr>
      </w:pPr>
      <w:r w:rsidRPr="00CB31CC">
        <w:rPr>
          <w:lang w:val="en-US"/>
        </w:rPr>
        <w:t xml:space="preserve">It is therefore proposed to the Council </w:t>
      </w:r>
      <w:r w:rsidR="00A4593B">
        <w:rPr>
          <w:lang w:val="en-US"/>
        </w:rPr>
        <w:t>that the Secretary-General set up</w:t>
      </w:r>
      <w:r w:rsidRPr="00CB31CC">
        <w:rPr>
          <w:lang w:val="en-US"/>
        </w:rPr>
        <w:t xml:space="preserve"> an independent investigation </w:t>
      </w:r>
      <w:r w:rsidR="00285601">
        <w:rPr>
          <w:lang w:val="en-US"/>
        </w:rPr>
        <w:t>function</w:t>
      </w:r>
      <w:r w:rsidRPr="00CB31CC">
        <w:rPr>
          <w:lang w:val="en-US"/>
        </w:rPr>
        <w:t>, through the creation of a dedicated position</w:t>
      </w:r>
      <w:r w:rsidR="00CB31CC">
        <w:rPr>
          <w:lang w:val="en-US"/>
        </w:rPr>
        <w:t>, at the P</w:t>
      </w:r>
      <w:r w:rsidR="007462DC">
        <w:rPr>
          <w:lang w:val="en-US"/>
        </w:rPr>
        <w:t>.</w:t>
      </w:r>
      <w:r w:rsidR="00B8256A">
        <w:rPr>
          <w:lang w:val="en-US"/>
        </w:rPr>
        <w:t>5 or P.4</w:t>
      </w:r>
      <w:r w:rsidR="00CB31CC">
        <w:rPr>
          <w:lang w:val="en-US"/>
        </w:rPr>
        <w:t xml:space="preserve"> level,</w:t>
      </w:r>
      <w:r w:rsidRPr="00CB31CC">
        <w:rPr>
          <w:lang w:val="en-US"/>
        </w:rPr>
        <w:t xml:space="preserve"> being placed in the Office of the Secretary-General and under his supervision.</w:t>
      </w:r>
    </w:p>
    <w:p w14:paraId="323086DA" w14:textId="6AC6AEF9" w:rsidR="00D830DF" w:rsidRDefault="00D830DF" w:rsidP="00312656">
      <w:pPr>
        <w:spacing w:before="360"/>
        <w:rPr>
          <w:lang w:val="en-US"/>
        </w:rPr>
      </w:pPr>
      <w:r w:rsidRPr="00E24B46">
        <w:rPr>
          <w:b/>
          <w:bCs/>
          <w:lang w:val="en-US"/>
        </w:rPr>
        <w:t xml:space="preserve">Budgetary implications </w:t>
      </w:r>
    </w:p>
    <w:p w14:paraId="0AB23908" w14:textId="33286F3D" w:rsidR="00D830DF" w:rsidRPr="00B4540C" w:rsidRDefault="00D830DF" w:rsidP="00312656">
      <w:pPr>
        <w:pStyle w:val="ListParagraph"/>
        <w:numPr>
          <w:ilvl w:val="0"/>
          <w:numId w:val="4"/>
        </w:numPr>
        <w:spacing w:after="120"/>
        <w:ind w:left="0" w:firstLine="0"/>
        <w:contextualSpacing w:val="0"/>
        <w:jc w:val="both"/>
        <w:rPr>
          <w:lang w:val="en-US"/>
        </w:rPr>
      </w:pPr>
      <w:r w:rsidRPr="00B4540C">
        <w:rPr>
          <w:lang w:val="en-US"/>
        </w:rPr>
        <w:t xml:space="preserve">The estimated </w:t>
      </w:r>
      <w:r w:rsidR="009B2672">
        <w:rPr>
          <w:lang w:val="en-US"/>
        </w:rPr>
        <w:t xml:space="preserve">annual </w:t>
      </w:r>
      <w:r w:rsidRPr="00B4540C">
        <w:rPr>
          <w:lang w:val="en-US"/>
        </w:rPr>
        <w:t xml:space="preserve">costs </w:t>
      </w:r>
      <w:r w:rsidR="00CB31CC" w:rsidRPr="00B4540C">
        <w:rPr>
          <w:lang w:val="en-US"/>
        </w:rPr>
        <w:t>of the proposal from the ITU secretariat (o</w:t>
      </w:r>
      <w:r w:rsidR="00EA20B6" w:rsidRPr="00B4540C">
        <w:rPr>
          <w:lang w:val="en-US"/>
        </w:rPr>
        <w:t>p</w:t>
      </w:r>
      <w:r w:rsidR="00CB31CC" w:rsidRPr="00B4540C">
        <w:rPr>
          <w:lang w:val="en-US"/>
        </w:rPr>
        <w:t xml:space="preserve">tion 1 in the table below), as well </w:t>
      </w:r>
      <w:r w:rsidR="009B2672">
        <w:rPr>
          <w:lang w:val="en-US"/>
        </w:rPr>
        <w:t xml:space="preserve">as </w:t>
      </w:r>
      <w:r w:rsidRPr="00B4540C">
        <w:rPr>
          <w:lang w:val="en-US"/>
        </w:rPr>
        <w:t>of each of the two options in the Contribution by the United States of America (Document CWG-FHR-11/15) are as follows:</w:t>
      </w:r>
    </w:p>
    <w:tbl>
      <w:tblPr>
        <w:tblStyle w:val="TableGrid"/>
        <w:tblW w:w="9361" w:type="dxa"/>
        <w:tblInd w:w="279" w:type="dxa"/>
        <w:tblLook w:val="04A0" w:firstRow="1" w:lastRow="0" w:firstColumn="1" w:lastColumn="0" w:noHBand="0" w:noVBand="1"/>
      </w:tblPr>
      <w:tblGrid>
        <w:gridCol w:w="1371"/>
        <w:gridCol w:w="3671"/>
        <w:gridCol w:w="2284"/>
        <w:gridCol w:w="2035"/>
      </w:tblGrid>
      <w:tr w:rsidR="00D830DF" w14:paraId="67C601CB" w14:textId="77777777" w:rsidTr="00312656">
        <w:tc>
          <w:tcPr>
            <w:tcW w:w="1371" w:type="dxa"/>
            <w:vMerge w:val="restart"/>
          </w:tcPr>
          <w:p w14:paraId="02245B33" w14:textId="77777777" w:rsidR="00D830DF" w:rsidRDefault="00D830DF" w:rsidP="001D352A">
            <w:pPr>
              <w:rPr>
                <w:lang w:val="en-US"/>
              </w:rPr>
            </w:pPr>
            <w:r>
              <w:rPr>
                <w:lang w:val="en-US"/>
              </w:rPr>
              <w:t>Option 1</w:t>
            </w:r>
          </w:p>
        </w:tc>
        <w:tc>
          <w:tcPr>
            <w:tcW w:w="3671" w:type="dxa"/>
          </w:tcPr>
          <w:p w14:paraId="47CB5312" w14:textId="77777777" w:rsidR="00D830DF" w:rsidRDefault="00D830DF" w:rsidP="001D352A">
            <w:pPr>
              <w:rPr>
                <w:lang w:val="en-US"/>
              </w:rPr>
            </w:pPr>
            <w:r>
              <w:rPr>
                <w:lang w:val="en-US"/>
              </w:rPr>
              <w:t>1 post P.5</w:t>
            </w:r>
          </w:p>
        </w:tc>
        <w:tc>
          <w:tcPr>
            <w:tcW w:w="2284" w:type="dxa"/>
          </w:tcPr>
          <w:p w14:paraId="5E3EC570" w14:textId="77777777" w:rsidR="00D830DF" w:rsidRDefault="00D830DF" w:rsidP="001D352A">
            <w:pPr>
              <w:rPr>
                <w:lang w:val="en-US"/>
              </w:rPr>
            </w:pPr>
            <w:r>
              <w:rPr>
                <w:lang w:val="en-US"/>
              </w:rPr>
              <w:t xml:space="preserve">CHF 244 292 </w:t>
            </w:r>
          </w:p>
        </w:tc>
        <w:tc>
          <w:tcPr>
            <w:tcW w:w="2035" w:type="dxa"/>
            <w:vMerge w:val="restart"/>
          </w:tcPr>
          <w:p w14:paraId="292939BF" w14:textId="77777777" w:rsidR="00D830DF" w:rsidRDefault="00D830DF" w:rsidP="001D352A">
            <w:pPr>
              <w:rPr>
                <w:lang w:val="en-US"/>
              </w:rPr>
            </w:pPr>
            <w:r>
              <w:rPr>
                <w:lang w:val="en-US"/>
              </w:rPr>
              <w:t>Max: CHF 244 292</w:t>
            </w:r>
          </w:p>
          <w:p w14:paraId="2D9928FB" w14:textId="77777777" w:rsidR="00D830DF" w:rsidRDefault="00D830DF" w:rsidP="001D352A">
            <w:pPr>
              <w:rPr>
                <w:lang w:val="en-US"/>
              </w:rPr>
            </w:pPr>
            <w:r>
              <w:rPr>
                <w:lang w:val="en-US"/>
              </w:rPr>
              <w:t>Min: CHF 210 533</w:t>
            </w:r>
          </w:p>
        </w:tc>
      </w:tr>
      <w:tr w:rsidR="00D830DF" w14:paraId="29CD211A" w14:textId="77777777" w:rsidTr="00312656">
        <w:tc>
          <w:tcPr>
            <w:tcW w:w="1371" w:type="dxa"/>
            <w:vMerge/>
          </w:tcPr>
          <w:p w14:paraId="323FB611" w14:textId="77777777" w:rsidR="00D830DF" w:rsidRDefault="00D830DF" w:rsidP="001D352A">
            <w:pPr>
              <w:rPr>
                <w:lang w:val="en-US"/>
              </w:rPr>
            </w:pPr>
          </w:p>
        </w:tc>
        <w:tc>
          <w:tcPr>
            <w:tcW w:w="3671" w:type="dxa"/>
          </w:tcPr>
          <w:p w14:paraId="5138848A" w14:textId="77777777" w:rsidR="00D830DF" w:rsidRDefault="00D830DF" w:rsidP="001D352A">
            <w:pPr>
              <w:rPr>
                <w:lang w:val="en-US"/>
              </w:rPr>
            </w:pPr>
            <w:r>
              <w:rPr>
                <w:lang w:val="en-US"/>
              </w:rPr>
              <w:t>Alternatively, 1 post P.4</w:t>
            </w:r>
          </w:p>
        </w:tc>
        <w:tc>
          <w:tcPr>
            <w:tcW w:w="2284" w:type="dxa"/>
          </w:tcPr>
          <w:p w14:paraId="00417E39" w14:textId="77777777" w:rsidR="00D830DF" w:rsidRDefault="00D830DF" w:rsidP="001D352A">
            <w:pPr>
              <w:rPr>
                <w:lang w:val="en-US"/>
              </w:rPr>
            </w:pPr>
            <w:r>
              <w:rPr>
                <w:lang w:val="en-US"/>
              </w:rPr>
              <w:t>CHF 210 533</w:t>
            </w:r>
          </w:p>
        </w:tc>
        <w:tc>
          <w:tcPr>
            <w:tcW w:w="2035" w:type="dxa"/>
            <w:vMerge/>
          </w:tcPr>
          <w:p w14:paraId="6B940D3F" w14:textId="77777777" w:rsidR="00D830DF" w:rsidRDefault="00D830DF" w:rsidP="001D352A">
            <w:pPr>
              <w:rPr>
                <w:lang w:val="en-US"/>
              </w:rPr>
            </w:pPr>
          </w:p>
        </w:tc>
      </w:tr>
      <w:tr w:rsidR="00D830DF" w14:paraId="6D8D8954" w14:textId="77777777" w:rsidTr="00312656">
        <w:tc>
          <w:tcPr>
            <w:tcW w:w="1371" w:type="dxa"/>
            <w:vMerge w:val="restart"/>
          </w:tcPr>
          <w:p w14:paraId="3D7BA402" w14:textId="77777777" w:rsidR="00D830DF" w:rsidRDefault="00D830DF" w:rsidP="001D352A">
            <w:pPr>
              <w:rPr>
                <w:lang w:val="en-US"/>
              </w:rPr>
            </w:pPr>
            <w:r>
              <w:rPr>
                <w:lang w:val="en-US"/>
              </w:rPr>
              <w:t>Option 2</w:t>
            </w:r>
          </w:p>
        </w:tc>
        <w:tc>
          <w:tcPr>
            <w:tcW w:w="3671" w:type="dxa"/>
          </w:tcPr>
          <w:p w14:paraId="4B4FB818" w14:textId="77777777" w:rsidR="00D830DF" w:rsidRDefault="00D830DF" w:rsidP="001D352A">
            <w:pPr>
              <w:rPr>
                <w:lang w:val="en-US"/>
              </w:rPr>
            </w:pPr>
            <w:r>
              <w:rPr>
                <w:lang w:val="en-US"/>
              </w:rPr>
              <w:t>1 post D.1</w:t>
            </w:r>
          </w:p>
        </w:tc>
        <w:tc>
          <w:tcPr>
            <w:tcW w:w="2284" w:type="dxa"/>
          </w:tcPr>
          <w:p w14:paraId="4C56429D" w14:textId="77777777" w:rsidR="00D830DF" w:rsidRDefault="00D830DF" w:rsidP="001D352A">
            <w:pPr>
              <w:rPr>
                <w:lang w:val="en-US"/>
              </w:rPr>
            </w:pPr>
            <w:r>
              <w:rPr>
                <w:lang w:val="en-US"/>
              </w:rPr>
              <w:t>CHF 278 362</w:t>
            </w:r>
          </w:p>
        </w:tc>
        <w:tc>
          <w:tcPr>
            <w:tcW w:w="2035" w:type="dxa"/>
            <w:vMerge w:val="restart"/>
          </w:tcPr>
          <w:p w14:paraId="24466F55" w14:textId="77777777" w:rsidR="00D830DF" w:rsidRDefault="00D830DF" w:rsidP="001D352A">
            <w:pPr>
              <w:jc w:val="both"/>
              <w:rPr>
                <w:lang w:val="en-US"/>
              </w:rPr>
            </w:pPr>
          </w:p>
          <w:p w14:paraId="3D29D1BE" w14:textId="77777777" w:rsidR="00D830DF" w:rsidRDefault="00D830DF" w:rsidP="001D352A">
            <w:pPr>
              <w:jc w:val="both"/>
              <w:rPr>
                <w:lang w:val="en-US"/>
              </w:rPr>
            </w:pPr>
            <w:r>
              <w:rPr>
                <w:lang w:val="en-US"/>
              </w:rPr>
              <w:t>Max: CHF 488 895</w:t>
            </w:r>
          </w:p>
          <w:p w14:paraId="086032E7" w14:textId="77777777" w:rsidR="00D830DF" w:rsidRDefault="00D830DF" w:rsidP="001D352A">
            <w:pPr>
              <w:jc w:val="both"/>
              <w:rPr>
                <w:lang w:val="en-US"/>
              </w:rPr>
            </w:pPr>
            <w:r>
              <w:rPr>
                <w:lang w:val="en-US"/>
              </w:rPr>
              <w:t>Min: CHF  459 452</w:t>
            </w:r>
          </w:p>
        </w:tc>
      </w:tr>
      <w:tr w:rsidR="00D830DF" w14:paraId="4DEDB9D9" w14:textId="77777777" w:rsidTr="00312656">
        <w:tc>
          <w:tcPr>
            <w:tcW w:w="1371" w:type="dxa"/>
            <w:vMerge/>
          </w:tcPr>
          <w:p w14:paraId="69DA4B4E" w14:textId="77777777" w:rsidR="00D830DF" w:rsidRDefault="00D830DF" w:rsidP="001D352A">
            <w:pPr>
              <w:rPr>
                <w:lang w:val="en-US"/>
              </w:rPr>
            </w:pPr>
          </w:p>
        </w:tc>
        <w:tc>
          <w:tcPr>
            <w:tcW w:w="3671" w:type="dxa"/>
          </w:tcPr>
          <w:p w14:paraId="7687EFD6" w14:textId="77777777" w:rsidR="00D830DF" w:rsidRDefault="00D830DF" w:rsidP="001D352A">
            <w:pPr>
              <w:rPr>
                <w:lang w:val="en-US"/>
              </w:rPr>
            </w:pPr>
            <w:r>
              <w:rPr>
                <w:lang w:val="en-US"/>
              </w:rPr>
              <w:t>1 post P.4</w:t>
            </w:r>
          </w:p>
        </w:tc>
        <w:tc>
          <w:tcPr>
            <w:tcW w:w="2284" w:type="dxa"/>
          </w:tcPr>
          <w:p w14:paraId="5808D249" w14:textId="77777777" w:rsidR="00D830DF" w:rsidRDefault="00D830DF" w:rsidP="001D352A">
            <w:pPr>
              <w:rPr>
                <w:lang w:val="en-US"/>
              </w:rPr>
            </w:pPr>
            <w:r>
              <w:rPr>
                <w:lang w:val="en-US"/>
              </w:rPr>
              <w:t xml:space="preserve">CHF </w:t>
            </w:r>
            <w:bookmarkStart w:id="11" w:name="_Hlk37913954"/>
            <w:r>
              <w:rPr>
                <w:lang w:val="en-US"/>
              </w:rPr>
              <w:t>210 533</w:t>
            </w:r>
            <w:bookmarkEnd w:id="11"/>
          </w:p>
        </w:tc>
        <w:tc>
          <w:tcPr>
            <w:tcW w:w="2035" w:type="dxa"/>
            <w:vMerge/>
          </w:tcPr>
          <w:p w14:paraId="657829F0" w14:textId="77777777" w:rsidR="00D830DF" w:rsidRDefault="00D830DF" w:rsidP="001D352A">
            <w:pPr>
              <w:rPr>
                <w:lang w:val="en-US"/>
              </w:rPr>
            </w:pPr>
          </w:p>
        </w:tc>
      </w:tr>
      <w:tr w:rsidR="00D830DF" w14:paraId="003ED197" w14:textId="77777777" w:rsidTr="00312656">
        <w:tc>
          <w:tcPr>
            <w:tcW w:w="1371" w:type="dxa"/>
            <w:vMerge/>
          </w:tcPr>
          <w:p w14:paraId="33FF959F" w14:textId="77777777" w:rsidR="00D830DF" w:rsidRDefault="00D830DF" w:rsidP="001D352A">
            <w:pPr>
              <w:rPr>
                <w:lang w:val="en-US"/>
              </w:rPr>
            </w:pPr>
          </w:p>
        </w:tc>
        <w:tc>
          <w:tcPr>
            <w:tcW w:w="3671" w:type="dxa"/>
          </w:tcPr>
          <w:p w14:paraId="6F1BBBCB" w14:textId="63952C9E" w:rsidR="00D830DF" w:rsidRDefault="00D830DF" w:rsidP="001D352A">
            <w:pPr>
              <w:rPr>
                <w:lang w:val="en-US"/>
              </w:rPr>
            </w:pPr>
            <w:r>
              <w:rPr>
                <w:lang w:val="en-US"/>
              </w:rPr>
              <w:t>Alternatively, to the P.4, 1 post P.3</w:t>
            </w:r>
          </w:p>
        </w:tc>
        <w:tc>
          <w:tcPr>
            <w:tcW w:w="2284" w:type="dxa"/>
          </w:tcPr>
          <w:p w14:paraId="16003C15" w14:textId="77777777" w:rsidR="00D830DF" w:rsidRDefault="00D830DF" w:rsidP="001D352A">
            <w:pPr>
              <w:rPr>
                <w:lang w:val="en-US"/>
              </w:rPr>
            </w:pPr>
            <w:r>
              <w:rPr>
                <w:lang w:val="en-US"/>
              </w:rPr>
              <w:t>CHF 181 090</w:t>
            </w:r>
          </w:p>
        </w:tc>
        <w:tc>
          <w:tcPr>
            <w:tcW w:w="2035" w:type="dxa"/>
            <w:vMerge/>
          </w:tcPr>
          <w:p w14:paraId="220DA34F" w14:textId="77777777" w:rsidR="00D830DF" w:rsidRDefault="00D830DF" w:rsidP="001D352A">
            <w:pPr>
              <w:rPr>
                <w:lang w:val="en-US"/>
              </w:rPr>
            </w:pPr>
          </w:p>
        </w:tc>
      </w:tr>
    </w:tbl>
    <w:p w14:paraId="04FB30B3" w14:textId="6D394203" w:rsidR="00D830DF" w:rsidRPr="00CB31CC" w:rsidRDefault="00D830DF" w:rsidP="00312656">
      <w:pPr>
        <w:ind w:left="567"/>
        <w:jc w:val="both"/>
        <w:rPr>
          <w:sz w:val="20"/>
          <w:lang w:val="en-US"/>
        </w:rPr>
      </w:pPr>
      <w:r w:rsidRPr="00CB31CC">
        <w:rPr>
          <w:sz w:val="20"/>
          <w:lang w:val="en-US"/>
        </w:rPr>
        <w:t>These figures are estimated average annual costs for each a given grade. Real costs vary depending on the post incumbent’s years of experience, family situation, place of recruitment, and various other factors.</w:t>
      </w:r>
    </w:p>
    <w:p w14:paraId="33880843" w14:textId="41CE9CC5" w:rsidR="00D830DF" w:rsidRPr="00B4540C" w:rsidRDefault="00D830DF" w:rsidP="00D17A43">
      <w:pPr>
        <w:pStyle w:val="ListParagraph"/>
        <w:numPr>
          <w:ilvl w:val="0"/>
          <w:numId w:val="4"/>
        </w:numPr>
        <w:spacing w:before="240" w:after="120"/>
        <w:ind w:left="0" w:firstLine="0"/>
        <w:contextualSpacing w:val="0"/>
        <w:jc w:val="both"/>
        <w:rPr>
          <w:lang w:val="en-US"/>
        </w:rPr>
      </w:pPr>
      <w:r w:rsidRPr="00B4540C">
        <w:rPr>
          <w:lang w:val="en-US"/>
        </w:rPr>
        <w:t>There might be additional indirect costs, mainly to provide the investigator(s) the structural means to carry out their duties, including adequate office space/room for interviews; basic infrastructure (phone, I</w:t>
      </w:r>
      <w:r w:rsidR="004D1DB5">
        <w:rPr>
          <w:lang w:val="en-US"/>
        </w:rPr>
        <w:t>T</w:t>
      </w:r>
      <w:r w:rsidRPr="00B4540C">
        <w:rPr>
          <w:lang w:val="en-US"/>
        </w:rPr>
        <w:t xml:space="preserve"> equipment), specialized software, travels, etc. Additionally, it would be wise to foresee some extra provision for case-by-case consultancies or assistance; indeed the investigator(s) would be, by default, conducti</w:t>
      </w:r>
      <w:r w:rsidR="004D1DB5">
        <w:rPr>
          <w:lang w:val="en-US"/>
        </w:rPr>
        <w:t>ng</w:t>
      </w:r>
      <w:r w:rsidRPr="00B4540C">
        <w:rPr>
          <w:lang w:val="en-US"/>
        </w:rPr>
        <w:t xml:space="preserve"> any investigation required in ITU, but may also hire external consultants on a need basis, either to provide specific support in a given case (e.g. graphology or authentication of video or audio footage) or to perform the investigation as a whole (in particular in case of conflict of interest, very specialized matter, or peak of work). </w:t>
      </w:r>
    </w:p>
    <w:p w14:paraId="3528BA70" w14:textId="77777777" w:rsidR="00D830DF" w:rsidRPr="00172AB1" w:rsidRDefault="00D830DF" w:rsidP="00312656">
      <w:pPr>
        <w:keepNext/>
        <w:rPr>
          <w:b/>
          <w:bCs/>
          <w:lang w:val="en-US"/>
        </w:rPr>
      </w:pPr>
      <w:r w:rsidRPr="00172AB1">
        <w:rPr>
          <w:b/>
          <w:bCs/>
          <w:lang w:val="en-US"/>
        </w:rPr>
        <w:lastRenderedPageBreak/>
        <w:t>Cost</w:t>
      </w:r>
      <w:r>
        <w:rPr>
          <w:b/>
          <w:bCs/>
          <w:lang w:val="en-US"/>
        </w:rPr>
        <w:t>-</w:t>
      </w:r>
      <w:r w:rsidRPr="00172AB1">
        <w:rPr>
          <w:b/>
          <w:bCs/>
          <w:lang w:val="en-US"/>
        </w:rPr>
        <w:t>benefit analysis</w:t>
      </w:r>
    </w:p>
    <w:p w14:paraId="76851D55" w14:textId="77777777" w:rsidR="00D830DF" w:rsidRPr="00716EFA" w:rsidRDefault="00D830DF" w:rsidP="00D830DF">
      <w:pPr>
        <w:keepNext/>
        <w:ind w:firstLine="720"/>
        <w:jc w:val="both"/>
        <w:rPr>
          <w:u w:val="single"/>
          <w:lang w:val="en-US"/>
        </w:rPr>
      </w:pPr>
      <w:r w:rsidRPr="00716EFA">
        <w:rPr>
          <w:u w:val="single"/>
          <w:lang w:val="en-US"/>
        </w:rPr>
        <w:t>Financial aspects</w:t>
      </w:r>
    </w:p>
    <w:p w14:paraId="6BC348BD" w14:textId="5F145AC9" w:rsidR="00D830DF" w:rsidRPr="00B4540C" w:rsidRDefault="00D830DF" w:rsidP="00C43BC8">
      <w:pPr>
        <w:pStyle w:val="ListParagraph"/>
        <w:numPr>
          <w:ilvl w:val="0"/>
          <w:numId w:val="4"/>
        </w:numPr>
        <w:spacing w:after="120"/>
        <w:ind w:left="0" w:firstLine="0"/>
        <w:contextualSpacing w:val="0"/>
        <w:jc w:val="both"/>
        <w:rPr>
          <w:lang w:val="en-US"/>
        </w:rPr>
      </w:pPr>
      <w:r w:rsidRPr="00B4540C">
        <w:rPr>
          <w:lang w:val="en-US"/>
        </w:rPr>
        <w:t xml:space="preserve">In light of the amount spent in hiring external investigators </w:t>
      </w:r>
      <w:r w:rsidR="007F40CA" w:rsidRPr="00B4540C">
        <w:rPr>
          <w:lang w:val="en-US"/>
        </w:rPr>
        <w:t>and as well as indirect costs generated by in-house resources mobilization</w:t>
      </w:r>
      <w:r w:rsidRPr="00B4540C">
        <w:rPr>
          <w:lang w:val="en-US"/>
        </w:rPr>
        <w:t xml:space="preserve">, </w:t>
      </w:r>
      <w:r w:rsidR="007F40CA" w:rsidRPr="00B4540C">
        <w:rPr>
          <w:lang w:val="en-US"/>
        </w:rPr>
        <w:t>as referred to in para</w:t>
      </w:r>
      <w:r w:rsidR="00B239AA">
        <w:rPr>
          <w:lang w:val="en-US"/>
        </w:rPr>
        <w:t>.</w:t>
      </w:r>
      <w:r w:rsidR="007F40CA" w:rsidRPr="00B4540C">
        <w:rPr>
          <w:lang w:val="en-US"/>
        </w:rPr>
        <w:t xml:space="preserve"> </w:t>
      </w:r>
      <w:r w:rsidR="00B239AA" w:rsidRPr="00F72091">
        <w:rPr>
          <w:lang w:val="en-US"/>
        </w:rPr>
        <w:t>3</w:t>
      </w:r>
      <w:r w:rsidR="007F40CA" w:rsidRPr="00B4540C">
        <w:rPr>
          <w:lang w:val="en-US"/>
        </w:rPr>
        <w:t xml:space="preserve"> above, </w:t>
      </w:r>
      <w:r w:rsidRPr="00B4540C">
        <w:rPr>
          <w:lang w:val="en-US"/>
        </w:rPr>
        <w:t xml:space="preserve">option 1 </w:t>
      </w:r>
      <w:r w:rsidR="00271D86">
        <w:rPr>
          <w:lang w:val="en-US"/>
        </w:rPr>
        <w:t xml:space="preserve">is </w:t>
      </w:r>
      <w:r w:rsidRPr="00B4540C">
        <w:rPr>
          <w:lang w:val="en-US"/>
        </w:rPr>
        <w:t>arguably less</w:t>
      </w:r>
      <w:r w:rsidR="00154683">
        <w:rPr>
          <w:lang w:val="en-US"/>
        </w:rPr>
        <w:t xml:space="preserve"> costly</w:t>
      </w:r>
      <w:r w:rsidRPr="00B4540C">
        <w:rPr>
          <w:lang w:val="en-US"/>
        </w:rPr>
        <w:t xml:space="preserve"> than the current practice, since an in-house dedicated staff member would conduct, if not all, at least the bulk of this work for </w:t>
      </w:r>
      <w:r w:rsidR="00154683">
        <w:rPr>
          <w:lang w:val="en-US"/>
        </w:rPr>
        <w:t>the budgeted amount</w:t>
      </w:r>
      <w:r w:rsidRPr="00B4540C">
        <w:rPr>
          <w:lang w:val="en-US"/>
        </w:rPr>
        <w:t>.</w:t>
      </w:r>
    </w:p>
    <w:p w14:paraId="3DCA70D3" w14:textId="1B29ACB3" w:rsidR="00D830DF" w:rsidRPr="00B4540C" w:rsidRDefault="00D830DF" w:rsidP="00C43BC8">
      <w:pPr>
        <w:pStyle w:val="ListParagraph"/>
        <w:numPr>
          <w:ilvl w:val="0"/>
          <w:numId w:val="4"/>
        </w:numPr>
        <w:spacing w:after="120"/>
        <w:ind w:left="0" w:firstLine="0"/>
        <w:contextualSpacing w:val="0"/>
        <w:jc w:val="both"/>
        <w:rPr>
          <w:lang w:val="en-US"/>
        </w:rPr>
      </w:pPr>
      <w:r w:rsidRPr="00B4540C">
        <w:rPr>
          <w:lang w:val="en-US"/>
        </w:rPr>
        <w:t xml:space="preserve">That said, cost-efficiency depends on whether the number and complexity of investigations remains at similar levels than currently. Relevantly, misconduct reports were rare in past years. In </w:t>
      </w:r>
      <w:r w:rsidRPr="00E66E65">
        <w:rPr>
          <w:lang w:val="en-US"/>
        </w:rPr>
        <w:t>2017</w:t>
      </w:r>
      <w:r w:rsidRPr="00B4540C">
        <w:rPr>
          <w:lang w:val="en-US"/>
        </w:rPr>
        <w:t xml:space="preserve">, ITU received one report, namely the one relating to fraud in a Regional Office. By contrast, since </w:t>
      </w:r>
      <w:r w:rsidR="00154683">
        <w:rPr>
          <w:lang w:val="en-US"/>
        </w:rPr>
        <w:t>June 2019</w:t>
      </w:r>
      <w:r w:rsidRPr="00B4540C">
        <w:rPr>
          <w:lang w:val="en-US"/>
        </w:rPr>
        <w:t xml:space="preserve">, at least </w:t>
      </w:r>
      <w:r w:rsidR="00154683">
        <w:rPr>
          <w:lang w:val="en-US"/>
        </w:rPr>
        <w:t>thirteen</w:t>
      </w:r>
      <w:r w:rsidR="00154683" w:rsidRPr="00B4540C">
        <w:rPr>
          <w:lang w:val="en-US"/>
        </w:rPr>
        <w:t xml:space="preserve"> </w:t>
      </w:r>
      <w:r w:rsidRPr="00B4540C">
        <w:rPr>
          <w:lang w:val="en-US"/>
        </w:rPr>
        <w:t>reports/complaints have been received</w:t>
      </w:r>
      <w:r w:rsidR="00154683">
        <w:rPr>
          <w:lang w:val="en-US"/>
        </w:rPr>
        <w:t xml:space="preserve"> by the Ethics Office</w:t>
      </w:r>
      <w:r w:rsidRPr="00B4540C">
        <w:rPr>
          <w:lang w:val="en-US"/>
        </w:rPr>
        <w:t>, the majority of which has been deemed to warrant a full-fledged investigation.</w:t>
      </w:r>
    </w:p>
    <w:p w14:paraId="198E9FEB" w14:textId="7051CF10" w:rsidR="00D830DF" w:rsidRPr="00B4540C" w:rsidRDefault="00D830DF" w:rsidP="00C43BC8">
      <w:pPr>
        <w:pStyle w:val="ListParagraph"/>
        <w:numPr>
          <w:ilvl w:val="0"/>
          <w:numId w:val="4"/>
        </w:numPr>
        <w:spacing w:after="120"/>
        <w:ind w:left="0" w:firstLine="0"/>
        <w:contextualSpacing w:val="0"/>
        <w:jc w:val="both"/>
        <w:rPr>
          <w:lang w:val="en-US"/>
        </w:rPr>
      </w:pPr>
      <w:r w:rsidRPr="00B4540C">
        <w:rPr>
          <w:lang w:val="en-US"/>
        </w:rPr>
        <w:t xml:space="preserve">These reports/complaints concern different behaviors, various types of ITU personnel or even external individuals throughout the various </w:t>
      </w:r>
      <w:proofErr w:type="spellStart"/>
      <w:r w:rsidRPr="00B4540C">
        <w:rPr>
          <w:lang w:val="en-US"/>
        </w:rPr>
        <w:t>Bureaux</w:t>
      </w:r>
      <w:proofErr w:type="spellEnd"/>
      <w:r w:rsidRPr="00B4540C">
        <w:rPr>
          <w:lang w:val="en-US"/>
        </w:rPr>
        <w:t xml:space="preserve">/Departments/Services/Units, and </w:t>
      </w:r>
      <w:r w:rsidR="00154683">
        <w:rPr>
          <w:lang w:val="en-US"/>
        </w:rPr>
        <w:t xml:space="preserve">combined with those reported prior to June 2019, </w:t>
      </w:r>
      <w:r w:rsidRPr="00B4540C">
        <w:rPr>
          <w:lang w:val="en-US"/>
        </w:rPr>
        <w:t xml:space="preserve">they came spread over the last 18-20 months with a progressive increase but no peaks, nor any apparent link to conjunctural events.  </w:t>
      </w:r>
      <w:r w:rsidR="00E66E65">
        <w:rPr>
          <w:lang w:val="en-US"/>
        </w:rPr>
        <w:t>Further, given the factors that logically appear to have encouraged reporting (e.g., the Ethics Officer position having been filled, hence reactivated; anonymous complaints have been allowed; “Me too” movement; staff having perceived that a number of reports have led to launching investigations), there is no reason to expect their call effect to cease in the near future.</w:t>
      </w:r>
    </w:p>
    <w:p w14:paraId="31753817" w14:textId="6071A429" w:rsidR="005D628F" w:rsidRDefault="005D628F" w:rsidP="00C43BC8">
      <w:pPr>
        <w:pStyle w:val="ListParagraph"/>
        <w:numPr>
          <w:ilvl w:val="0"/>
          <w:numId w:val="4"/>
        </w:numPr>
        <w:spacing w:after="120"/>
        <w:ind w:left="0" w:firstLine="0"/>
        <w:contextualSpacing w:val="0"/>
        <w:jc w:val="both"/>
        <w:rPr>
          <w:lang w:val="en-US"/>
        </w:rPr>
      </w:pPr>
      <w:r>
        <w:rPr>
          <w:lang w:val="en-US"/>
        </w:rPr>
        <w:t xml:space="preserve">Experience has shown that each full-fledged investigation takes an approximate two person-months of work from a qualified professional. Therefore, indicatively, six investigations a year would represent a full workload for a staff member entirely dedicated to investigations. Considering that the range of fees for each investigation conducted by external consultants, which depends on a series of criteria (complexity of the case, duration of the investigation, number of interviews to be undertaken and records to be established, </w:t>
      </w:r>
      <w:proofErr w:type="spellStart"/>
      <w:r>
        <w:rPr>
          <w:lang w:val="en-US"/>
        </w:rPr>
        <w:t>etc</w:t>
      </w:r>
      <w:proofErr w:type="spellEnd"/>
      <w:r>
        <w:rPr>
          <w:lang w:val="en-US"/>
        </w:rPr>
        <w:t>…), hiring a P.5 or P.4 staff member would already be cost-effective as of 6 or 7 investigations per year</w:t>
      </w:r>
      <w:r w:rsidR="00E66E65">
        <w:rPr>
          <w:lang w:val="en-US"/>
        </w:rPr>
        <w:t>.</w:t>
      </w:r>
    </w:p>
    <w:p w14:paraId="174D1CE2" w14:textId="43785080" w:rsidR="00D830DF" w:rsidRDefault="006E212B" w:rsidP="00C43BC8">
      <w:pPr>
        <w:pStyle w:val="ListParagraph"/>
        <w:numPr>
          <w:ilvl w:val="0"/>
          <w:numId w:val="4"/>
        </w:numPr>
        <w:spacing w:after="120"/>
        <w:ind w:left="0" w:firstLine="0"/>
        <w:contextualSpacing w:val="0"/>
        <w:jc w:val="both"/>
        <w:rPr>
          <w:lang w:val="en-US"/>
        </w:rPr>
      </w:pPr>
      <w:r>
        <w:rPr>
          <w:lang w:val="en-US"/>
        </w:rPr>
        <w:t>T</w:t>
      </w:r>
      <w:r w:rsidR="00D830DF" w:rsidRPr="00B4540C">
        <w:rPr>
          <w:lang w:val="en-US"/>
        </w:rPr>
        <w:t>he workload of an investigator is not limited to the strict conduct of investigations, especially in the initial years. S/he will certainly need to invest a considerable portion of time for developing and issuing comprehensive investigation working methods, developing templates, protocols and other standardized work documents; exploring and establishing databases, management systems and other tools; identifying, raising and addressing systemic/legal issues; preparing and updating a list of qualified investigation experts, consultants and providers to be hired on a need basis; giving guidance to external consultants and experts and checking the quality of their services</w:t>
      </w:r>
      <w:r w:rsidR="005D4E2F">
        <w:rPr>
          <w:lang w:val="en-US"/>
        </w:rPr>
        <w:t>;</w:t>
      </w:r>
      <w:r w:rsidR="00D830DF" w:rsidRPr="00B4540C">
        <w:rPr>
          <w:lang w:val="en-US"/>
        </w:rPr>
        <w:t xml:space="preserve"> preparing statistics and input required by</w:t>
      </w:r>
      <w:r>
        <w:rPr>
          <w:lang w:val="en-US"/>
        </w:rPr>
        <w:t xml:space="preserve"> the Secretary-General and</w:t>
      </w:r>
      <w:r w:rsidR="00D830DF" w:rsidRPr="00B4540C">
        <w:rPr>
          <w:lang w:val="en-US"/>
        </w:rPr>
        <w:t xml:space="preserve"> </w:t>
      </w:r>
      <w:r>
        <w:rPr>
          <w:lang w:val="en-US"/>
        </w:rPr>
        <w:t>relevant stakeholders</w:t>
      </w:r>
      <w:r w:rsidR="00D830DF" w:rsidRPr="00B4540C">
        <w:rPr>
          <w:lang w:val="en-US"/>
        </w:rPr>
        <w:t>.</w:t>
      </w:r>
    </w:p>
    <w:p w14:paraId="0459D183" w14:textId="77777777" w:rsidR="00D830DF" w:rsidRPr="00716EFA" w:rsidRDefault="00D830DF" w:rsidP="00D830DF">
      <w:pPr>
        <w:keepNext/>
        <w:ind w:firstLine="720"/>
        <w:jc w:val="both"/>
        <w:rPr>
          <w:u w:val="single"/>
          <w:lang w:val="en-US"/>
        </w:rPr>
      </w:pPr>
      <w:r w:rsidRPr="00716EFA">
        <w:rPr>
          <w:u w:val="single"/>
          <w:lang w:val="en-US"/>
        </w:rPr>
        <w:t>Non-financial aspects</w:t>
      </w:r>
    </w:p>
    <w:p w14:paraId="04C7460A" w14:textId="24A18D9B" w:rsidR="00D830DF" w:rsidRPr="00B4540C" w:rsidRDefault="00D830DF" w:rsidP="00C43BC8">
      <w:pPr>
        <w:pStyle w:val="ListParagraph"/>
        <w:numPr>
          <w:ilvl w:val="0"/>
          <w:numId w:val="4"/>
        </w:numPr>
        <w:spacing w:after="120"/>
        <w:ind w:left="0" w:firstLine="0"/>
        <w:contextualSpacing w:val="0"/>
        <w:jc w:val="both"/>
        <w:rPr>
          <w:lang w:val="en-US"/>
        </w:rPr>
      </w:pPr>
      <w:r w:rsidRPr="00B4540C">
        <w:rPr>
          <w:lang w:val="en-US"/>
        </w:rPr>
        <w:t xml:space="preserve">Beyond the potential savings, an in-house </w:t>
      </w:r>
      <w:r w:rsidR="00AD7D90">
        <w:rPr>
          <w:lang w:val="en-US"/>
        </w:rPr>
        <w:t>investigator</w:t>
      </w:r>
      <w:r w:rsidRPr="00B4540C">
        <w:rPr>
          <w:lang w:val="en-US"/>
        </w:rPr>
        <w:t xml:space="preserve"> is expected to contribute to a significant upgrade of the entire ITU Administration, by bringing added value on the following counts:</w:t>
      </w:r>
    </w:p>
    <w:p w14:paraId="2650E56E" w14:textId="2E1232C4" w:rsidR="00D830DF" w:rsidRPr="00AD7D90" w:rsidRDefault="00D830DF" w:rsidP="00C43BC8">
      <w:pPr>
        <w:pStyle w:val="ListParagraph"/>
        <w:numPr>
          <w:ilvl w:val="0"/>
          <w:numId w:val="2"/>
        </w:numPr>
        <w:tabs>
          <w:tab w:val="clear" w:pos="567"/>
          <w:tab w:val="clear" w:pos="1134"/>
          <w:tab w:val="clear" w:pos="1701"/>
          <w:tab w:val="clear" w:pos="2268"/>
          <w:tab w:val="clear" w:pos="2835"/>
        </w:tabs>
        <w:overflowPunct/>
        <w:autoSpaceDE/>
        <w:autoSpaceDN/>
        <w:adjustRightInd/>
        <w:spacing w:after="160" w:line="259" w:lineRule="auto"/>
        <w:ind w:left="992" w:hanging="357"/>
        <w:contextualSpacing w:val="0"/>
        <w:jc w:val="both"/>
        <w:textAlignment w:val="auto"/>
        <w:rPr>
          <w:i/>
          <w:iCs/>
          <w:lang w:val="en-US"/>
        </w:rPr>
      </w:pPr>
      <w:r w:rsidRPr="00AD7D90">
        <w:rPr>
          <w:i/>
          <w:iCs/>
          <w:lang w:val="en-US"/>
        </w:rPr>
        <w:t>Improve quality of investigations</w:t>
      </w:r>
      <w:r w:rsidR="00B536CF" w:rsidRPr="00AD7D90">
        <w:rPr>
          <w:i/>
          <w:iCs/>
          <w:lang w:val="en-US"/>
        </w:rPr>
        <w:t xml:space="preserve"> and enhance investigation accountability</w:t>
      </w:r>
      <w:r w:rsidR="00B536CF" w:rsidRPr="00AD7D90">
        <w:rPr>
          <w:lang w:val="en-US"/>
        </w:rPr>
        <w:t xml:space="preserve"> through </w:t>
      </w:r>
      <w:r w:rsidRPr="00AD7D90">
        <w:rPr>
          <w:lang w:val="en-US"/>
        </w:rPr>
        <w:t xml:space="preserve">professional expertise </w:t>
      </w:r>
      <w:r w:rsidR="00B536CF" w:rsidRPr="00AD7D90">
        <w:rPr>
          <w:lang w:val="en-US"/>
        </w:rPr>
        <w:t xml:space="preserve">in </w:t>
      </w:r>
      <w:r w:rsidRPr="00AD7D90">
        <w:rPr>
          <w:lang w:val="en-US"/>
        </w:rPr>
        <w:t xml:space="preserve">investigation techniques, international best practices and standards required by </w:t>
      </w:r>
      <w:proofErr w:type="gramStart"/>
      <w:r w:rsidRPr="00AD7D90">
        <w:rPr>
          <w:lang w:val="en-US"/>
        </w:rPr>
        <w:t>ILOAT</w:t>
      </w:r>
      <w:r w:rsidR="00AD7D90">
        <w:rPr>
          <w:lang w:val="en-US"/>
        </w:rPr>
        <w:t>;</w:t>
      </w:r>
      <w:proofErr w:type="gramEnd"/>
      <w:r w:rsidRPr="00AD7D90">
        <w:rPr>
          <w:lang w:val="en-US"/>
        </w:rPr>
        <w:t xml:space="preserve"> </w:t>
      </w:r>
      <w:r w:rsidR="00AD7D90">
        <w:rPr>
          <w:lang w:val="en-US"/>
        </w:rPr>
        <w:t xml:space="preserve">and also further elaboration </w:t>
      </w:r>
      <w:r w:rsidR="00AD7D90" w:rsidRPr="00AD7D90">
        <w:rPr>
          <w:lang w:val="en-US"/>
        </w:rPr>
        <w:t>of</w:t>
      </w:r>
      <w:r w:rsidRPr="00AD7D90">
        <w:rPr>
          <w:lang w:val="en-US"/>
        </w:rPr>
        <w:t xml:space="preserve"> investigative tools and software.</w:t>
      </w:r>
      <w:r w:rsidR="00AD7D90" w:rsidRPr="00AD7D90">
        <w:rPr>
          <w:lang w:val="en-US"/>
        </w:rPr>
        <w:t xml:space="preserve"> </w:t>
      </w:r>
      <w:r w:rsidRPr="00AD7D90">
        <w:rPr>
          <w:lang w:val="en-US"/>
        </w:rPr>
        <w:t xml:space="preserve">Additionally, an in-house investigator will acquire a good understanding of ITU, including its </w:t>
      </w:r>
      <w:r w:rsidR="00AD7D90" w:rsidRPr="001B1A77">
        <w:rPr>
          <w:lang w:val="en-US"/>
        </w:rPr>
        <w:t>structure, functioning and legal framework</w:t>
      </w:r>
      <w:r w:rsidRPr="00AD7D90">
        <w:rPr>
          <w:lang w:val="en-US"/>
        </w:rPr>
        <w:t xml:space="preserve">. </w:t>
      </w:r>
    </w:p>
    <w:p w14:paraId="087E68D5" w14:textId="7833F479" w:rsidR="00D830DF" w:rsidRPr="001B1A77" w:rsidRDefault="00D830DF" w:rsidP="00C43BC8">
      <w:pPr>
        <w:pStyle w:val="ListParagraph"/>
        <w:numPr>
          <w:ilvl w:val="0"/>
          <w:numId w:val="2"/>
        </w:numPr>
        <w:tabs>
          <w:tab w:val="clear" w:pos="567"/>
          <w:tab w:val="clear" w:pos="1134"/>
          <w:tab w:val="clear" w:pos="1701"/>
          <w:tab w:val="clear" w:pos="2268"/>
          <w:tab w:val="clear" w:pos="2835"/>
        </w:tabs>
        <w:overflowPunct/>
        <w:autoSpaceDE/>
        <w:autoSpaceDN/>
        <w:adjustRightInd/>
        <w:spacing w:after="160" w:line="259" w:lineRule="auto"/>
        <w:ind w:left="992" w:hanging="357"/>
        <w:contextualSpacing w:val="0"/>
        <w:jc w:val="both"/>
        <w:textAlignment w:val="auto"/>
        <w:rPr>
          <w:lang w:val="en-US"/>
        </w:rPr>
      </w:pPr>
      <w:r w:rsidRPr="00DB58C2">
        <w:rPr>
          <w:i/>
          <w:iCs/>
          <w:lang w:val="en-US"/>
        </w:rPr>
        <w:lastRenderedPageBreak/>
        <w:t>Efficiency</w:t>
      </w:r>
      <w:r w:rsidRPr="001B1A77">
        <w:rPr>
          <w:lang w:val="en-US"/>
        </w:rPr>
        <w:t xml:space="preserve">: </w:t>
      </w:r>
      <w:r>
        <w:rPr>
          <w:lang w:val="en-US"/>
        </w:rPr>
        <w:t xml:space="preserve">An in-house investigator working exclusively for ITU and with no concurrent duties will prioritize ITU investigations. </w:t>
      </w:r>
      <w:r w:rsidR="00F72091">
        <w:rPr>
          <w:lang w:val="en-US"/>
        </w:rPr>
        <w:t>N</w:t>
      </w:r>
      <w:r w:rsidR="00AD7D90">
        <w:rPr>
          <w:lang w:val="en-US"/>
        </w:rPr>
        <w:t xml:space="preserve">ot having an in-house investigator </w:t>
      </w:r>
      <w:r>
        <w:rPr>
          <w:lang w:val="en-US"/>
        </w:rPr>
        <w:t xml:space="preserve">in the last year or two, has had a massive impact on some units (most particularly IAU, to the point that it has seriously affected the implementation of the </w:t>
      </w:r>
      <w:r w:rsidR="000649BF">
        <w:rPr>
          <w:lang w:val="en-US"/>
        </w:rPr>
        <w:t xml:space="preserve">annual </w:t>
      </w:r>
      <w:r>
        <w:rPr>
          <w:lang w:val="en-US"/>
        </w:rPr>
        <w:t xml:space="preserve">audit work plan). </w:t>
      </w:r>
      <w:r w:rsidR="00EE325E">
        <w:rPr>
          <w:lang w:val="en-US"/>
        </w:rPr>
        <w:t>Although some such challenges w</w:t>
      </w:r>
      <w:r w:rsidR="007462DC">
        <w:rPr>
          <w:lang w:val="en-US"/>
        </w:rPr>
        <w:t xml:space="preserve">ould </w:t>
      </w:r>
      <w:r w:rsidR="00EE325E">
        <w:rPr>
          <w:lang w:val="en-US"/>
        </w:rPr>
        <w:t>partially remain</w:t>
      </w:r>
      <w:r w:rsidR="007462DC">
        <w:rPr>
          <w:lang w:val="en-US"/>
        </w:rPr>
        <w:t xml:space="preserve"> if ITU had one </w:t>
      </w:r>
      <w:r>
        <w:rPr>
          <w:lang w:val="en-US"/>
        </w:rPr>
        <w:t>in-house investigator</w:t>
      </w:r>
      <w:r w:rsidR="007462DC">
        <w:rPr>
          <w:lang w:val="en-US"/>
        </w:rPr>
        <w:t xml:space="preserve"> alone</w:t>
      </w:r>
      <w:r>
        <w:rPr>
          <w:lang w:val="en-US"/>
        </w:rPr>
        <w:t xml:space="preserve"> (e.g. note taking, interview with two individuals, prioritization of investigations, added work for other units, etc.)</w:t>
      </w:r>
      <w:r w:rsidR="007462DC">
        <w:rPr>
          <w:lang w:val="en-US"/>
        </w:rPr>
        <w:t xml:space="preserve">, this </w:t>
      </w:r>
      <w:r w:rsidR="00F72091">
        <w:rPr>
          <w:lang w:val="en-US"/>
        </w:rPr>
        <w:t xml:space="preserve">would still </w:t>
      </w:r>
      <w:r w:rsidR="007462DC">
        <w:rPr>
          <w:lang w:val="en-US"/>
        </w:rPr>
        <w:t>represent a significant improvement</w:t>
      </w:r>
      <w:r>
        <w:rPr>
          <w:lang w:val="en-US"/>
        </w:rPr>
        <w:t>.</w:t>
      </w:r>
    </w:p>
    <w:p w14:paraId="74886BDF" w14:textId="72A92DAE" w:rsidR="00D830DF" w:rsidRPr="001B1A77" w:rsidRDefault="00D830DF" w:rsidP="00C43BC8">
      <w:pPr>
        <w:pStyle w:val="ListParagraph"/>
        <w:numPr>
          <w:ilvl w:val="0"/>
          <w:numId w:val="2"/>
        </w:numPr>
        <w:tabs>
          <w:tab w:val="clear" w:pos="567"/>
          <w:tab w:val="clear" w:pos="1134"/>
          <w:tab w:val="clear" w:pos="1701"/>
          <w:tab w:val="clear" w:pos="2268"/>
          <w:tab w:val="clear" w:pos="2835"/>
        </w:tabs>
        <w:overflowPunct/>
        <w:autoSpaceDE/>
        <w:autoSpaceDN/>
        <w:adjustRightInd/>
        <w:spacing w:after="160" w:line="259" w:lineRule="auto"/>
        <w:ind w:left="992" w:hanging="357"/>
        <w:contextualSpacing w:val="0"/>
        <w:jc w:val="both"/>
        <w:textAlignment w:val="auto"/>
        <w:rPr>
          <w:lang w:val="en-US"/>
        </w:rPr>
      </w:pPr>
      <w:r w:rsidRPr="00DB58C2">
        <w:rPr>
          <w:i/>
          <w:iCs/>
          <w:lang w:val="en-US"/>
        </w:rPr>
        <w:t>Consistency</w:t>
      </w:r>
      <w:r w:rsidRPr="001B1A77">
        <w:rPr>
          <w:lang w:val="en-US"/>
        </w:rPr>
        <w:t>: A</w:t>
      </w:r>
      <w:r w:rsidR="000649BF">
        <w:rPr>
          <w:lang w:val="en-US"/>
        </w:rPr>
        <w:t>n in-house investigator</w:t>
      </w:r>
      <w:r w:rsidRPr="001B1A77">
        <w:rPr>
          <w:lang w:val="en-US"/>
        </w:rPr>
        <w:t xml:space="preserve"> </w:t>
      </w:r>
      <w:r w:rsidR="000649BF">
        <w:rPr>
          <w:lang w:val="en-US"/>
        </w:rPr>
        <w:t xml:space="preserve">guarantees that </w:t>
      </w:r>
      <w:r w:rsidRPr="001B1A77">
        <w:rPr>
          <w:lang w:val="en-US"/>
        </w:rPr>
        <w:t>the same standards are applied across all cases</w:t>
      </w:r>
      <w:r w:rsidR="000649BF">
        <w:rPr>
          <w:lang w:val="en-US"/>
        </w:rPr>
        <w:t xml:space="preserve">, </w:t>
      </w:r>
      <w:r w:rsidRPr="001B1A77">
        <w:rPr>
          <w:lang w:val="en-US"/>
        </w:rPr>
        <w:t xml:space="preserve">is </w:t>
      </w:r>
      <w:r>
        <w:rPr>
          <w:lang w:val="en-US"/>
        </w:rPr>
        <w:t>well-placed</w:t>
      </w:r>
      <w:r w:rsidRPr="001B1A77">
        <w:rPr>
          <w:lang w:val="en-US"/>
        </w:rPr>
        <w:t xml:space="preserve"> to detect and address inconsistencies, to put in place </w:t>
      </w:r>
      <w:r>
        <w:rPr>
          <w:lang w:val="en-US"/>
        </w:rPr>
        <w:t>standard procedures</w:t>
      </w:r>
      <w:r w:rsidRPr="001B1A77">
        <w:rPr>
          <w:lang w:val="en-US"/>
        </w:rPr>
        <w:t>, templates and protocols and to provide uniform guidance to any external consultant that may still be hired.</w:t>
      </w:r>
      <w:r w:rsidR="00593365">
        <w:rPr>
          <w:lang w:val="en-US"/>
        </w:rPr>
        <w:t xml:space="preserve"> S/he would also help limiting the risks of inadequate </w:t>
      </w:r>
      <w:r w:rsidR="00593365" w:rsidRPr="001B1A77">
        <w:rPr>
          <w:lang w:val="en-US"/>
        </w:rPr>
        <w:t>administrative, logistical and background support</w:t>
      </w:r>
      <w:r w:rsidR="00593365">
        <w:rPr>
          <w:lang w:val="en-US"/>
        </w:rPr>
        <w:t>.</w:t>
      </w:r>
    </w:p>
    <w:p w14:paraId="5D4604FE" w14:textId="4297F651" w:rsidR="00A4593B" w:rsidRDefault="00D830DF" w:rsidP="00C43BC8">
      <w:pPr>
        <w:pStyle w:val="ListParagraph"/>
        <w:numPr>
          <w:ilvl w:val="0"/>
          <w:numId w:val="2"/>
        </w:numPr>
        <w:tabs>
          <w:tab w:val="clear" w:pos="567"/>
          <w:tab w:val="clear" w:pos="1134"/>
          <w:tab w:val="clear" w:pos="1701"/>
          <w:tab w:val="clear" w:pos="2268"/>
          <w:tab w:val="clear" w:pos="2835"/>
        </w:tabs>
        <w:overflowPunct/>
        <w:autoSpaceDE/>
        <w:autoSpaceDN/>
        <w:adjustRightInd/>
        <w:spacing w:after="160" w:line="259" w:lineRule="auto"/>
        <w:ind w:left="992" w:hanging="357"/>
        <w:contextualSpacing w:val="0"/>
        <w:jc w:val="both"/>
        <w:textAlignment w:val="auto"/>
        <w:rPr>
          <w:lang w:val="en-US"/>
        </w:rPr>
      </w:pPr>
      <w:r>
        <w:rPr>
          <w:i/>
          <w:lang w:val="en-US"/>
        </w:rPr>
        <w:t>More c</w:t>
      </w:r>
      <w:r w:rsidRPr="00DB58C2">
        <w:rPr>
          <w:i/>
          <w:lang w:val="en-US"/>
        </w:rPr>
        <w:t>onfidentiality</w:t>
      </w:r>
      <w:r>
        <w:rPr>
          <w:i/>
          <w:lang w:val="en-US"/>
        </w:rPr>
        <w:t>, l</w:t>
      </w:r>
      <w:r w:rsidR="00786049">
        <w:rPr>
          <w:i/>
          <w:lang w:val="en-US"/>
        </w:rPr>
        <w:t>imited</w:t>
      </w:r>
      <w:r>
        <w:rPr>
          <w:i/>
          <w:lang w:val="en-US"/>
        </w:rPr>
        <w:t xml:space="preserve"> conflict of interests</w:t>
      </w:r>
      <w:r w:rsidRPr="001B1A77">
        <w:rPr>
          <w:lang w:val="en-US"/>
        </w:rPr>
        <w:t xml:space="preserve">: </w:t>
      </w:r>
      <w:r>
        <w:rPr>
          <w:lang w:val="en-US"/>
        </w:rPr>
        <w:t xml:space="preserve">An </w:t>
      </w:r>
      <w:r w:rsidR="00593365">
        <w:rPr>
          <w:lang w:val="en-US"/>
        </w:rPr>
        <w:t xml:space="preserve">in-house </w:t>
      </w:r>
      <w:r>
        <w:rPr>
          <w:lang w:val="en-US"/>
        </w:rPr>
        <w:t>investigator centralizing investigations is likely to</w:t>
      </w:r>
      <w:r w:rsidR="00593365">
        <w:rPr>
          <w:lang w:val="en-US"/>
        </w:rPr>
        <w:t xml:space="preserve"> avoid having</w:t>
      </w:r>
      <w:r w:rsidRPr="001B1A77">
        <w:rPr>
          <w:lang w:val="en-US"/>
        </w:rPr>
        <w:t xml:space="preserve"> situation</w:t>
      </w:r>
      <w:r w:rsidR="00593365">
        <w:rPr>
          <w:lang w:val="en-US"/>
        </w:rPr>
        <w:t>s</w:t>
      </w:r>
      <w:r w:rsidRPr="001B1A77">
        <w:rPr>
          <w:lang w:val="en-US"/>
        </w:rPr>
        <w:t xml:space="preserve"> </w:t>
      </w:r>
      <w:r w:rsidR="00593365">
        <w:rPr>
          <w:lang w:val="en-US"/>
        </w:rPr>
        <w:t>whereby</w:t>
      </w:r>
      <w:r w:rsidRPr="001B1A77">
        <w:rPr>
          <w:lang w:val="en-US"/>
        </w:rPr>
        <w:t xml:space="preserve"> a number of other units</w:t>
      </w:r>
      <w:r>
        <w:rPr>
          <w:lang w:val="en-US"/>
        </w:rPr>
        <w:t>’ staff</w:t>
      </w:r>
      <w:r w:rsidRPr="001B1A77">
        <w:rPr>
          <w:lang w:val="en-US"/>
        </w:rPr>
        <w:t xml:space="preserve"> becom</w:t>
      </w:r>
      <w:r w:rsidR="00593365">
        <w:rPr>
          <w:lang w:val="en-US"/>
        </w:rPr>
        <w:t>e</w:t>
      </w:r>
      <w:r w:rsidRPr="001B1A77">
        <w:rPr>
          <w:lang w:val="en-US"/>
        </w:rPr>
        <w:t xml:space="preserve"> aware of investigation details</w:t>
      </w:r>
      <w:r w:rsidR="00786049">
        <w:rPr>
          <w:lang w:val="en-US"/>
        </w:rPr>
        <w:t xml:space="preserve"> which would avoid thus </w:t>
      </w:r>
      <w:r w:rsidRPr="001B1A77">
        <w:rPr>
          <w:lang w:val="en-US"/>
        </w:rPr>
        <w:t>conflict of interest (real or perceived) with respect to the core tasks of such units.</w:t>
      </w:r>
    </w:p>
    <w:p w14:paraId="6D573E96" w14:textId="7C702DE5" w:rsidR="00A4593B" w:rsidRDefault="00A4593B" w:rsidP="00A4593B">
      <w:pPr>
        <w:keepNext/>
        <w:ind w:firstLine="720"/>
        <w:rPr>
          <w:b/>
          <w:bCs/>
          <w:lang w:val="en-US"/>
        </w:rPr>
      </w:pPr>
      <w:r>
        <w:rPr>
          <w:b/>
          <w:bCs/>
          <w:lang w:val="en-US"/>
        </w:rPr>
        <w:t>Final considerations</w:t>
      </w:r>
    </w:p>
    <w:p w14:paraId="3D9784DA" w14:textId="5E5359AE" w:rsidR="00A4593B" w:rsidRPr="00CB31CC" w:rsidRDefault="00A4593B" w:rsidP="00C43BC8">
      <w:pPr>
        <w:pStyle w:val="ListParagraph"/>
        <w:numPr>
          <w:ilvl w:val="0"/>
          <w:numId w:val="4"/>
        </w:numPr>
        <w:tabs>
          <w:tab w:val="clear" w:pos="1134"/>
        </w:tabs>
        <w:spacing w:after="120"/>
        <w:ind w:left="0" w:firstLine="0"/>
        <w:contextualSpacing w:val="0"/>
        <w:jc w:val="both"/>
        <w:rPr>
          <w:lang w:val="en-US"/>
        </w:rPr>
      </w:pPr>
      <w:r w:rsidRPr="00CB31CC">
        <w:rPr>
          <w:lang w:val="en-US"/>
        </w:rPr>
        <w:t>Th</w:t>
      </w:r>
      <w:r>
        <w:rPr>
          <w:lang w:val="en-US"/>
        </w:rPr>
        <w:t xml:space="preserve">e proposal by the Secretary-General to set up an </w:t>
      </w:r>
      <w:proofErr w:type="spellStart"/>
      <w:r w:rsidRPr="00CB31CC">
        <w:rPr>
          <w:lang w:val="en-US"/>
        </w:rPr>
        <w:t>an</w:t>
      </w:r>
      <w:proofErr w:type="spellEnd"/>
      <w:r w:rsidRPr="00CB31CC">
        <w:rPr>
          <w:lang w:val="en-US"/>
        </w:rPr>
        <w:t xml:space="preserve"> independent investigation </w:t>
      </w:r>
      <w:r>
        <w:rPr>
          <w:lang w:val="en-US"/>
        </w:rPr>
        <w:t>function</w:t>
      </w:r>
      <w:r w:rsidRPr="00CB31CC">
        <w:rPr>
          <w:lang w:val="en-US"/>
        </w:rPr>
        <w:t>, through the creation of a dedicated position</w:t>
      </w:r>
      <w:r w:rsidR="00B607EE">
        <w:rPr>
          <w:lang w:val="en-US"/>
        </w:rPr>
        <w:t>,</w:t>
      </w:r>
      <w:r w:rsidRPr="00CB31CC">
        <w:rPr>
          <w:lang w:val="en-US"/>
        </w:rPr>
        <w:t xml:space="preserve"> is fully coherent with: </w:t>
      </w:r>
    </w:p>
    <w:p w14:paraId="78D074FC" w14:textId="5657E093" w:rsidR="00A4593B" w:rsidRDefault="00B607EE" w:rsidP="00A4593B">
      <w:pPr>
        <w:pStyle w:val="ListParagraph"/>
        <w:numPr>
          <w:ilvl w:val="0"/>
          <w:numId w:val="3"/>
        </w:numPr>
        <w:tabs>
          <w:tab w:val="clear" w:pos="567"/>
        </w:tabs>
        <w:spacing w:after="120"/>
        <w:ind w:left="1134"/>
        <w:contextualSpacing w:val="0"/>
        <w:jc w:val="both"/>
        <w:rPr>
          <w:lang w:val="en-US"/>
        </w:rPr>
      </w:pPr>
      <w:r>
        <w:rPr>
          <w:lang w:val="en-US"/>
        </w:rPr>
        <w:t>T</w:t>
      </w:r>
      <w:r w:rsidR="00A4593B">
        <w:rPr>
          <w:lang w:val="en-US"/>
        </w:rPr>
        <w:t>he conclusions and recommendations of the United Nations Joint Inspection Unit as established in the course of its r</w:t>
      </w:r>
      <w:r w:rsidR="00A4593B" w:rsidRPr="002A64FA">
        <w:rPr>
          <w:lang w:val="en-US"/>
        </w:rPr>
        <w:t>eview of the state of the investigation function</w:t>
      </w:r>
      <w:r w:rsidR="00A4593B">
        <w:rPr>
          <w:lang w:val="en-US"/>
        </w:rPr>
        <w:t xml:space="preserve"> and p</w:t>
      </w:r>
      <w:r w:rsidR="00A4593B" w:rsidRPr="002A64FA">
        <w:rPr>
          <w:lang w:val="en-US"/>
        </w:rPr>
        <w:t>rogress made in the United Nations system organizations in strengthening the investigation function</w:t>
      </w:r>
      <w:r w:rsidR="00A4593B">
        <w:rPr>
          <w:lang w:val="en-US"/>
        </w:rPr>
        <w:t xml:space="preserve">, one of the preliminary conclusions and recommendation is that organizations </w:t>
      </w:r>
      <w:r w:rsidR="00A4593B" w:rsidRPr="002A64FA">
        <w:rPr>
          <w:lang w:val="en-US"/>
        </w:rPr>
        <w:t>should review the adequacy of resources and staffing of the investigation function</w:t>
      </w:r>
      <w:r w:rsidR="00A4593B">
        <w:rPr>
          <w:rStyle w:val="FootnoteReference"/>
          <w:lang w:val="en-US"/>
        </w:rPr>
        <w:footnoteReference w:id="1"/>
      </w:r>
      <w:r w:rsidR="00A4593B">
        <w:rPr>
          <w:lang w:val="en-US"/>
        </w:rPr>
        <w:t>;</w:t>
      </w:r>
    </w:p>
    <w:p w14:paraId="7024E6EC" w14:textId="3EA4438D" w:rsidR="00A4593B" w:rsidRDefault="00A4593B" w:rsidP="00A4593B">
      <w:pPr>
        <w:pStyle w:val="ListParagraph"/>
        <w:numPr>
          <w:ilvl w:val="0"/>
          <w:numId w:val="3"/>
        </w:numPr>
        <w:tabs>
          <w:tab w:val="clear" w:pos="567"/>
        </w:tabs>
        <w:spacing w:after="120"/>
        <w:ind w:left="1134"/>
        <w:contextualSpacing w:val="0"/>
        <w:jc w:val="both"/>
        <w:rPr>
          <w:lang w:val="en-US"/>
        </w:rPr>
      </w:pPr>
      <w:r>
        <w:rPr>
          <w:lang w:val="en-US"/>
        </w:rPr>
        <w:t xml:space="preserve">The proposal made </w:t>
      </w:r>
      <w:r w:rsidRPr="00172AB1">
        <w:rPr>
          <w:lang w:val="en-US"/>
        </w:rPr>
        <w:t xml:space="preserve">in the </w:t>
      </w:r>
      <w:r>
        <w:rPr>
          <w:lang w:val="en-US"/>
        </w:rPr>
        <w:t>c</w:t>
      </w:r>
      <w:r w:rsidRPr="00172AB1">
        <w:rPr>
          <w:lang w:val="en-US"/>
        </w:rPr>
        <w:t>ontribution by the United States of America</w:t>
      </w:r>
      <w:r>
        <w:rPr>
          <w:lang w:val="en-US"/>
        </w:rPr>
        <w:t xml:space="preserve"> to the Council Working Group on Finance and Human Resources at its 11</w:t>
      </w:r>
      <w:r w:rsidRPr="00780E52">
        <w:rPr>
          <w:vertAlign w:val="superscript"/>
          <w:lang w:val="en-US"/>
        </w:rPr>
        <w:t>th</w:t>
      </w:r>
      <w:r>
        <w:rPr>
          <w:lang w:val="en-US"/>
        </w:rPr>
        <w:t xml:space="preserve"> session in</w:t>
      </w:r>
      <w:r w:rsidRPr="0077277A">
        <w:rPr>
          <w:lang w:val="en-US"/>
        </w:rPr>
        <w:t xml:space="preserve"> </w:t>
      </w:r>
      <w:r>
        <w:rPr>
          <w:lang w:val="en-US"/>
        </w:rPr>
        <w:t>February 2020, in Document CWG-FHR-11/15.  The conclusions of the CWG-FHR on that proposal can be found in the Summary report of the Chair, in Document CWG-FHR/11-20, paragraph 9.6.</w:t>
      </w:r>
    </w:p>
    <w:p w14:paraId="3EC03BCF" w14:textId="4A4D97AE" w:rsidR="00B607EE" w:rsidRPr="002A64FA" w:rsidRDefault="00422182" w:rsidP="00A4593B">
      <w:pPr>
        <w:pStyle w:val="ListParagraph"/>
        <w:numPr>
          <w:ilvl w:val="0"/>
          <w:numId w:val="3"/>
        </w:numPr>
        <w:tabs>
          <w:tab w:val="clear" w:pos="567"/>
        </w:tabs>
        <w:spacing w:after="120"/>
        <w:ind w:left="1134"/>
        <w:contextualSpacing w:val="0"/>
        <w:jc w:val="both"/>
        <w:rPr>
          <w:lang w:val="en-US"/>
        </w:rPr>
      </w:pPr>
      <w:r>
        <w:rPr>
          <w:lang w:val="en-US"/>
        </w:rPr>
        <w:t>Best practices within the UN common system, as shown in Annexes I to XII to the JIU Report</w:t>
      </w:r>
      <w:r w:rsidR="00B607EE">
        <w:rPr>
          <w:lang w:val="en-US"/>
        </w:rPr>
        <w:t>.</w:t>
      </w:r>
    </w:p>
    <w:p w14:paraId="52BBE3D8" w14:textId="77777777" w:rsidR="00A4593B" w:rsidRPr="00CB31CC" w:rsidRDefault="00A4593B" w:rsidP="00C43BC8">
      <w:pPr>
        <w:pStyle w:val="ListParagraph"/>
        <w:numPr>
          <w:ilvl w:val="0"/>
          <w:numId w:val="4"/>
        </w:numPr>
        <w:tabs>
          <w:tab w:val="clear" w:pos="567"/>
          <w:tab w:val="left" w:pos="709"/>
        </w:tabs>
        <w:spacing w:after="120"/>
        <w:ind w:left="0" w:firstLine="0"/>
        <w:contextualSpacing w:val="0"/>
        <w:jc w:val="both"/>
        <w:rPr>
          <w:lang w:val="en-US"/>
        </w:rPr>
      </w:pPr>
      <w:r>
        <w:rPr>
          <w:lang w:val="en-US"/>
        </w:rPr>
        <w:t>It is proposed that the creation of this position be financed through a withdrawal from the Reserve Account.</w:t>
      </w:r>
    </w:p>
    <w:p w14:paraId="5EABCDCF" w14:textId="77777777" w:rsidR="00C43BC8" w:rsidRDefault="00C43BC8">
      <w:pPr>
        <w:tabs>
          <w:tab w:val="clear" w:pos="567"/>
          <w:tab w:val="clear" w:pos="1134"/>
          <w:tab w:val="clear" w:pos="1701"/>
          <w:tab w:val="clear" w:pos="2268"/>
          <w:tab w:val="clear" w:pos="2835"/>
        </w:tabs>
        <w:overflowPunct/>
        <w:autoSpaceDE/>
        <w:autoSpaceDN/>
        <w:adjustRightInd/>
        <w:spacing w:before="0"/>
        <w:textAlignment w:val="auto"/>
        <w:rPr>
          <w:sz w:val="28"/>
          <w:szCs w:val="28"/>
          <w:lang w:val="en-US"/>
        </w:rPr>
      </w:pPr>
      <w:r>
        <w:rPr>
          <w:sz w:val="28"/>
          <w:szCs w:val="28"/>
          <w:lang w:val="en-US"/>
        </w:rPr>
        <w:br w:type="page"/>
      </w:r>
    </w:p>
    <w:p w14:paraId="07E87B92" w14:textId="45B227C0" w:rsidR="005D628F" w:rsidRDefault="005D628F" w:rsidP="00C43BC8">
      <w:pPr>
        <w:pStyle w:val="AnnexNo"/>
        <w:rPr>
          <w:lang w:val="en-US"/>
        </w:rPr>
      </w:pPr>
      <w:r>
        <w:rPr>
          <w:lang w:val="en-US"/>
        </w:rPr>
        <w:lastRenderedPageBreak/>
        <w:t>ANNEX</w:t>
      </w:r>
    </w:p>
    <w:p w14:paraId="7CD94C5A" w14:textId="178C0BFD" w:rsidR="005D628F" w:rsidRDefault="005D628F" w:rsidP="00C43BC8">
      <w:pPr>
        <w:pStyle w:val="ResNo"/>
      </w:pPr>
      <w:r>
        <w:t>draft DECision</w:t>
      </w:r>
    </w:p>
    <w:p w14:paraId="649BA2A9" w14:textId="66CF7030" w:rsidR="00C43BC8" w:rsidRPr="00C43BC8" w:rsidRDefault="00C43BC8" w:rsidP="00C43BC8">
      <w:pPr>
        <w:pStyle w:val="Restitle"/>
      </w:pPr>
      <w:r w:rsidRPr="00312656">
        <w:rPr>
          <w:lang w:val="en-US"/>
        </w:rPr>
        <w:t>C</w:t>
      </w:r>
      <w:r>
        <w:rPr>
          <w:lang w:val="en-US"/>
        </w:rPr>
        <w:t>reation and funding of n</w:t>
      </w:r>
      <w:r w:rsidRPr="00312656">
        <w:rPr>
          <w:lang w:val="en-US"/>
        </w:rPr>
        <w:t xml:space="preserve">ew </w:t>
      </w:r>
      <w:r>
        <w:rPr>
          <w:lang w:val="en-US"/>
        </w:rPr>
        <w:t>i</w:t>
      </w:r>
      <w:r w:rsidRPr="00312656">
        <w:rPr>
          <w:lang w:val="en-US"/>
        </w:rPr>
        <w:t xml:space="preserve">nvestigation </w:t>
      </w:r>
      <w:r>
        <w:rPr>
          <w:lang w:val="en-US"/>
        </w:rPr>
        <w:t>f</w:t>
      </w:r>
      <w:r w:rsidRPr="00312656">
        <w:rPr>
          <w:lang w:val="en-US"/>
        </w:rPr>
        <w:t>unction</w:t>
      </w:r>
    </w:p>
    <w:p w14:paraId="3753215E" w14:textId="7B147759" w:rsidR="005D628F" w:rsidRDefault="005D628F" w:rsidP="005D628F">
      <w:pPr>
        <w:pStyle w:val="Normalaftertitle"/>
        <w:rPr>
          <w:rFonts w:cs="Calibri"/>
        </w:rPr>
      </w:pPr>
      <w:r>
        <w:rPr>
          <w:rFonts w:cs="Calibri"/>
        </w:rPr>
        <w:t>The Counci</w:t>
      </w:r>
      <w:r w:rsidR="00FA151F">
        <w:rPr>
          <w:rFonts w:cs="Calibri"/>
        </w:rPr>
        <w:t>l</w:t>
      </w:r>
      <w:r>
        <w:rPr>
          <w:rFonts w:cs="Calibri"/>
        </w:rPr>
        <w:t>,</w:t>
      </w:r>
    </w:p>
    <w:p w14:paraId="0B33D29E" w14:textId="77777777" w:rsidR="005D628F" w:rsidRPr="00C43BC8" w:rsidRDefault="005D628F" w:rsidP="005D628F">
      <w:pPr>
        <w:pStyle w:val="call0"/>
        <w:rPr>
          <w:rFonts w:ascii="Calibri" w:hAnsi="Calibri" w:cs="Calibri"/>
          <w:sz w:val="24"/>
          <w:szCs w:val="24"/>
        </w:rPr>
      </w:pPr>
      <w:r w:rsidRPr="00C43BC8">
        <w:rPr>
          <w:rFonts w:ascii="Calibri" w:hAnsi="Calibri" w:cs="Calibri"/>
          <w:sz w:val="24"/>
          <w:szCs w:val="24"/>
        </w:rPr>
        <w:t>in view of</w:t>
      </w:r>
    </w:p>
    <w:p w14:paraId="5E23A51A" w14:textId="77777777" w:rsidR="005D628F" w:rsidRDefault="005D628F" w:rsidP="005D628F">
      <w:pPr>
        <w:rPr>
          <w:lang w:val="en-US"/>
        </w:rPr>
      </w:pPr>
      <w:r>
        <w:rPr>
          <w:lang w:val="en-US"/>
        </w:rPr>
        <w:t>Decision 5 (Rev. Dubai, 2018) adopted by the Plenipotentiary Conference,</w:t>
      </w:r>
    </w:p>
    <w:p w14:paraId="1881CF02" w14:textId="77777777" w:rsidR="005D628F" w:rsidRPr="00C43BC8" w:rsidRDefault="005D628F" w:rsidP="005D628F">
      <w:pPr>
        <w:pStyle w:val="call0"/>
        <w:rPr>
          <w:rFonts w:ascii="Calibri" w:hAnsi="Calibri" w:cs="Calibri"/>
          <w:sz w:val="24"/>
          <w:szCs w:val="24"/>
        </w:rPr>
      </w:pPr>
      <w:r w:rsidRPr="00C43BC8">
        <w:rPr>
          <w:rFonts w:ascii="Calibri" w:hAnsi="Calibri" w:cs="Calibri"/>
          <w:sz w:val="24"/>
          <w:szCs w:val="24"/>
        </w:rPr>
        <w:t>having considered</w:t>
      </w:r>
    </w:p>
    <w:p w14:paraId="46EF3D2B" w14:textId="03882165" w:rsidR="005D628F" w:rsidRDefault="005D628F" w:rsidP="005D628F">
      <w:pPr>
        <w:rPr>
          <w:lang w:val="en-US"/>
        </w:rPr>
      </w:pPr>
      <w:r>
        <w:rPr>
          <w:lang w:val="en-US"/>
        </w:rPr>
        <w:t xml:space="preserve">the </w:t>
      </w:r>
      <w:r w:rsidR="00C43BC8">
        <w:rPr>
          <w:lang w:val="en-US"/>
        </w:rPr>
        <w:t>D</w:t>
      </w:r>
      <w:r>
        <w:rPr>
          <w:lang w:val="en-US"/>
        </w:rPr>
        <w:t>ocument C20/</w:t>
      </w:r>
      <w:r w:rsidR="00C43BC8">
        <w:rPr>
          <w:lang w:val="en-US"/>
        </w:rPr>
        <w:t>60</w:t>
      </w:r>
      <w:r>
        <w:rPr>
          <w:lang w:val="en-US"/>
        </w:rPr>
        <w:t xml:space="preserve"> presented by the Secretary-General on the proposed</w:t>
      </w:r>
      <w:r>
        <w:t xml:space="preserve"> creation of an independent investigation function</w:t>
      </w:r>
      <w:r>
        <w:rPr>
          <w:lang w:val="en-US"/>
        </w:rPr>
        <w:t xml:space="preserve"> </w:t>
      </w:r>
    </w:p>
    <w:p w14:paraId="630A725C" w14:textId="77777777" w:rsidR="005D628F" w:rsidRPr="00C43BC8" w:rsidRDefault="005D628F" w:rsidP="005D628F">
      <w:pPr>
        <w:pStyle w:val="call0"/>
        <w:rPr>
          <w:rFonts w:ascii="Calibri" w:hAnsi="Calibri" w:cs="Calibri"/>
          <w:sz w:val="24"/>
          <w:szCs w:val="24"/>
        </w:rPr>
      </w:pPr>
      <w:r w:rsidRPr="00C43BC8">
        <w:rPr>
          <w:rFonts w:ascii="Calibri" w:hAnsi="Calibri" w:cs="Calibri"/>
          <w:sz w:val="24"/>
          <w:szCs w:val="24"/>
        </w:rPr>
        <w:t>decides</w:t>
      </w:r>
    </w:p>
    <w:p w14:paraId="22D2282A" w14:textId="77777777" w:rsidR="005D628F" w:rsidRDefault="005D628F" w:rsidP="005D628F">
      <w:pPr>
        <w:rPr>
          <w:rFonts w:cs="Calibri"/>
          <w:szCs w:val="24"/>
          <w:lang w:val="en-US"/>
        </w:rPr>
      </w:pPr>
      <w:r>
        <w:rPr>
          <w:lang w:val="en-US"/>
        </w:rPr>
        <w:t xml:space="preserve">to approve the creation of an independent investigation at the </w:t>
      </w:r>
      <w:r w:rsidRPr="00543CAE">
        <w:rPr>
          <w:color w:val="FF0000"/>
          <w:lang w:val="en-US"/>
        </w:rPr>
        <w:t xml:space="preserve">P5/P4 </w:t>
      </w:r>
      <w:r>
        <w:rPr>
          <w:lang w:val="en-US"/>
        </w:rPr>
        <w:t xml:space="preserve">level and </w:t>
      </w:r>
      <w:r>
        <w:rPr>
          <w:rFonts w:cs="Calibri"/>
          <w:szCs w:val="24"/>
          <w:lang w:val="en-US"/>
        </w:rPr>
        <w:t>to authorize the Secretary-General, in accordance with Article 27 of the Financial Regulations and Financial Rules, to withdraw ¨{</w:t>
      </w:r>
      <w:r w:rsidRPr="004808A5">
        <w:rPr>
          <w:rFonts w:cs="Calibri"/>
          <w:color w:val="FF0000"/>
          <w:szCs w:val="24"/>
          <w:lang w:val="en-US"/>
        </w:rPr>
        <w:t>CHF 8</w:t>
      </w:r>
      <w:r>
        <w:rPr>
          <w:rFonts w:cs="Calibri"/>
          <w:color w:val="FF0000"/>
          <w:szCs w:val="24"/>
          <w:lang w:val="en-US"/>
        </w:rPr>
        <w:t>15</w:t>
      </w:r>
      <w:r w:rsidRPr="004808A5">
        <w:rPr>
          <w:rFonts w:cs="Calibri"/>
          <w:color w:val="FF0000"/>
          <w:szCs w:val="24"/>
          <w:lang w:val="en-US"/>
        </w:rPr>
        <w:t>’</w:t>
      </w:r>
      <w:r>
        <w:rPr>
          <w:rFonts w:cs="Calibri"/>
          <w:color w:val="FF0000"/>
          <w:szCs w:val="24"/>
          <w:lang w:val="en-US"/>
        </w:rPr>
        <w:t>0</w:t>
      </w:r>
      <w:r w:rsidRPr="004808A5">
        <w:rPr>
          <w:rFonts w:cs="Calibri"/>
          <w:color w:val="FF0000"/>
          <w:szCs w:val="24"/>
          <w:lang w:val="en-US"/>
        </w:rPr>
        <w:t>00/7</w:t>
      </w:r>
      <w:r>
        <w:rPr>
          <w:rFonts w:cs="Calibri"/>
          <w:color w:val="FF0000"/>
          <w:szCs w:val="24"/>
          <w:lang w:val="en-US"/>
        </w:rPr>
        <w:t>02</w:t>
      </w:r>
      <w:r w:rsidRPr="004808A5">
        <w:rPr>
          <w:rFonts w:cs="Calibri"/>
          <w:color w:val="FF0000"/>
          <w:szCs w:val="24"/>
          <w:lang w:val="en-US"/>
        </w:rPr>
        <w:t>’000</w:t>
      </w:r>
      <w:r>
        <w:rPr>
          <w:rFonts w:cs="Calibri"/>
          <w:szCs w:val="24"/>
          <w:lang w:val="en-US"/>
        </w:rPr>
        <w:t>}</w:t>
      </w:r>
      <w:r>
        <w:rPr>
          <w:rStyle w:val="EndnoteReference"/>
          <w:rFonts w:cs="Calibri"/>
          <w:szCs w:val="24"/>
          <w:lang w:val="en-US"/>
        </w:rPr>
        <w:endnoteReference w:id="1"/>
      </w:r>
      <w:r>
        <w:rPr>
          <w:rFonts w:cs="Calibri"/>
          <w:szCs w:val="24"/>
          <w:lang w:val="en-US"/>
        </w:rPr>
        <w:t xml:space="preserve"> from the Reserve Account to cover the costs of this function for the year 2020 to 2023. </w:t>
      </w:r>
    </w:p>
    <w:p w14:paraId="1946EC3B" w14:textId="1875E2E8" w:rsidR="005D628F" w:rsidRPr="00C43BC8" w:rsidRDefault="005D628F" w:rsidP="00C43BC8">
      <w:pPr>
        <w:pStyle w:val="call0"/>
        <w:rPr>
          <w:sz w:val="24"/>
          <w:szCs w:val="24"/>
        </w:rPr>
      </w:pPr>
      <w:r w:rsidRPr="00C43BC8">
        <w:rPr>
          <w:sz w:val="24"/>
          <w:szCs w:val="24"/>
        </w:rPr>
        <w:t>instructs the Secretary-General</w:t>
      </w:r>
    </w:p>
    <w:p w14:paraId="50E14EB3" w14:textId="6A5BF2F4" w:rsidR="005D628F" w:rsidRDefault="005D628F" w:rsidP="005D628F">
      <w:pPr>
        <w:rPr>
          <w:lang w:val="en-US"/>
        </w:rPr>
      </w:pPr>
      <w:r>
        <w:rPr>
          <w:lang w:val="en-US"/>
        </w:rPr>
        <w:t>to implement the above-mentioned decision in 2020, as necessary, and to report to the 2021 Council Session.</w:t>
      </w:r>
    </w:p>
    <w:p w14:paraId="618F63CC" w14:textId="52FB4225" w:rsidR="00C43BC8" w:rsidRDefault="00D17A43" w:rsidP="00D17A43">
      <w:pPr>
        <w:spacing w:before="840"/>
        <w:jc w:val="center"/>
        <w:rPr>
          <w:u w:val="single"/>
          <w:lang w:val="en-US"/>
        </w:rPr>
      </w:pPr>
      <w:r>
        <w:rPr>
          <w:u w:val="single"/>
          <w:lang w:val="en-US"/>
        </w:rPr>
        <w:t>______________________</w:t>
      </w:r>
    </w:p>
    <w:p w14:paraId="0C25728A" w14:textId="77777777" w:rsidR="00D17A43" w:rsidRPr="00C43BC8" w:rsidRDefault="00D17A43" w:rsidP="00D17A43">
      <w:pPr>
        <w:spacing w:before="840"/>
        <w:jc w:val="center"/>
      </w:pPr>
    </w:p>
    <w:sectPr w:rsidR="00D17A43" w:rsidRPr="00C43BC8" w:rsidSect="00876816">
      <w:headerReference w:type="default" r:id="rId14"/>
      <w:footerReference w:type="first" r:id="rId15"/>
      <w:pgSz w:w="11907" w:h="16834" w:code="9"/>
      <w:pgMar w:top="1361" w:right="1134" w:bottom="136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4062F" w14:textId="77777777" w:rsidR="007B08A1" w:rsidRDefault="007B08A1">
      <w:r>
        <w:separator/>
      </w:r>
    </w:p>
  </w:endnote>
  <w:endnote w:type="continuationSeparator" w:id="0">
    <w:p w14:paraId="7B0417AB" w14:textId="77777777" w:rsidR="007B08A1" w:rsidRDefault="007B08A1">
      <w:r>
        <w:continuationSeparator/>
      </w:r>
    </w:p>
  </w:endnote>
  <w:endnote w:id="1">
    <w:p w14:paraId="1F053B51" w14:textId="77777777" w:rsidR="005D628F" w:rsidRPr="004808A5" w:rsidRDefault="005D628F" w:rsidP="00D17A43">
      <w:pPr>
        <w:pStyle w:val="EndnoteText"/>
        <w:rPr>
          <w:lang w:val="en-US"/>
        </w:rPr>
      </w:pPr>
      <w:r>
        <w:rPr>
          <w:rStyle w:val="EndnoteReference"/>
        </w:rPr>
        <w:endnoteRef/>
      </w:r>
      <w:r>
        <w:t xml:space="preserve"> </w:t>
      </w:r>
      <w:r>
        <w:rPr>
          <w:lang w:val="en-US"/>
        </w:rPr>
        <w:t>The current financial, approved in Dubai 2018, did not include this cost. Next financial plan 2024-2027 will include this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12A7"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70097" w14:textId="77777777" w:rsidR="007B08A1" w:rsidRDefault="007B08A1">
      <w:r>
        <w:t>____________________</w:t>
      </w:r>
    </w:p>
  </w:footnote>
  <w:footnote w:type="continuationSeparator" w:id="0">
    <w:p w14:paraId="11A3D8AC" w14:textId="77777777" w:rsidR="007B08A1" w:rsidRDefault="007B08A1">
      <w:r>
        <w:continuationSeparator/>
      </w:r>
    </w:p>
  </w:footnote>
  <w:footnote w:id="1">
    <w:p w14:paraId="0D20B5E8" w14:textId="79B50B99" w:rsidR="00A4593B" w:rsidRPr="00780E52" w:rsidRDefault="00A4593B" w:rsidP="00D17A43">
      <w:pPr>
        <w:pStyle w:val="FootnoteText"/>
        <w:tabs>
          <w:tab w:val="clear" w:pos="256"/>
          <w:tab w:val="clear" w:pos="567"/>
          <w:tab w:val="clear" w:pos="1134"/>
          <w:tab w:val="clear" w:pos="1701"/>
          <w:tab w:val="clear" w:pos="2268"/>
          <w:tab w:val="clear" w:pos="2835"/>
        </w:tabs>
        <w:rPr>
          <w:lang w:val="en-US"/>
        </w:rPr>
      </w:pPr>
      <w:r>
        <w:rPr>
          <w:rStyle w:val="FootnoteReference"/>
        </w:rPr>
        <w:footnoteRef/>
      </w:r>
      <w:r>
        <w:t xml:space="preserve"> </w:t>
      </w:r>
      <w:r w:rsidR="00D17A43">
        <w:tab/>
      </w:r>
      <w:r w:rsidRPr="00D17A43">
        <w:rPr>
          <w:sz w:val="22"/>
          <w:szCs w:val="22"/>
          <w:lang w:val="en-US"/>
        </w:rPr>
        <w:t xml:space="preserve">The full report </w:t>
      </w:r>
      <w:r w:rsidRPr="00D17A43">
        <w:rPr>
          <w:i/>
          <w:iCs/>
          <w:sz w:val="22"/>
          <w:szCs w:val="22"/>
          <w:lang w:val="en-US"/>
        </w:rPr>
        <w:t>JIU Review on the state of the investigation function</w:t>
      </w:r>
      <w:r w:rsidRPr="00D17A43">
        <w:rPr>
          <w:sz w:val="22"/>
          <w:szCs w:val="22"/>
          <w:lang w:val="en-US"/>
        </w:rPr>
        <w:t xml:space="preserve"> may be found at </w:t>
      </w:r>
      <w:hyperlink r:id="rId1" w:history="1">
        <w:r w:rsidRPr="00D17A43">
          <w:rPr>
            <w:rStyle w:val="Hyperlink"/>
            <w:sz w:val="22"/>
            <w:szCs w:val="22"/>
          </w:rPr>
          <w:t>https://www.unjiu.org/content/reports</w:t>
        </w:r>
      </w:hyperlink>
      <w:r w:rsidRPr="00D17A43">
        <w:rPr>
          <w:sz w:val="22"/>
          <w:szCs w:val="22"/>
          <w:lang w:val="en-US"/>
        </w:rPr>
        <w:t xml:space="preserve"> - at the time of drafting the current Council document it was not yet available in its final version</w:t>
      </w:r>
      <w:r w:rsidR="008D58A2" w:rsidRPr="00D17A43">
        <w:rPr>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7C7E" w14:textId="301A3660" w:rsidR="00322D0D" w:rsidRDefault="006535F1" w:rsidP="00CE433C">
    <w:pPr>
      <w:pStyle w:val="Header"/>
    </w:pPr>
    <w:r>
      <w:fldChar w:fldCharType="begin"/>
    </w:r>
    <w:r>
      <w:instrText>PAGE</w:instrText>
    </w:r>
    <w:r>
      <w:fldChar w:fldCharType="separate"/>
    </w:r>
    <w:r w:rsidR="008D58A2">
      <w:rPr>
        <w:noProof/>
      </w:rPr>
      <w:t>4</w:t>
    </w:r>
    <w:r>
      <w:rPr>
        <w:noProof/>
      </w:rPr>
      <w:fldChar w:fldCharType="end"/>
    </w:r>
  </w:p>
  <w:p w14:paraId="72F2C476" w14:textId="0CF35F0F" w:rsidR="00322D0D" w:rsidRPr="00623AE3" w:rsidRDefault="00D338E0" w:rsidP="00D338E0">
    <w:pPr>
      <w:pStyle w:val="Header"/>
      <w:rPr>
        <w:bCs/>
      </w:rPr>
    </w:pPr>
    <w:r>
      <w:rPr>
        <w:bCs/>
      </w:rPr>
      <w:t>C20</w:t>
    </w:r>
    <w:r w:rsidR="00623AE3" w:rsidRPr="00623AE3">
      <w:rPr>
        <w:bCs/>
      </w:rPr>
      <w:t>/</w:t>
    </w:r>
    <w:r w:rsidR="00312656">
      <w:rPr>
        <w:bCs/>
      </w:rPr>
      <w:t>60</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F640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2006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70E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B68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B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4E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E7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90A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52C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E4E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080F50"/>
    <w:multiLevelType w:val="hybridMultilevel"/>
    <w:tmpl w:val="5C301A54"/>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AF8793B"/>
    <w:multiLevelType w:val="hybridMultilevel"/>
    <w:tmpl w:val="87844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11DB8"/>
    <w:multiLevelType w:val="hybridMultilevel"/>
    <w:tmpl w:val="AB624C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12"/>
  </w:num>
  <w:num w:numId="4">
    <w:abstractNumId w:val="1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26E0"/>
    <w:rsid w:val="00063016"/>
    <w:rsid w:val="000649BF"/>
    <w:rsid w:val="00066795"/>
    <w:rsid w:val="00072418"/>
    <w:rsid w:val="00076AF6"/>
    <w:rsid w:val="00085CF2"/>
    <w:rsid w:val="000B1705"/>
    <w:rsid w:val="000D546D"/>
    <w:rsid w:val="000D75B2"/>
    <w:rsid w:val="000E3E60"/>
    <w:rsid w:val="000E5CF8"/>
    <w:rsid w:val="000F35DA"/>
    <w:rsid w:val="001121F5"/>
    <w:rsid w:val="001145C4"/>
    <w:rsid w:val="001400DC"/>
    <w:rsid w:val="00140CE1"/>
    <w:rsid w:val="00144DD6"/>
    <w:rsid w:val="00154683"/>
    <w:rsid w:val="0017539C"/>
    <w:rsid w:val="00175AC2"/>
    <w:rsid w:val="0017609F"/>
    <w:rsid w:val="001A0082"/>
    <w:rsid w:val="001C628E"/>
    <w:rsid w:val="001E0F7B"/>
    <w:rsid w:val="00204CE2"/>
    <w:rsid w:val="0020671E"/>
    <w:rsid w:val="002119FD"/>
    <w:rsid w:val="002130E0"/>
    <w:rsid w:val="00243087"/>
    <w:rsid w:val="00250AC2"/>
    <w:rsid w:val="00264425"/>
    <w:rsid w:val="00265875"/>
    <w:rsid w:val="00271D86"/>
    <w:rsid w:val="0027303B"/>
    <w:rsid w:val="00280F8D"/>
    <w:rsid w:val="0028109B"/>
    <w:rsid w:val="00285601"/>
    <w:rsid w:val="002A2188"/>
    <w:rsid w:val="002A64FA"/>
    <w:rsid w:val="002B1F58"/>
    <w:rsid w:val="002C1C7A"/>
    <w:rsid w:val="002C5527"/>
    <w:rsid w:val="002D181F"/>
    <w:rsid w:val="002F4831"/>
    <w:rsid w:val="0030160F"/>
    <w:rsid w:val="00312656"/>
    <w:rsid w:val="003205DF"/>
    <w:rsid w:val="00322D0D"/>
    <w:rsid w:val="00333961"/>
    <w:rsid w:val="00341477"/>
    <w:rsid w:val="00355129"/>
    <w:rsid w:val="003942D4"/>
    <w:rsid w:val="003958A8"/>
    <w:rsid w:val="003C2533"/>
    <w:rsid w:val="003E1EDC"/>
    <w:rsid w:val="003F1E0E"/>
    <w:rsid w:val="003F4E69"/>
    <w:rsid w:val="0040435A"/>
    <w:rsid w:val="00416A24"/>
    <w:rsid w:val="00422182"/>
    <w:rsid w:val="00431D9E"/>
    <w:rsid w:val="00433CE8"/>
    <w:rsid w:val="00434A5C"/>
    <w:rsid w:val="004544D9"/>
    <w:rsid w:val="00455D47"/>
    <w:rsid w:val="00457F16"/>
    <w:rsid w:val="00490E72"/>
    <w:rsid w:val="00491157"/>
    <w:rsid w:val="004921C8"/>
    <w:rsid w:val="004B716E"/>
    <w:rsid w:val="004D1851"/>
    <w:rsid w:val="004D1DB5"/>
    <w:rsid w:val="004D599D"/>
    <w:rsid w:val="004D6A6A"/>
    <w:rsid w:val="004D73F0"/>
    <w:rsid w:val="004E2EA5"/>
    <w:rsid w:val="004E3AEB"/>
    <w:rsid w:val="0050223C"/>
    <w:rsid w:val="0051534A"/>
    <w:rsid w:val="005243FF"/>
    <w:rsid w:val="005246C0"/>
    <w:rsid w:val="00564FBC"/>
    <w:rsid w:val="00582442"/>
    <w:rsid w:val="00593365"/>
    <w:rsid w:val="005D4E2F"/>
    <w:rsid w:val="005D628F"/>
    <w:rsid w:val="005E5AFA"/>
    <w:rsid w:val="005E7F08"/>
    <w:rsid w:val="005F3269"/>
    <w:rsid w:val="00623AE3"/>
    <w:rsid w:val="00636E94"/>
    <w:rsid w:val="0064737F"/>
    <w:rsid w:val="006535F1"/>
    <w:rsid w:val="0065557D"/>
    <w:rsid w:val="00662984"/>
    <w:rsid w:val="006716BB"/>
    <w:rsid w:val="006B6680"/>
    <w:rsid w:val="006B6DCC"/>
    <w:rsid w:val="006E212B"/>
    <w:rsid w:val="006E30B1"/>
    <w:rsid w:val="00702DEF"/>
    <w:rsid w:val="00706861"/>
    <w:rsid w:val="0071317B"/>
    <w:rsid w:val="00723970"/>
    <w:rsid w:val="00740FE3"/>
    <w:rsid w:val="007420E9"/>
    <w:rsid w:val="00745A92"/>
    <w:rsid w:val="007462DC"/>
    <w:rsid w:val="0075051B"/>
    <w:rsid w:val="0077277A"/>
    <w:rsid w:val="00780643"/>
    <w:rsid w:val="00786049"/>
    <w:rsid w:val="00786396"/>
    <w:rsid w:val="00792F12"/>
    <w:rsid w:val="00793188"/>
    <w:rsid w:val="00794D34"/>
    <w:rsid w:val="007B08A1"/>
    <w:rsid w:val="007F40CA"/>
    <w:rsid w:val="00813E5E"/>
    <w:rsid w:val="0083581B"/>
    <w:rsid w:val="00862102"/>
    <w:rsid w:val="00864AFF"/>
    <w:rsid w:val="00867527"/>
    <w:rsid w:val="00876816"/>
    <w:rsid w:val="0088455E"/>
    <w:rsid w:val="008B4A6A"/>
    <w:rsid w:val="008C7E27"/>
    <w:rsid w:val="008D58A2"/>
    <w:rsid w:val="009173EF"/>
    <w:rsid w:val="00926F47"/>
    <w:rsid w:val="00932906"/>
    <w:rsid w:val="00952207"/>
    <w:rsid w:val="00955C09"/>
    <w:rsid w:val="00961B0B"/>
    <w:rsid w:val="009B2672"/>
    <w:rsid w:val="009B38C3"/>
    <w:rsid w:val="009C4BE1"/>
    <w:rsid w:val="009E17BD"/>
    <w:rsid w:val="009E485A"/>
    <w:rsid w:val="009F5380"/>
    <w:rsid w:val="009F66A3"/>
    <w:rsid w:val="00A04CEC"/>
    <w:rsid w:val="00A27C43"/>
    <w:rsid w:val="00A27F92"/>
    <w:rsid w:val="00A32257"/>
    <w:rsid w:val="00A36D20"/>
    <w:rsid w:val="00A4593B"/>
    <w:rsid w:val="00A55622"/>
    <w:rsid w:val="00A76C27"/>
    <w:rsid w:val="00A83502"/>
    <w:rsid w:val="00A8382F"/>
    <w:rsid w:val="00AC47C8"/>
    <w:rsid w:val="00AD15B3"/>
    <w:rsid w:val="00AD7D90"/>
    <w:rsid w:val="00AF6E49"/>
    <w:rsid w:val="00B04A67"/>
    <w:rsid w:val="00B0583C"/>
    <w:rsid w:val="00B239AA"/>
    <w:rsid w:val="00B24EB5"/>
    <w:rsid w:val="00B40A81"/>
    <w:rsid w:val="00B44910"/>
    <w:rsid w:val="00B4540C"/>
    <w:rsid w:val="00B536CF"/>
    <w:rsid w:val="00B607EE"/>
    <w:rsid w:val="00B72267"/>
    <w:rsid w:val="00B76EB6"/>
    <w:rsid w:val="00B7737B"/>
    <w:rsid w:val="00B824C8"/>
    <w:rsid w:val="00B8256A"/>
    <w:rsid w:val="00B82BC0"/>
    <w:rsid w:val="00B85C00"/>
    <w:rsid w:val="00BC251A"/>
    <w:rsid w:val="00BD032B"/>
    <w:rsid w:val="00BD764C"/>
    <w:rsid w:val="00BE2640"/>
    <w:rsid w:val="00C01189"/>
    <w:rsid w:val="00C113EC"/>
    <w:rsid w:val="00C374DE"/>
    <w:rsid w:val="00C43BC8"/>
    <w:rsid w:val="00C43FCA"/>
    <w:rsid w:val="00C47AD4"/>
    <w:rsid w:val="00C52D81"/>
    <w:rsid w:val="00C55198"/>
    <w:rsid w:val="00C6359A"/>
    <w:rsid w:val="00C6641F"/>
    <w:rsid w:val="00CA6393"/>
    <w:rsid w:val="00CB18FF"/>
    <w:rsid w:val="00CB31CC"/>
    <w:rsid w:val="00CC7A23"/>
    <w:rsid w:val="00CD0C08"/>
    <w:rsid w:val="00CD44DE"/>
    <w:rsid w:val="00CE03FB"/>
    <w:rsid w:val="00CE433C"/>
    <w:rsid w:val="00CF08B3"/>
    <w:rsid w:val="00CF33F3"/>
    <w:rsid w:val="00D06183"/>
    <w:rsid w:val="00D144E2"/>
    <w:rsid w:val="00D17A43"/>
    <w:rsid w:val="00D22C42"/>
    <w:rsid w:val="00D256D2"/>
    <w:rsid w:val="00D338E0"/>
    <w:rsid w:val="00D65041"/>
    <w:rsid w:val="00D768DD"/>
    <w:rsid w:val="00D830DF"/>
    <w:rsid w:val="00D847BB"/>
    <w:rsid w:val="00D926AE"/>
    <w:rsid w:val="00DA09D5"/>
    <w:rsid w:val="00DB384B"/>
    <w:rsid w:val="00DB3D08"/>
    <w:rsid w:val="00DD2179"/>
    <w:rsid w:val="00DD4440"/>
    <w:rsid w:val="00DF67EE"/>
    <w:rsid w:val="00E01C73"/>
    <w:rsid w:val="00E10E80"/>
    <w:rsid w:val="00E124F0"/>
    <w:rsid w:val="00E33F75"/>
    <w:rsid w:val="00E538AB"/>
    <w:rsid w:val="00E60F04"/>
    <w:rsid w:val="00E66E65"/>
    <w:rsid w:val="00E67F93"/>
    <w:rsid w:val="00E75CA5"/>
    <w:rsid w:val="00E854E4"/>
    <w:rsid w:val="00E943D5"/>
    <w:rsid w:val="00EA20B6"/>
    <w:rsid w:val="00EB0D6F"/>
    <w:rsid w:val="00EB2232"/>
    <w:rsid w:val="00EB7F80"/>
    <w:rsid w:val="00EC5337"/>
    <w:rsid w:val="00EC6D51"/>
    <w:rsid w:val="00ED1427"/>
    <w:rsid w:val="00ED17DA"/>
    <w:rsid w:val="00EE325E"/>
    <w:rsid w:val="00EE5AF6"/>
    <w:rsid w:val="00F2150A"/>
    <w:rsid w:val="00F231D8"/>
    <w:rsid w:val="00F350B2"/>
    <w:rsid w:val="00F46C5F"/>
    <w:rsid w:val="00F72091"/>
    <w:rsid w:val="00F85AD2"/>
    <w:rsid w:val="00F94A63"/>
    <w:rsid w:val="00FA151F"/>
    <w:rsid w:val="00FA1C28"/>
    <w:rsid w:val="00FA385D"/>
    <w:rsid w:val="00FB1279"/>
    <w:rsid w:val="00FB4F9B"/>
    <w:rsid w:val="00FB7596"/>
    <w:rsid w:val="00FC1E09"/>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FF341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locked/>
    <w:rsid w:val="00204CE2"/>
    <w:rPr>
      <w:rFonts w:ascii="Calibri" w:hAnsi="Calibri"/>
      <w:i/>
      <w:sz w:val="24"/>
      <w:lang w:val="en-GB" w:eastAsia="en-US"/>
    </w:rPr>
  </w:style>
  <w:style w:type="paragraph" w:styleId="ListParagraph">
    <w:name w:val="List Paragraph"/>
    <w:basedOn w:val="Normal"/>
    <w:uiPriority w:val="34"/>
    <w:qFormat/>
    <w:rsid w:val="00C6641F"/>
    <w:pPr>
      <w:ind w:left="720"/>
      <w:contextualSpacing/>
    </w:pPr>
  </w:style>
  <w:style w:type="paragraph" w:styleId="NormalWeb">
    <w:name w:val="Normal (Web)"/>
    <w:basedOn w:val="Normal"/>
    <w:uiPriority w:val="99"/>
    <w:semiHidden/>
    <w:unhideWhenUsed/>
    <w:rsid w:val="00B85C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basedOn w:val="DefaultParagraphFont"/>
    <w:semiHidden/>
    <w:unhideWhenUsed/>
    <w:rsid w:val="004D6A6A"/>
    <w:rPr>
      <w:sz w:val="16"/>
      <w:szCs w:val="16"/>
    </w:rPr>
  </w:style>
  <w:style w:type="paragraph" w:styleId="CommentText">
    <w:name w:val="annotation text"/>
    <w:basedOn w:val="Normal"/>
    <w:link w:val="CommentTextChar"/>
    <w:semiHidden/>
    <w:unhideWhenUsed/>
    <w:rsid w:val="004D6A6A"/>
    <w:rPr>
      <w:sz w:val="20"/>
    </w:rPr>
  </w:style>
  <w:style w:type="character" w:customStyle="1" w:styleId="CommentTextChar">
    <w:name w:val="Comment Text Char"/>
    <w:basedOn w:val="DefaultParagraphFont"/>
    <w:link w:val="CommentText"/>
    <w:semiHidden/>
    <w:rsid w:val="004D6A6A"/>
    <w:rPr>
      <w:rFonts w:ascii="Calibri" w:hAnsi="Calibri"/>
      <w:lang w:val="en-GB" w:eastAsia="en-US"/>
    </w:rPr>
  </w:style>
  <w:style w:type="paragraph" w:styleId="CommentSubject">
    <w:name w:val="annotation subject"/>
    <w:basedOn w:val="CommentText"/>
    <w:next w:val="CommentText"/>
    <w:link w:val="CommentSubjectChar"/>
    <w:semiHidden/>
    <w:unhideWhenUsed/>
    <w:rsid w:val="004D6A6A"/>
    <w:rPr>
      <w:b/>
      <w:bCs/>
    </w:rPr>
  </w:style>
  <w:style w:type="character" w:customStyle="1" w:styleId="CommentSubjectChar">
    <w:name w:val="Comment Subject Char"/>
    <w:basedOn w:val="CommentTextChar"/>
    <w:link w:val="CommentSubject"/>
    <w:semiHidden/>
    <w:rsid w:val="004D6A6A"/>
    <w:rPr>
      <w:rFonts w:ascii="Calibri" w:hAnsi="Calibri"/>
      <w:b/>
      <w:bCs/>
      <w:lang w:val="en-GB" w:eastAsia="en-US"/>
    </w:rPr>
  </w:style>
  <w:style w:type="paragraph" w:styleId="BalloonText">
    <w:name w:val="Balloon Text"/>
    <w:basedOn w:val="Normal"/>
    <w:link w:val="BalloonTextChar"/>
    <w:semiHidden/>
    <w:unhideWhenUsed/>
    <w:rsid w:val="004D6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6A6A"/>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51534A"/>
    <w:rPr>
      <w:color w:val="605E5C"/>
      <w:shd w:val="clear" w:color="auto" w:fill="E1DFDD"/>
    </w:rPr>
  </w:style>
  <w:style w:type="character" w:customStyle="1" w:styleId="HeaderChar">
    <w:name w:val="Header Char"/>
    <w:aliases w:val="encabezado Char"/>
    <w:basedOn w:val="DefaultParagraphFont"/>
    <w:link w:val="Header"/>
    <w:locked/>
    <w:rsid w:val="00745A92"/>
    <w:rPr>
      <w:rFonts w:ascii="Calibri" w:hAnsi="Calibri"/>
      <w:sz w:val="18"/>
      <w:lang w:val="en-GB" w:eastAsia="en-US"/>
    </w:rPr>
  </w:style>
  <w:style w:type="paragraph" w:customStyle="1" w:styleId="TableText0">
    <w:name w:val="Table_Text"/>
    <w:basedOn w:val="Normal"/>
    <w:rsid w:val="00745A9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745A92"/>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745A92"/>
    <w:pPr>
      <w:keepNext/>
      <w:keepLines/>
      <w:tabs>
        <w:tab w:val="clear" w:pos="567"/>
        <w:tab w:val="clear" w:pos="1134"/>
        <w:tab w:val="clear" w:pos="1701"/>
        <w:tab w:val="clear" w:pos="2268"/>
        <w:tab w:val="clear" w:pos="2835"/>
      </w:tabs>
      <w:overflowPunct/>
      <w:autoSpaceDE/>
      <w:autoSpaceDN/>
      <w:adjustRightInd/>
      <w:spacing w:before="160" w:after="160" w:line="254"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745A92"/>
    <w:pPr>
      <w:keepNext/>
      <w:tabs>
        <w:tab w:val="clear" w:pos="567"/>
        <w:tab w:val="clear" w:pos="1134"/>
        <w:tab w:val="clear" w:pos="1701"/>
        <w:tab w:val="clear" w:pos="1985"/>
        <w:tab w:val="clear" w:pos="2268"/>
        <w:tab w:val="clear" w:pos="2835"/>
      </w:tabs>
      <w:spacing w:before="80" w:after="80" w:line="254" w:lineRule="auto"/>
      <w:jc w:val="center"/>
    </w:pPr>
    <w:rPr>
      <w:rFonts w:asciiTheme="minorHAnsi" w:eastAsiaTheme="minorEastAsia" w:hAnsiTheme="minorHAnsi" w:cstheme="minorBidi"/>
      <w:b/>
      <w:szCs w:val="22"/>
      <w:lang w:val="fr-FR" w:eastAsia="zh-CN"/>
    </w:rPr>
  </w:style>
  <w:style w:type="table" w:styleId="TableGrid">
    <w:name w:val="Table Grid"/>
    <w:basedOn w:val="TableNormal"/>
    <w:uiPriority w:val="39"/>
    <w:rsid w:val="00D830D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
    <w:name w:val="Rec_#"/>
    <w:basedOn w:val="Normal"/>
    <w:next w:val="Normal"/>
    <w:rsid w:val="005D628F"/>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hAnsi="Times New Roman"/>
      <w:caps/>
    </w:rPr>
  </w:style>
  <w:style w:type="paragraph" w:styleId="EndnoteText">
    <w:name w:val="endnote text"/>
    <w:basedOn w:val="Normal"/>
    <w:link w:val="EndnoteTextChar"/>
    <w:uiPriority w:val="99"/>
    <w:semiHidden/>
    <w:unhideWhenUsed/>
    <w:rsid w:val="005D628F"/>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5D628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5D628F"/>
    <w:rPr>
      <w:vertAlign w:val="superscript"/>
    </w:rPr>
  </w:style>
  <w:style w:type="character" w:styleId="UnresolvedMention">
    <w:name w:val="Unresolved Mention"/>
    <w:basedOn w:val="DefaultParagraphFont"/>
    <w:uiPriority w:val="99"/>
    <w:semiHidden/>
    <w:unhideWhenUsed/>
    <w:rsid w:val="00312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523">
      <w:bodyDiv w:val="1"/>
      <w:marLeft w:val="0"/>
      <w:marRight w:val="0"/>
      <w:marTop w:val="0"/>
      <w:marBottom w:val="0"/>
      <w:divBdr>
        <w:top w:val="none" w:sz="0" w:space="0" w:color="auto"/>
        <w:left w:val="none" w:sz="0" w:space="0" w:color="auto"/>
        <w:bottom w:val="none" w:sz="0" w:space="0" w:color="auto"/>
        <w:right w:val="none" w:sz="0" w:space="0" w:color="auto"/>
      </w:divBdr>
    </w:div>
    <w:div w:id="107891288">
      <w:bodyDiv w:val="1"/>
      <w:marLeft w:val="0"/>
      <w:marRight w:val="0"/>
      <w:marTop w:val="0"/>
      <w:marBottom w:val="0"/>
      <w:divBdr>
        <w:top w:val="none" w:sz="0" w:space="0" w:color="auto"/>
        <w:left w:val="none" w:sz="0" w:space="0" w:color="auto"/>
        <w:bottom w:val="none" w:sz="0" w:space="0" w:color="auto"/>
        <w:right w:val="none" w:sz="0" w:space="0" w:color="auto"/>
      </w:divBdr>
    </w:div>
    <w:div w:id="1228607185">
      <w:bodyDiv w:val="1"/>
      <w:marLeft w:val="0"/>
      <w:marRight w:val="0"/>
      <w:marTop w:val="0"/>
      <w:marBottom w:val="0"/>
      <w:divBdr>
        <w:top w:val="none" w:sz="0" w:space="0" w:color="auto"/>
        <w:left w:val="none" w:sz="0" w:space="0" w:color="auto"/>
        <w:bottom w:val="none" w:sz="0" w:space="0" w:color="auto"/>
        <w:right w:val="none" w:sz="0" w:space="0" w:color="auto"/>
      </w:divBdr>
    </w:div>
    <w:div w:id="1416317610">
      <w:bodyDiv w:val="1"/>
      <w:marLeft w:val="0"/>
      <w:marRight w:val="0"/>
      <w:marTop w:val="0"/>
      <w:marBottom w:val="0"/>
      <w:divBdr>
        <w:top w:val="none" w:sz="0" w:space="0" w:color="auto"/>
        <w:left w:val="none" w:sz="0" w:space="0" w:color="auto"/>
        <w:bottom w:val="none" w:sz="0" w:space="0" w:color="auto"/>
        <w:right w:val="none" w:sz="0" w:space="0" w:color="auto"/>
      </w:divBdr>
    </w:div>
    <w:div w:id="1903590872">
      <w:bodyDiv w:val="1"/>
      <w:marLeft w:val="0"/>
      <w:marRight w:val="0"/>
      <w:marTop w:val="0"/>
      <w:marBottom w:val="0"/>
      <w:divBdr>
        <w:top w:val="none" w:sz="0" w:space="0" w:color="auto"/>
        <w:left w:val="none" w:sz="0" w:space="0" w:color="auto"/>
        <w:bottom w:val="none" w:sz="0" w:space="0" w:color="auto"/>
        <w:right w:val="none" w:sz="0" w:space="0" w:color="auto"/>
      </w:divBdr>
    </w:div>
    <w:div w:id="21019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20-CL-C-00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0-CWGFHR11-C-0015/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content/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E918C57261B4D841B1B58084083C5" ma:contentTypeVersion="2" ma:contentTypeDescription="Create a new document." ma:contentTypeScope="" ma:versionID="44dc235375d09f65d20e4d1d5cb3be29">
  <xsd:schema xmlns:xsd="http://www.w3.org/2001/XMLSchema" xmlns:xs="http://www.w3.org/2001/XMLSchema" xmlns:p="http://schemas.microsoft.com/office/2006/metadata/properties" xmlns:ns3="a53b1caf-d586-48c6-b2d9-d0e0d7d1ce7f" targetNamespace="http://schemas.microsoft.com/office/2006/metadata/properties" ma:root="true" ma:fieldsID="549b604e56101ab71e792b7457415453" ns3:_="">
    <xsd:import namespace="a53b1caf-d586-48c6-b2d9-d0e0d7d1ce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b1caf-d586-48c6-b2d9-d0e0d7d1c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4AFA-A7E2-42D0-B298-09CD1AE87CCD}">
  <ds:schemaRefs>
    <ds:schemaRef ds:uri="http://schemas.microsoft.com/sharepoint/v3/contenttype/forms"/>
  </ds:schemaRefs>
</ds:datastoreItem>
</file>

<file path=customXml/itemProps2.xml><?xml version="1.0" encoding="utf-8"?>
<ds:datastoreItem xmlns:ds="http://schemas.openxmlformats.org/officeDocument/2006/customXml" ds:itemID="{FDAA6E92-567E-4A50-BE45-CC089D100FC3}">
  <ds:schemaRefs>
    <ds:schemaRef ds:uri="a53b1caf-d586-48c6-b2d9-d0e0d7d1ce7f"/>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CC66D87-961E-4CEB-B5F9-A9C1BD09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b1caf-d586-48c6-b2d9-d0e0d7d1c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9D0A6-3932-4113-B4E6-C818278D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1741</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PP electoral process</vt:lpstr>
    </vt:vector>
  </TitlesOfParts>
  <Manager>General Secretariat - Pool</Manager>
  <Company>International Telecommunication Union (ITU)</Company>
  <LinksUpToDate>false</LinksUpToDate>
  <CharactersWithSpaces>11608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and funding of a new investigation function</dc:title>
  <dc:subject>Council 2020</dc:subject>
  <dc:creator/>
  <cp:keywords>C2020, C20</cp:keywords>
  <dc:description/>
  <cp:lastModifiedBy>Janin, Patricia</cp:lastModifiedBy>
  <cp:revision>7</cp:revision>
  <cp:lastPrinted>2000-07-18T13:30:00Z</cp:lastPrinted>
  <dcterms:created xsi:type="dcterms:W3CDTF">2020-04-16T14:43:00Z</dcterms:created>
  <dcterms:modified xsi:type="dcterms:W3CDTF">2020-04-23T08:04:00Z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0x010100E53E918C57261B4D841B1B58084083C5</vt:lpwstr>
  </property>
</Properties>
</file>