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45B38" w14:paraId="2BDCF81D" w14:textId="77777777">
        <w:trPr>
          <w:cantSplit/>
        </w:trPr>
        <w:tc>
          <w:tcPr>
            <w:tcW w:w="6912" w:type="dxa"/>
          </w:tcPr>
          <w:p w14:paraId="4F88777F" w14:textId="77777777" w:rsidR="00520F36" w:rsidRPr="00745B38" w:rsidRDefault="00520F36" w:rsidP="007531EC">
            <w:pPr>
              <w:spacing w:before="360"/>
            </w:pPr>
            <w:bookmarkStart w:id="0" w:name="dc06"/>
            <w:bookmarkEnd w:id="0"/>
            <w:r w:rsidRPr="00745B38">
              <w:rPr>
                <w:b/>
                <w:bCs/>
                <w:sz w:val="30"/>
                <w:szCs w:val="30"/>
              </w:rPr>
              <w:t>Conseil 20</w:t>
            </w:r>
            <w:r w:rsidR="009C353C" w:rsidRPr="00745B38">
              <w:rPr>
                <w:b/>
                <w:bCs/>
                <w:sz w:val="30"/>
                <w:szCs w:val="30"/>
              </w:rPr>
              <w:t>20</w:t>
            </w:r>
            <w:r w:rsidRPr="00745B38">
              <w:rPr>
                <w:rFonts w:ascii="Verdana" w:hAnsi="Verdana"/>
                <w:b/>
                <w:bCs/>
                <w:sz w:val="26"/>
                <w:szCs w:val="26"/>
              </w:rPr>
              <w:br/>
            </w:r>
            <w:r w:rsidRPr="00745B38">
              <w:rPr>
                <w:b/>
                <w:bCs/>
                <w:szCs w:val="24"/>
              </w:rPr>
              <w:t xml:space="preserve">Genève, </w:t>
            </w:r>
            <w:r w:rsidR="009C353C" w:rsidRPr="00745B38">
              <w:rPr>
                <w:b/>
                <w:bCs/>
                <w:szCs w:val="24"/>
              </w:rPr>
              <w:t>9</w:t>
            </w:r>
            <w:r w:rsidRPr="00745B38">
              <w:rPr>
                <w:b/>
                <w:bCs/>
                <w:szCs w:val="24"/>
              </w:rPr>
              <w:t>-</w:t>
            </w:r>
            <w:r w:rsidR="009C353C" w:rsidRPr="00745B38">
              <w:rPr>
                <w:b/>
                <w:bCs/>
                <w:szCs w:val="24"/>
              </w:rPr>
              <w:t>19</w:t>
            </w:r>
            <w:r w:rsidR="00106B19" w:rsidRPr="00745B38">
              <w:rPr>
                <w:b/>
                <w:bCs/>
                <w:szCs w:val="24"/>
              </w:rPr>
              <w:t xml:space="preserve"> juin</w:t>
            </w:r>
            <w:r w:rsidRPr="00745B38">
              <w:rPr>
                <w:b/>
                <w:bCs/>
                <w:szCs w:val="24"/>
              </w:rPr>
              <w:t xml:space="preserve"> 20</w:t>
            </w:r>
            <w:r w:rsidR="009C353C" w:rsidRPr="00745B38">
              <w:rPr>
                <w:b/>
                <w:bCs/>
                <w:szCs w:val="24"/>
              </w:rPr>
              <w:t>20</w:t>
            </w:r>
          </w:p>
        </w:tc>
        <w:tc>
          <w:tcPr>
            <w:tcW w:w="3261" w:type="dxa"/>
          </w:tcPr>
          <w:p w14:paraId="415D1AE1" w14:textId="77777777" w:rsidR="00520F36" w:rsidRPr="00745B38" w:rsidRDefault="009C353C" w:rsidP="007531EC">
            <w:pPr>
              <w:spacing w:before="0"/>
            </w:pPr>
            <w:bookmarkStart w:id="1" w:name="ditulogo"/>
            <w:bookmarkEnd w:id="1"/>
            <w:r w:rsidRPr="00745B38">
              <w:rPr>
                <w:noProof/>
                <w:lang w:eastAsia="zh-CN"/>
              </w:rPr>
              <w:drawing>
                <wp:inline distT="0" distB="0" distL="0" distR="0" wp14:anchorId="20C8571B" wp14:editId="40C26B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45B38" w14:paraId="46A9FE78" w14:textId="77777777" w:rsidTr="00EF41DD">
        <w:trPr>
          <w:cantSplit/>
          <w:trHeight w:val="20"/>
        </w:trPr>
        <w:tc>
          <w:tcPr>
            <w:tcW w:w="6912" w:type="dxa"/>
            <w:tcBorders>
              <w:bottom w:val="single" w:sz="12" w:space="0" w:color="auto"/>
            </w:tcBorders>
            <w:vAlign w:val="center"/>
          </w:tcPr>
          <w:p w14:paraId="57274A39" w14:textId="77777777" w:rsidR="00520F36" w:rsidRPr="00745B38" w:rsidRDefault="00520F36" w:rsidP="007531EC">
            <w:pPr>
              <w:spacing w:before="0"/>
              <w:rPr>
                <w:b/>
                <w:bCs/>
                <w:sz w:val="26"/>
                <w:szCs w:val="26"/>
              </w:rPr>
            </w:pPr>
          </w:p>
        </w:tc>
        <w:tc>
          <w:tcPr>
            <w:tcW w:w="3261" w:type="dxa"/>
            <w:tcBorders>
              <w:bottom w:val="single" w:sz="12" w:space="0" w:color="auto"/>
            </w:tcBorders>
          </w:tcPr>
          <w:p w14:paraId="195756CF" w14:textId="77777777" w:rsidR="00520F36" w:rsidRPr="00745B38" w:rsidRDefault="00520F36" w:rsidP="007531EC">
            <w:pPr>
              <w:spacing w:before="0"/>
              <w:rPr>
                <w:b/>
                <w:bCs/>
              </w:rPr>
            </w:pPr>
          </w:p>
        </w:tc>
      </w:tr>
      <w:tr w:rsidR="00520F36" w:rsidRPr="00745B38" w14:paraId="43CDCA12" w14:textId="77777777">
        <w:trPr>
          <w:cantSplit/>
          <w:trHeight w:val="20"/>
        </w:trPr>
        <w:tc>
          <w:tcPr>
            <w:tcW w:w="6912" w:type="dxa"/>
            <w:tcBorders>
              <w:top w:val="single" w:sz="12" w:space="0" w:color="auto"/>
            </w:tcBorders>
          </w:tcPr>
          <w:p w14:paraId="02940F13" w14:textId="77777777" w:rsidR="00520F36" w:rsidRPr="00745B38" w:rsidRDefault="00520F36" w:rsidP="007531EC">
            <w:pPr>
              <w:spacing w:before="0"/>
              <w:rPr>
                <w:smallCaps/>
                <w:sz w:val="22"/>
              </w:rPr>
            </w:pPr>
          </w:p>
        </w:tc>
        <w:tc>
          <w:tcPr>
            <w:tcW w:w="3261" w:type="dxa"/>
            <w:tcBorders>
              <w:top w:val="single" w:sz="12" w:space="0" w:color="auto"/>
            </w:tcBorders>
          </w:tcPr>
          <w:p w14:paraId="0512F857" w14:textId="77777777" w:rsidR="00520F36" w:rsidRPr="00745B38" w:rsidRDefault="00520F36" w:rsidP="007531EC">
            <w:pPr>
              <w:spacing w:before="0"/>
              <w:rPr>
                <w:b/>
                <w:bCs/>
              </w:rPr>
            </w:pPr>
          </w:p>
        </w:tc>
      </w:tr>
      <w:tr w:rsidR="00520F36" w:rsidRPr="00745B38" w14:paraId="5FCEDA73" w14:textId="77777777">
        <w:trPr>
          <w:cantSplit/>
          <w:trHeight w:val="20"/>
        </w:trPr>
        <w:tc>
          <w:tcPr>
            <w:tcW w:w="6912" w:type="dxa"/>
            <w:vMerge w:val="restart"/>
          </w:tcPr>
          <w:p w14:paraId="48CDE24E" w14:textId="634D029E" w:rsidR="00520F36" w:rsidRPr="00745B38" w:rsidRDefault="00231374" w:rsidP="007531EC">
            <w:pPr>
              <w:spacing w:before="0"/>
              <w:rPr>
                <w:rFonts w:cs="Times"/>
                <w:b/>
                <w:bCs/>
                <w:szCs w:val="24"/>
              </w:rPr>
            </w:pPr>
            <w:bookmarkStart w:id="2" w:name="dnum" w:colFirst="1" w:colLast="1"/>
            <w:bookmarkStart w:id="3" w:name="dmeeting" w:colFirst="0" w:colLast="0"/>
            <w:r w:rsidRPr="00745B38">
              <w:rPr>
                <w:b/>
                <w:bCs/>
                <w:color w:val="000000"/>
              </w:rPr>
              <w:t>P</w:t>
            </w:r>
            <w:r w:rsidR="008D318E" w:rsidRPr="00745B38">
              <w:rPr>
                <w:b/>
                <w:bCs/>
                <w:color w:val="000000"/>
              </w:rPr>
              <w:t>oint de l'ordre du jour</w:t>
            </w:r>
            <w:r w:rsidR="00342ADE" w:rsidRPr="00745B38">
              <w:rPr>
                <w:rFonts w:cs="Times"/>
                <w:b/>
                <w:bCs/>
                <w:szCs w:val="24"/>
              </w:rPr>
              <w:t>: ADM 8</w:t>
            </w:r>
          </w:p>
        </w:tc>
        <w:tc>
          <w:tcPr>
            <w:tcW w:w="3261" w:type="dxa"/>
          </w:tcPr>
          <w:p w14:paraId="1D6FA9B9" w14:textId="665DE621" w:rsidR="00520F36" w:rsidRPr="00745B38" w:rsidRDefault="00520F36" w:rsidP="007531EC">
            <w:pPr>
              <w:spacing w:before="0"/>
              <w:rPr>
                <w:b/>
                <w:bCs/>
              </w:rPr>
            </w:pPr>
            <w:r w:rsidRPr="00745B38">
              <w:rPr>
                <w:b/>
                <w:bCs/>
              </w:rPr>
              <w:t>Document C</w:t>
            </w:r>
            <w:r w:rsidR="009C353C" w:rsidRPr="00745B38">
              <w:rPr>
                <w:b/>
                <w:bCs/>
              </w:rPr>
              <w:t>20</w:t>
            </w:r>
            <w:r w:rsidRPr="00745B38">
              <w:rPr>
                <w:b/>
                <w:bCs/>
              </w:rPr>
              <w:t>/</w:t>
            </w:r>
            <w:r w:rsidR="00342ADE" w:rsidRPr="00745B38">
              <w:rPr>
                <w:b/>
                <w:bCs/>
              </w:rPr>
              <w:t>58</w:t>
            </w:r>
            <w:r w:rsidRPr="00745B38">
              <w:rPr>
                <w:b/>
                <w:bCs/>
              </w:rPr>
              <w:t>-F</w:t>
            </w:r>
          </w:p>
        </w:tc>
      </w:tr>
      <w:tr w:rsidR="00520F36" w:rsidRPr="00745B38" w14:paraId="5225B3BE" w14:textId="77777777">
        <w:trPr>
          <w:cantSplit/>
          <w:trHeight w:val="20"/>
        </w:trPr>
        <w:tc>
          <w:tcPr>
            <w:tcW w:w="6912" w:type="dxa"/>
            <w:vMerge/>
          </w:tcPr>
          <w:p w14:paraId="1D9F491E" w14:textId="77777777" w:rsidR="00520F36" w:rsidRPr="00745B38" w:rsidRDefault="00520F36" w:rsidP="007531EC">
            <w:pPr>
              <w:shd w:val="solid" w:color="FFFFFF" w:fill="FFFFFF"/>
              <w:spacing w:before="180"/>
              <w:rPr>
                <w:smallCaps/>
              </w:rPr>
            </w:pPr>
            <w:bookmarkStart w:id="4" w:name="ddate" w:colFirst="1" w:colLast="1"/>
            <w:bookmarkEnd w:id="2"/>
            <w:bookmarkEnd w:id="3"/>
          </w:p>
        </w:tc>
        <w:tc>
          <w:tcPr>
            <w:tcW w:w="3261" w:type="dxa"/>
          </w:tcPr>
          <w:p w14:paraId="02C4C77D" w14:textId="60D3D73B" w:rsidR="00520F36" w:rsidRPr="00745B38" w:rsidRDefault="00342ADE" w:rsidP="007531EC">
            <w:pPr>
              <w:spacing w:before="0"/>
              <w:rPr>
                <w:b/>
                <w:bCs/>
              </w:rPr>
            </w:pPr>
            <w:r w:rsidRPr="00745B38">
              <w:rPr>
                <w:b/>
                <w:bCs/>
              </w:rPr>
              <w:t>3 mars</w:t>
            </w:r>
            <w:r w:rsidR="00520F36" w:rsidRPr="00745B38">
              <w:rPr>
                <w:b/>
                <w:bCs/>
              </w:rPr>
              <w:t xml:space="preserve"> 20</w:t>
            </w:r>
            <w:r w:rsidR="009C353C" w:rsidRPr="00745B38">
              <w:rPr>
                <w:b/>
                <w:bCs/>
              </w:rPr>
              <w:t>20</w:t>
            </w:r>
          </w:p>
        </w:tc>
      </w:tr>
      <w:tr w:rsidR="00520F36" w:rsidRPr="00745B38" w14:paraId="393CFCB4" w14:textId="77777777">
        <w:trPr>
          <w:cantSplit/>
          <w:trHeight w:val="20"/>
        </w:trPr>
        <w:tc>
          <w:tcPr>
            <w:tcW w:w="6912" w:type="dxa"/>
            <w:vMerge/>
          </w:tcPr>
          <w:p w14:paraId="0B6D55BF" w14:textId="77777777" w:rsidR="00520F36" w:rsidRPr="00745B38" w:rsidRDefault="00520F36" w:rsidP="007531EC">
            <w:pPr>
              <w:shd w:val="solid" w:color="FFFFFF" w:fill="FFFFFF"/>
              <w:spacing w:before="180"/>
              <w:rPr>
                <w:smallCaps/>
              </w:rPr>
            </w:pPr>
            <w:bookmarkStart w:id="5" w:name="dorlang" w:colFirst="1" w:colLast="1"/>
            <w:bookmarkEnd w:id="4"/>
          </w:p>
        </w:tc>
        <w:tc>
          <w:tcPr>
            <w:tcW w:w="3261" w:type="dxa"/>
          </w:tcPr>
          <w:p w14:paraId="7C7F4312" w14:textId="77777777" w:rsidR="00520F36" w:rsidRPr="00745B38" w:rsidRDefault="00520F36" w:rsidP="007531EC">
            <w:pPr>
              <w:spacing w:before="0"/>
              <w:rPr>
                <w:b/>
                <w:bCs/>
              </w:rPr>
            </w:pPr>
            <w:r w:rsidRPr="00745B38">
              <w:rPr>
                <w:b/>
                <w:bCs/>
              </w:rPr>
              <w:t>Original: anglais</w:t>
            </w:r>
          </w:p>
        </w:tc>
      </w:tr>
      <w:tr w:rsidR="00342ADE" w:rsidRPr="00745B38" w14:paraId="5DDB5FF3" w14:textId="77777777">
        <w:trPr>
          <w:cantSplit/>
        </w:trPr>
        <w:tc>
          <w:tcPr>
            <w:tcW w:w="10173" w:type="dxa"/>
            <w:gridSpan w:val="2"/>
          </w:tcPr>
          <w:p w14:paraId="73B76645" w14:textId="3CE942CB" w:rsidR="00342ADE" w:rsidRPr="00745B38" w:rsidRDefault="008D318E" w:rsidP="007531EC">
            <w:pPr>
              <w:pStyle w:val="Source"/>
            </w:pPr>
            <w:bookmarkStart w:id="6" w:name="dsource" w:colFirst="0" w:colLast="0"/>
            <w:bookmarkEnd w:id="5"/>
            <w:r w:rsidRPr="00745B38">
              <w:rPr>
                <w:color w:val="000000"/>
              </w:rPr>
              <w:t>Rapport du Secrétaire général</w:t>
            </w:r>
            <w:r w:rsidR="0077279C" w:rsidRPr="00745B38">
              <w:t xml:space="preserve"> </w:t>
            </w:r>
          </w:p>
        </w:tc>
      </w:tr>
      <w:tr w:rsidR="00342ADE" w:rsidRPr="00745B38" w14:paraId="52CEA2D0" w14:textId="77777777">
        <w:trPr>
          <w:cantSplit/>
        </w:trPr>
        <w:tc>
          <w:tcPr>
            <w:tcW w:w="10173" w:type="dxa"/>
            <w:gridSpan w:val="2"/>
          </w:tcPr>
          <w:p w14:paraId="43FCC2EC" w14:textId="0BD1BA95" w:rsidR="00342ADE" w:rsidRPr="00745B38" w:rsidRDefault="00342ADE" w:rsidP="007531EC">
            <w:pPr>
              <w:pStyle w:val="Title1"/>
            </w:pPr>
            <w:bookmarkStart w:id="7" w:name="dtitle1" w:colFirst="0" w:colLast="0"/>
            <w:bookmarkEnd w:id="6"/>
            <w:r w:rsidRPr="00745B38">
              <w:t>Compilation</w:t>
            </w:r>
            <w:r w:rsidR="008D318E" w:rsidRPr="00745B38">
              <w:t xml:space="preserve"> des</w:t>
            </w:r>
            <w:r w:rsidRPr="00745B38">
              <w:t xml:space="preserve"> d</w:t>
            </w:r>
            <w:r w:rsidR="008D318E" w:rsidRPr="00745B38">
              <w:t>é</w:t>
            </w:r>
            <w:r w:rsidRPr="00745B38">
              <w:t>cisions</w:t>
            </w:r>
            <w:r w:rsidR="0077279C" w:rsidRPr="00745B38">
              <w:t xml:space="preserve"> </w:t>
            </w:r>
            <w:r w:rsidR="008D318E" w:rsidRPr="00745B38">
              <w:t>consignées dans les procès-verbaux de la</w:t>
            </w:r>
            <w:r w:rsidRPr="00745B38">
              <w:t xml:space="preserve"> PP-18</w:t>
            </w:r>
          </w:p>
        </w:tc>
      </w:tr>
      <w:bookmarkEnd w:id="7"/>
    </w:tbl>
    <w:p w14:paraId="5C48DF8D" w14:textId="77777777" w:rsidR="00520F36" w:rsidRPr="00745B38" w:rsidRDefault="00520F36" w:rsidP="007531E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45B38" w14:paraId="5AD2021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2B503D4" w14:textId="77777777" w:rsidR="00520F36" w:rsidRPr="00745B38" w:rsidRDefault="00520F36" w:rsidP="007531EC">
            <w:pPr>
              <w:pStyle w:val="Headingb"/>
            </w:pPr>
            <w:r w:rsidRPr="00745B38">
              <w:t>Résumé</w:t>
            </w:r>
          </w:p>
          <w:p w14:paraId="2560D387" w14:textId="58287490" w:rsidR="00520F36" w:rsidRPr="00745B38" w:rsidRDefault="0077279C" w:rsidP="007531EC">
            <w:r w:rsidRPr="00745B38">
              <w:t>À</w:t>
            </w:r>
            <w:r w:rsidR="008D318E" w:rsidRPr="00745B38">
              <w:t xml:space="preserve"> sa session de 2019, le Conseil a chargé</w:t>
            </w:r>
            <w:r w:rsidRPr="00745B38">
              <w:t xml:space="preserve"> </w:t>
            </w:r>
            <w:r w:rsidR="00342ADE" w:rsidRPr="00745B38">
              <w:t xml:space="preserve">le </w:t>
            </w:r>
            <w:r w:rsidR="008D318E" w:rsidRPr="00745B38">
              <w:t>s</w:t>
            </w:r>
            <w:r w:rsidR="00342ADE" w:rsidRPr="00745B38">
              <w:t xml:space="preserve">ecrétariat </w:t>
            </w:r>
            <w:r w:rsidR="008D318E" w:rsidRPr="00745B38">
              <w:t>d</w:t>
            </w:r>
            <w:r w:rsidR="007531EC" w:rsidRPr="00745B38">
              <w:t>'</w:t>
            </w:r>
            <w:r w:rsidR="008D318E" w:rsidRPr="00745B38">
              <w:t>établir</w:t>
            </w:r>
            <w:r w:rsidRPr="00745B38">
              <w:t xml:space="preserve"> </w:t>
            </w:r>
            <w:r w:rsidR="00342ADE" w:rsidRPr="00745B38">
              <w:t xml:space="preserve">une compilation des décisions adoptées par la PP-18 </w:t>
            </w:r>
            <w:r w:rsidR="008D318E" w:rsidRPr="00745B38">
              <w:t>qui ont été consignées dans les procès</w:t>
            </w:r>
            <w:r w:rsidRPr="00745B38">
              <w:noBreakHyphen/>
            </w:r>
            <w:r w:rsidR="008D318E" w:rsidRPr="00745B38">
              <w:t xml:space="preserve">verbaux </w:t>
            </w:r>
            <w:r w:rsidR="00342ADE" w:rsidRPr="00745B38">
              <w:t>de</w:t>
            </w:r>
            <w:r w:rsidR="008D318E" w:rsidRPr="00745B38">
              <w:t>s</w:t>
            </w:r>
            <w:r w:rsidRPr="00745B38">
              <w:t xml:space="preserve"> </w:t>
            </w:r>
            <w:r w:rsidR="00342ADE" w:rsidRPr="00745B38">
              <w:t>séances plénières</w:t>
            </w:r>
            <w:r w:rsidR="008D318E" w:rsidRPr="00745B38">
              <w:t xml:space="preserve"> de cette Conférence</w:t>
            </w:r>
            <w:r w:rsidR="00342ADE" w:rsidRPr="00745B38">
              <w:t xml:space="preserve">, en particulier les décisions </w:t>
            </w:r>
            <w:r w:rsidR="008D318E" w:rsidRPr="00745B38">
              <w:t>fondées</w:t>
            </w:r>
            <w:r w:rsidR="00342ADE" w:rsidRPr="00745B38">
              <w:t xml:space="preserve"> sur les recommandations des Commissions et du Groupe de travail de la plénière.</w:t>
            </w:r>
          </w:p>
          <w:p w14:paraId="0E9FB118" w14:textId="77777777" w:rsidR="00520F36" w:rsidRPr="00745B38" w:rsidRDefault="00520F36" w:rsidP="007531EC">
            <w:pPr>
              <w:pStyle w:val="Headingb"/>
            </w:pPr>
            <w:r w:rsidRPr="00745B38">
              <w:t>Suite à donner</w:t>
            </w:r>
          </w:p>
          <w:p w14:paraId="1F59B166" w14:textId="5D04180A" w:rsidR="00520F36" w:rsidRPr="00745B38" w:rsidRDefault="008D318E" w:rsidP="007531EC">
            <w:r w:rsidRPr="00745B38">
              <w:rPr>
                <w:color w:val="000000"/>
              </w:rPr>
              <w:t xml:space="preserve">Le Conseil est invité à </w:t>
            </w:r>
            <w:r w:rsidRPr="00745B38">
              <w:rPr>
                <w:b/>
                <w:bCs/>
                <w:color w:val="000000"/>
              </w:rPr>
              <w:t>prendre note</w:t>
            </w:r>
            <w:r w:rsidRPr="00745B38">
              <w:rPr>
                <w:color w:val="000000"/>
              </w:rPr>
              <w:t xml:space="preserve"> du document.</w:t>
            </w:r>
          </w:p>
          <w:p w14:paraId="4EF75B10" w14:textId="77777777" w:rsidR="00520F36" w:rsidRPr="00745B38" w:rsidRDefault="00520F36" w:rsidP="007531EC">
            <w:pPr>
              <w:pStyle w:val="Table"/>
              <w:keepNext w:val="0"/>
              <w:spacing w:before="0" w:after="0"/>
              <w:rPr>
                <w:rFonts w:ascii="Calibri" w:hAnsi="Calibri"/>
                <w:caps w:val="0"/>
                <w:sz w:val="22"/>
                <w:lang w:val="fr-FR"/>
              </w:rPr>
            </w:pPr>
            <w:r w:rsidRPr="00745B38">
              <w:rPr>
                <w:rFonts w:ascii="Calibri" w:hAnsi="Calibri"/>
                <w:caps w:val="0"/>
                <w:sz w:val="22"/>
                <w:lang w:val="fr-FR"/>
              </w:rPr>
              <w:t>____________</w:t>
            </w:r>
          </w:p>
          <w:p w14:paraId="026D59D2" w14:textId="77777777" w:rsidR="00520F36" w:rsidRPr="00745B38" w:rsidRDefault="00520F36" w:rsidP="007531EC">
            <w:pPr>
              <w:pStyle w:val="Headingb"/>
            </w:pPr>
            <w:r w:rsidRPr="00745B38">
              <w:t>Références</w:t>
            </w:r>
          </w:p>
          <w:p w14:paraId="114D3AB6" w14:textId="4BBA85D3" w:rsidR="00520F36" w:rsidRPr="00745B38" w:rsidRDefault="008A4904" w:rsidP="0077279C">
            <w:pPr>
              <w:spacing w:after="160"/>
              <w:rPr>
                <w:i/>
                <w:iCs/>
              </w:rPr>
            </w:pPr>
            <w:hyperlink r:id="rId7" w:history="1">
              <w:r w:rsidR="00342ADE" w:rsidRPr="00745B38">
                <w:rPr>
                  <w:rStyle w:val="Hyperlink"/>
                  <w:i/>
                  <w:iCs/>
                </w:rPr>
                <w:t>C19/107</w:t>
              </w:r>
            </w:hyperlink>
            <w:r w:rsidR="00342ADE" w:rsidRPr="00745B38">
              <w:rPr>
                <w:i/>
                <w:iCs/>
              </w:rPr>
              <w:t xml:space="preserve"> (Rec. 27.9), </w:t>
            </w:r>
            <w:hyperlink r:id="rId8" w:history="1">
              <w:r w:rsidR="00342ADE" w:rsidRPr="00745B38">
                <w:rPr>
                  <w:rStyle w:val="Hyperlink"/>
                  <w:i/>
                  <w:iCs/>
                </w:rPr>
                <w:t>C19/120</w:t>
              </w:r>
            </w:hyperlink>
          </w:p>
        </w:tc>
      </w:tr>
    </w:tbl>
    <w:p w14:paraId="45A68851" w14:textId="6703E3B4" w:rsidR="009C353C" w:rsidRPr="00745B38" w:rsidRDefault="00342ADE" w:rsidP="00724BB3">
      <w:pPr>
        <w:spacing w:before="480"/>
      </w:pPr>
      <w:r w:rsidRPr="00745B38">
        <w:t>1</w:t>
      </w:r>
      <w:r w:rsidRPr="00745B38">
        <w:tab/>
      </w:r>
      <w:r w:rsidR="008C616D" w:rsidRPr="00745B38">
        <w:t>À</w:t>
      </w:r>
      <w:r w:rsidR="007F18FA" w:rsidRPr="00745B38">
        <w:t xml:space="preserve"> la session de 2019 du Conseil, la plénière a approuvé la recommandation 27.9 (reproduite dans le</w:t>
      </w:r>
      <w:r w:rsidR="0077279C" w:rsidRPr="00745B38">
        <w:t xml:space="preserve"> </w:t>
      </w:r>
      <w:r w:rsidR="00724BB3">
        <w:t>D</w:t>
      </w:r>
      <w:r w:rsidR="007F18FA" w:rsidRPr="00745B38">
        <w:t xml:space="preserve">ocument </w:t>
      </w:r>
      <w:hyperlink r:id="rId9" w:history="1">
        <w:r w:rsidR="007F18FA" w:rsidRPr="00745B38">
          <w:rPr>
            <w:rStyle w:val="Hyperlink"/>
          </w:rPr>
          <w:t>C19/107</w:t>
        </w:r>
      </w:hyperlink>
      <w:r w:rsidR="007F18FA" w:rsidRPr="00745B38">
        <w:t>)</w:t>
      </w:r>
      <w:r w:rsidR="0077279C" w:rsidRPr="00745B38">
        <w:t xml:space="preserve"> </w:t>
      </w:r>
      <w:r w:rsidR="007F18FA" w:rsidRPr="00745B38">
        <w:t>de la</w:t>
      </w:r>
      <w:r w:rsidR="007F18FA" w:rsidRPr="00745B38">
        <w:rPr>
          <w:color w:val="000000"/>
        </w:rPr>
        <w:t xml:space="preserve"> Commission Permanente de l'administration et de la gestion</w:t>
      </w:r>
      <w:r w:rsidR="007F18FA" w:rsidRPr="00745B38">
        <w:t xml:space="preserve"> </w:t>
      </w:r>
      <w:r w:rsidR="008C616D" w:rsidRPr="00745B38">
        <w:t>recommandation</w:t>
      </w:r>
      <w:r w:rsidRPr="00745B38">
        <w:t xml:space="preserve"> 27.9</w:t>
      </w:r>
      <w:r w:rsidR="007F18FA" w:rsidRPr="00745B38">
        <w:t>, qui est libellée comme suit:</w:t>
      </w:r>
    </w:p>
    <w:p w14:paraId="5C7BBC6C" w14:textId="1F558DFE" w:rsidR="00342ADE" w:rsidRPr="00745B38" w:rsidRDefault="008C616D" w:rsidP="007531EC">
      <w:pPr>
        <w:ind w:left="567" w:hanging="567"/>
        <w:rPr>
          <w:i/>
          <w:iCs/>
        </w:rPr>
      </w:pPr>
      <w:r w:rsidRPr="00745B38">
        <w:rPr>
          <w:i/>
          <w:iCs/>
        </w:rPr>
        <w:tab/>
      </w:r>
      <w:r w:rsidR="00342ADE" w:rsidRPr="00745B38">
        <w:rPr>
          <w:i/>
          <w:iCs/>
        </w:rPr>
        <w:t>La Commission recommande que le Conseil prenne note du Document C19/63(Rév.1) et que le Secrétariat prépare pour une prochaine session du Conseil une compilation des décisions adoptées par la PP-18 et visées dans les comptes rendus de ses séances plénières, en particulier les décisions basées sur les recommandations des Commissions et du Groupe de travail de la plénière.</w:t>
      </w:r>
    </w:p>
    <w:p w14:paraId="5EB90AAD" w14:textId="772C75C7" w:rsidR="00342ADE" w:rsidRPr="00745B38" w:rsidRDefault="00342ADE" w:rsidP="008C616D">
      <w:pPr>
        <w:spacing w:after="240"/>
      </w:pPr>
      <w:r w:rsidRPr="00745B38">
        <w:t>2</w:t>
      </w:r>
      <w:r w:rsidRPr="00745B38">
        <w:tab/>
      </w:r>
      <w:r w:rsidR="007F18FA" w:rsidRPr="00745B38">
        <w:t xml:space="preserve">On trouvera dans le tableau ci-dessous la liste des décisions prises </w:t>
      </w:r>
      <w:r w:rsidR="00231374" w:rsidRPr="00745B38">
        <w:t>en</w:t>
      </w:r>
      <w:r w:rsidR="007F18FA" w:rsidRPr="00745B38">
        <w:t xml:space="preserve"> plénière </w:t>
      </w:r>
      <w:r w:rsidR="00231374" w:rsidRPr="00745B38">
        <w:t>par</w:t>
      </w:r>
      <w:r w:rsidR="007F18FA" w:rsidRPr="00745B38">
        <w:t xml:space="preserve"> la </w:t>
      </w:r>
      <w:r w:rsidRPr="00745B38">
        <w:t>PP-18</w:t>
      </w:r>
      <w:r w:rsidR="007F18FA" w:rsidRPr="00745B38">
        <w:t xml:space="preserve"> qui n</w:t>
      </w:r>
      <w:r w:rsidR="007531EC" w:rsidRPr="00745B38">
        <w:t>'</w:t>
      </w:r>
      <w:r w:rsidR="007F18FA" w:rsidRPr="00745B38">
        <w:t xml:space="preserve">apparaissent pas dans les textes fondamentaux </w:t>
      </w:r>
      <w:r w:rsidR="00231374" w:rsidRPr="00745B38">
        <w:t>en tant que</w:t>
      </w:r>
      <w:r w:rsidR="007F18FA" w:rsidRPr="00745B38">
        <w:t xml:space="preserve"> Résolutions ou </w:t>
      </w:r>
      <w:r w:rsidRPr="00745B38">
        <w:t>D</w:t>
      </w:r>
      <w:r w:rsidR="007F18FA" w:rsidRPr="00745B38">
        <w:t>é</w:t>
      </w:r>
      <w:r w:rsidRPr="00745B38">
        <w:t>cisions</w:t>
      </w:r>
      <w:r w:rsidR="007F18FA" w:rsidRPr="00745B38">
        <w:rPr>
          <w:color w:val="000000"/>
        </w:rPr>
        <w:t xml:space="preserve"> officielles</w:t>
      </w:r>
      <w:r w:rsidRPr="00745B38">
        <w:t xml:space="preserve">. </w:t>
      </w:r>
      <w:r w:rsidR="007F18FA" w:rsidRPr="00745B38">
        <w:t>Ce</w:t>
      </w:r>
      <w:r w:rsidR="0077279C" w:rsidRPr="00745B38">
        <w:t xml:space="preserve"> </w:t>
      </w:r>
      <w:r w:rsidRPr="00745B38">
        <w:t>table</w:t>
      </w:r>
      <w:r w:rsidR="007F18FA" w:rsidRPr="00745B38">
        <w:t>au</w:t>
      </w:r>
      <w:r w:rsidRPr="00745B38">
        <w:t xml:space="preserve"> indi</w:t>
      </w:r>
      <w:r w:rsidR="007F18FA" w:rsidRPr="00745B38">
        <w:t>que les</w:t>
      </w:r>
      <w:r w:rsidR="0077279C" w:rsidRPr="00745B38">
        <w:t xml:space="preserve"> </w:t>
      </w:r>
      <w:r w:rsidR="007F18FA" w:rsidRPr="00745B38">
        <w:t>numéros de documents contenant le procès-verbal et de paragraphe, ainsi que l</w:t>
      </w:r>
      <w:r w:rsidR="007531EC" w:rsidRPr="00745B38">
        <w:t>'</w:t>
      </w:r>
      <w:r w:rsidR="007F18FA" w:rsidRPr="00745B38">
        <w:t>origine (à savoir la Commission 5), et la décision prise</w:t>
      </w:r>
      <w:r w:rsidR="008C616D" w:rsidRPr="00745B38">
        <w:t>.</w:t>
      </w:r>
    </w:p>
    <w:p w14:paraId="30AA9F81" w14:textId="0917EE4F" w:rsidR="008C616D" w:rsidRPr="00745B38" w:rsidRDefault="008C616D" w:rsidP="008C616D">
      <w:pPr>
        <w:spacing w:after="240"/>
      </w:pPr>
      <w:r w:rsidRPr="00745B38">
        <w:br w:type="page"/>
      </w:r>
    </w:p>
    <w:tbl>
      <w:tblPr>
        <w:tblStyle w:val="TableGrid"/>
        <w:tblW w:w="9923" w:type="dxa"/>
        <w:jc w:val="center"/>
        <w:tblLook w:val="04A0" w:firstRow="1" w:lastRow="0" w:firstColumn="1" w:lastColumn="0" w:noHBand="0" w:noVBand="1"/>
      </w:tblPr>
      <w:tblGrid>
        <w:gridCol w:w="2977"/>
        <w:gridCol w:w="704"/>
        <w:gridCol w:w="1559"/>
        <w:gridCol w:w="4683"/>
      </w:tblGrid>
      <w:tr w:rsidR="0050233B" w:rsidRPr="00745B38" w14:paraId="4A674FCB" w14:textId="77777777" w:rsidTr="00724BB3">
        <w:trPr>
          <w:tblHeader/>
          <w:jc w:val="center"/>
        </w:trPr>
        <w:tc>
          <w:tcPr>
            <w:tcW w:w="2977" w:type="dxa"/>
            <w:vAlign w:val="center"/>
          </w:tcPr>
          <w:p w14:paraId="20A632FB" w14:textId="1B436249" w:rsidR="0050233B" w:rsidRPr="00745B38" w:rsidRDefault="00225AF6" w:rsidP="0077279C">
            <w:pPr>
              <w:pStyle w:val="Tablehead"/>
            </w:pPr>
            <w:r w:rsidRPr="00745B38">
              <w:lastRenderedPageBreak/>
              <w:t>N</w:t>
            </w:r>
            <w:r w:rsidRPr="00745B38">
              <w:rPr>
                <w:vertAlign w:val="superscript"/>
              </w:rPr>
              <w:t>o</w:t>
            </w:r>
            <w:r w:rsidRPr="00745B38">
              <w:t xml:space="preserve"> du document</w:t>
            </w:r>
            <w:r w:rsidR="0077279C" w:rsidRPr="00745B38">
              <w:t xml:space="preserve"> </w:t>
            </w:r>
            <w:r w:rsidRPr="00745B38">
              <w:t>contenant le procès</w:t>
            </w:r>
            <w:r w:rsidR="0077279C" w:rsidRPr="00745B38">
              <w:noBreakHyphen/>
            </w:r>
            <w:r w:rsidRPr="00745B38">
              <w:t>verbal</w:t>
            </w:r>
          </w:p>
        </w:tc>
        <w:tc>
          <w:tcPr>
            <w:tcW w:w="704" w:type="dxa"/>
            <w:vAlign w:val="center"/>
          </w:tcPr>
          <w:p w14:paraId="22FE7D36" w14:textId="7BDB8F88" w:rsidR="0050233B" w:rsidRPr="00745B38" w:rsidRDefault="0050233B" w:rsidP="0077279C">
            <w:pPr>
              <w:pStyle w:val="Tablehead"/>
            </w:pPr>
            <w:bookmarkStart w:id="8" w:name="_GoBack"/>
            <w:bookmarkEnd w:id="8"/>
            <w:r w:rsidRPr="00745B38">
              <w:t>§</w:t>
            </w:r>
          </w:p>
        </w:tc>
        <w:tc>
          <w:tcPr>
            <w:tcW w:w="1559" w:type="dxa"/>
            <w:vAlign w:val="center"/>
          </w:tcPr>
          <w:p w14:paraId="181632AC" w14:textId="745ED8AC" w:rsidR="0050233B" w:rsidRPr="00745B38" w:rsidRDefault="00225AF6" w:rsidP="0077279C">
            <w:pPr>
              <w:pStyle w:val="Tablehead"/>
            </w:pPr>
            <w:r w:rsidRPr="00745B38">
              <w:t>Origine</w:t>
            </w:r>
          </w:p>
        </w:tc>
        <w:tc>
          <w:tcPr>
            <w:tcW w:w="4683" w:type="dxa"/>
            <w:vAlign w:val="center"/>
          </w:tcPr>
          <w:p w14:paraId="26A2B0DA" w14:textId="41D9426B" w:rsidR="0050233B" w:rsidRPr="00745B38" w:rsidRDefault="0050233B" w:rsidP="0077279C">
            <w:pPr>
              <w:pStyle w:val="Tablehead"/>
            </w:pPr>
            <w:r w:rsidRPr="00745B38">
              <w:t>D</w:t>
            </w:r>
            <w:r w:rsidR="00225AF6" w:rsidRPr="00745B38">
              <w:t>é</w:t>
            </w:r>
            <w:r w:rsidRPr="00745B38">
              <w:t>cision</w:t>
            </w:r>
          </w:p>
        </w:tc>
      </w:tr>
      <w:tr w:rsidR="0050233B" w:rsidRPr="00745B38" w14:paraId="7FAC05D5" w14:textId="77777777" w:rsidTr="00724BB3">
        <w:trPr>
          <w:jc w:val="center"/>
        </w:trPr>
        <w:tc>
          <w:tcPr>
            <w:tcW w:w="2977" w:type="dxa"/>
          </w:tcPr>
          <w:p w14:paraId="786D0C37" w14:textId="02B27528" w:rsidR="0050233B" w:rsidRPr="00745B38" w:rsidRDefault="0050233B" w:rsidP="007531EC">
            <w:pPr>
              <w:pStyle w:val="Tabletext"/>
              <w:jc w:val="center"/>
            </w:pPr>
            <w:r w:rsidRPr="00745B38">
              <w:t xml:space="preserve">Seizième séance plénière, </w:t>
            </w:r>
            <w:hyperlink r:id="rId10" w:history="1">
              <w:r w:rsidRPr="00745B38">
                <w:rPr>
                  <w:rStyle w:val="Hyperlink"/>
                </w:rPr>
                <w:t>173</w:t>
              </w:r>
            </w:hyperlink>
          </w:p>
        </w:tc>
        <w:tc>
          <w:tcPr>
            <w:tcW w:w="704" w:type="dxa"/>
          </w:tcPr>
          <w:p w14:paraId="0A7A8249" w14:textId="491843D0" w:rsidR="0050233B" w:rsidRPr="00745B38" w:rsidRDefault="0050233B" w:rsidP="007531EC">
            <w:pPr>
              <w:pStyle w:val="Tabletext"/>
              <w:jc w:val="center"/>
            </w:pPr>
            <w:r w:rsidRPr="00745B38">
              <w:t>1.3</w:t>
            </w:r>
          </w:p>
        </w:tc>
        <w:tc>
          <w:tcPr>
            <w:tcW w:w="1559" w:type="dxa"/>
          </w:tcPr>
          <w:p w14:paraId="18E4D801" w14:textId="42EE53EF" w:rsidR="0050233B" w:rsidRPr="00745B38" w:rsidRDefault="0050233B" w:rsidP="007531EC">
            <w:pPr>
              <w:pStyle w:val="Tabletext"/>
              <w:jc w:val="center"/>
            </w:pPr>
            <w:r w:rsidRPr="00745B38">
              <w:t>Com 5 (</w:t>
            </w:r>
            <w:hyperlink r:id="rId11" w:history="1">
              <w:r w:rsidRPr="00745B38">
                <w:rPr>
                  <w:rStyle w:val="Hyperlink"/>
                </w:rPr>
                <w:t>155</w:t>
              </w:r>
            </w:hyperlink>
            <w:r w:rsidRPr="00745B38">
              <w:t>), Rec. 1</w:t>
            </w:r>
          </w:p>
        </w:tc>
        <w:tc>
          <w:tcPr>
            <w:tcW w:w="4683" w:type="dxa"/>
          </w:tcPr>
          <w:p w14:paraId="1E3F5BA8" w14:textId="4D428879" w:rsidR="0050233B" w:rsidRPr="00745B38" w:rsidRDefault="007B5FC0" w:rsidP="007531EC">
            <w:pPr>
              <w:pStyle w:val="Tabletext"/>
            </w:pPr>
            <w:r w:rsidRPr="00745B38">
              <w:t xml:space="preserve">La Commission 5 recommande à la plénière d'approuver définitivement la conclusion de l'Accord de coopération entre INTERPOL et l'UIT, en vertu du numéro 58 de la Constitution. </w:t>
            </w:r>
            <w:bookmarkStart w:id="9" w:name="lt_pId073"/>
            <w:r w:rsidRPr="00745B38">
              <w:t>Elle recommande en outre de charger le Secrétaire général de notifier cette approbation dans les meilleurs délais aux autorités compétentes d'INTERPOL</w:t>
            </w:r>
            <w:bookmarkEnd w:id="9"/>
            <w:r w:rsidRPr="00745B38">
              <w:t>.</w:t>
            </w:r>
          </w:p>
        </w:tc>
      </w:tr>
      <w:tr w:rsidR="007B5FC0" w:rsidRPr="00745B38" w14:paraId="66D20A8C" w14:textId="77777777" w:rsidTr="00724BB3">
        <w:trPr>
          <w:jc w:val="center"/>
        </w:trPr>
        <w:tc>
          <w:tcPr>
            <w:tcW w:w="2977" w:type="dxa"/>
          </w:tcPr>
          <w:p w14:paraId="0568B95D" w14:textId="54ECAB47" w:rsidR="007B5FC0" w:rsidRPr="00745B38" w:rsidRDefault="007B5FC0" w:rsidP="007531EC">
            <w:pPr>
              <w:pStyle w:val="Tabletext"/>
              <w:jc w:val="center"/>
            </w:pPr>
            <w:r w:rsidRPr="00745B38">
              <w:t xml:space="preserve">Seizième séance plénière, </w:t>
            </w:r>
            <w:hyperlink r:id="rId12" w:history="1">
              <w:r w:rsidRPr="00745B38">
                <w:rPr>
                  <w:rStyle w:val="Hyperlink"/>
                </w:rPr>
                <w:t>173</w:t>
              </w:r>
            </w:hyperlink>
          </w:p>
        </w:tc>
        <w:tc>
          <w:tcPr>
            <w:tcW w:w="704" w:type="dxa"/>
          </w:tcPr>
          <w:p w14:paraId="1D9BD75D" w14:textId="3B36EC39" w:rsidR="007B5FC0" w:rsidRPr="00745B38" w:rsidRDefault="007B5FC0" w:rsidP="007531EC">
            <w:pPr>
              <w:pStyle w:val="Tabletext"/>
              <w:jc w:val="center"/>
            </w:pPr>
            <w:r w:rsidRPr="00745B38">
              <w:t>1.3</w:t>
            </w:r>
          </w:p>
        </w:tc>
        <w:tc>
          <w:tcPr>
            <w:tcW w:w="1559" w:type="dxa"/>
          </w:tcPr>
          <w:p w14:paraId="7EA1D58F" w14:textId="4511190E" w:rsidR="007B5FC0" w:rsidRPr="00745B38" w:rsidRDefault="007B5FC0" w:rsidP="007531EC">
            <w:pPr>
              <w:pStyle w:val="Tabletext"/>
              <w:jc w:val="center"/>
            </w:pPr>
            <w:r w:rsidRPr="00745B38">
              <w:t>Com 5 (</w:t>
            </w:r>
            <w:hyperlink r:id="rId13" w:history="1">
              <w:r w:rsidRPr="00745B38">
                <w:rPr>
                  <w:rStyle w:val="Hyperlink"/>
                </w:rPr>
                <w:t>155</w:t>
              </w:r>
            </w:hyperlink>
            <w:r w:rsidRPr="00745B38">
              <w:t>), Rec. 2</w:t>
            </w:r>
          </w:p>
        </w:tc>
        <w:tc>
          <w:tcPr>
            <w:tcW w:w="4683" w:type="dxa"/>
          </w:tcPr>
          <w:p w14:paraId="218AD9CB" w14:textId="3AC72B1A" w:rsidR="007B5FC0" w:rsidRPr="00745B38" w:rsidRDefault="007B5FC0" w:rsidP="007531EC">
            <w:pPr>
              <w:pStyle w:val="Tabletext"/>
            </w:pPr>
            <w:r w:rsidRPr="00745B38">
              <w:t>La Commission 5 recommande à la plénière d'approuver la Politique en matière d'accès aux documents figurant dans l'</w:t>
            </w:r>
            <w:r w:rsidR="00724BB3">
              <w:t>A</w:t>
            </w:r>
            <w:r w:rsidRPr="00745B38">
              <w:t>nnexe du Document C18/58 (soumise à la Conférence dans le Document 30) assortie des clarifications données dans la proposition ARB/72A1/39.</w:t>
            </w:r>
          </w:p>
        </w:tc>
      </w:tr>
      <w:tr w:rsidR="007B5FC0" w:rsidRPr="00745B38" w14:paraId="7BDCCBE4" w14:textId="77777777" w:rsidTr="00724BB3">
        <w:trPr>
          <w:jc w:val="center"/>
        </w:trPr>
        <w:tc>
          <w:tcPr>
            <w:tcW w:w="2977" w:type="dxa"/>
          </w:tcPr>
          <w:p w14:paraId="22EB99D8" w14:textId="11A898B1" w:rsidR="007B5FC0" w:rsidRPr="00745B38" w:rsidRDefault="007B5FC0" w:rsidP="007531EC">
            <w:pPr>
              <w:pStyle w:val="Tabletext"/>
              <w:jc w:val="center"/>
            </w:pPr>
            <w:r w:rsidRPr="00745B38">
              <w:t xml:space="preserve">Seizième séance plénière, </w:t>
            </w:r>
            <w:hyperlink r:id="rId14" w:history="1">
              <w:r w:rsidRPr="00745B38">
                <w:rPr>
                  <w:rStyle w:val="Hyperlink"/>
                </w:rPr>
                <w:t>173</w:t>
              </w:r>
            </w:hyperlink>
          </w:p>
        </w:tc>
        <w:tc>
          <w:tcPr>
            <w:tcW w:w="704" w:type="dxa"/>
          </w:tcPr>
          <w:p w14:paraId="4379A60C" w14:textId="3CB61FC9" w:rsidR="007B5FC0" w:rsidRPr="00745B38" w:rsidRDefault="007B5FC0" w:rsidP="007531EC">
            <w:pPr>
              <w:pStyle w:val="Tabletext"/>
              <w:jc w:val="center"/>
            </w:pPr>
            <w:r w:rsidRPr="00745B38">
              <w:t>1.3</w:t>
            </w:r>
          </w:p>
        </w:tc>
        <w:tc>
          <w:tcPr>
            <w:tcW w:w="1559" w:type="dxa"/>
          </w:tcPr>
          <w:p w14:paraId="2CE3E524" w14:textId="31EE23CF" w:rsidR="007B5FC0" w:rsidRPr="00745B38" w:rsidRDefault="007B5FC0" w:rsidP="007531EC">
            <w:pPr>
              <w:pStyle w:val="Tabletext"/>
              <w:jc w:val="center"/>
            </w:pPr>
            <w:r w:rsidRPr="00745B38">
              <w:t>Com 5 (</w:t>
            </w:r>
            <w:hyperlink r:id="rId15" w:history="1">
              <w:r w:rsidRPr="00745B38">
                <w:rPr>
                  <w:rStyle w:val="Hyperlink"/>
                </w:rPr>
                <w:t>155</w:t>
              </w:r>
            </w:hyperlink>
            <w:r w:rsidRPr="00745B38">
              <w:t>), Rec. 3</w:t>
            </w:r>
          </w:p>
        </w:tc>
        <w:tc>
          <w:tcPr>
            <w:tcW w:w="4683" w:type="dxa"/>
          </w:tcPr>
          <w:p w14:paraId="4313026C" w14:textId="77777777" w:rsidR="007D789C" w:rsidRPr="00745B38" w:rsidRDefault="007D789C" w:rsidP="007531EC">
            <w:pPr>
              <w:pStyle w:val="Tabletext"/>
            </w:pPr>
            <w:r w:rsidRPr="00745B38">
              <w:t>La Commission 5 recommande à la plénière d'adopter le texte suivant:</w:t>
            </w:r>
          </w:p>
          <w:p w14:paraId="4B50B4FD" w14:textId="77777777" w:rsidR="007D789C" w:rsidRPr="00745B38" w:rsidRDefault="007D789C" w:rsidP="007531EC">
            <w:pPr>
              <w:pStyle w:val="Tabletext"/>
            </w:pPr>
            <w:bookmarkStart w:id="10" w:name="lt_pId080"/>
            <w:r w:rsidRPr="00745B38">
              <w:rPr>
                <w:color w:val="000000"/>
              </w:rPr>
              <w:t>La présente Conférence de plénipotentiaires reconnaît la nécessité, examinée à de multiples sessions du Conseil, de rationaliser les résolutions</w:t>
            </w:r>
            <w:r w:rsidRPr="00745B38">
              <w:t>.</w:t>
            </w:r>
            <w:bookmarkEnd w:id="10"/>
            <w:r w:rsidRPr="00745B38">
              <w:t xml:space="preserve"> </w:t>
            </w:r>
            <w:r w:rsidRPr="00745B38">
              <w:rPr>
                <w:color w:val="000000"/>
              </w:rPr>
              <w:t>Dans le cadre des débats, il a été observé qu'un certain nombre de résolutions des trois Secteurs reprennent, dans leur préambule, du texte qui existe dans une résolution de la PP.</w:t>
            </w:r>
            <w:r w:rsidRPr="00745B38">
              <w:t xml:space="preserve"> </w:t>
            </w:r>
            <w:r w:rsidRPr="00745B38">
              <w:rPr>
                <w:color w:val="000000"/>
              </w:rPr>
              <w:t>Les répétitions de ce texte entre les conférences et assemblées de l'UIT sont à l'origine d'inefficacités et entraînent une augmentation des coûts.</w:t>
            </w:r>
          </w:p>
          <w:p w14:paraId="723C19E2" w14:textId="77777777" w:rsidR="007D789C" w:rsidRPr="00745B38" w:rsidRDefault="007D789C" w:rsidP="007531EC">
            <w:pPr>
              <w:pStyle w:val="Tabletext"/>
            </w:pPr>
            <w:bookmarkStart w:id="11" w:name="lt_pId083"/>
            <w:r w:rsidRPr="00745B38">
              <w:t>La Conférence de plénipotentiaires est consciente que certaines résolutions des Secteurs comprennent des parties de certaines de ses résolutions</w:t>
            </w:r>
            <w:bookmarkStart w:id="12" w:name="lt_pId084"/>
            <w:bookmarkEnd w:id="11"/>
            <w:r w:rsidRPr="00745B38">
              <w:t>.</w:t>
            </w:r>
            <w:bookmarkEnd w:id="12"/>
            <w:r w:rsidRPr="00745B38">
              <w:t xml:space="preserve"> Ces résolutions ne devraient pas être considérées comme répétitives.</w:t>
            </w:r>
          </w:p>
          <w:p w14:paraId="06B9FA5A" w14:textId="31AFCA51" w:rsidR="007D789C" w:rsidRPr="00745B38" w:rsidRDefault="007D789C" w:rsidP="007531EC">
            <w:pPr>
              <w:pStyle w:val="Tabletext"/>
            </w:pPr>
            <w:bookmarkStart w:id="13" w:name="lt_pId085"/>
            <w:r w:rsidRPr="00745B38">
              <w:rPr>
                <w:color w:val="000000"/>
              </w:rPr>
              <w:t>La Conférence de plénipotentiaires charge le Secrétariat de mener une analyse afin d'identifier les textes adoptés par la</w:t>
            </w:r>
            <w:r w:rsidR="00724BB3">
              <w:rPr>
                <w:color w:val="000000"/>
              </w:rPr>
              <w:t> </w:t>
            </w:r>
            <w:r w:rsidRPr="00745B38">
              <w:rPr>
                <w:color w:val="000000"/>
              </w:rPr>
              <w:t>PP et les assemblées/conférences des Secteurs qui portent sur des thèmes analogues et de soumettre les résultats de cette analyse pour examen au GCR, au GCNT, au GCDT, à l'</w:t>
            </w:r>
            <w:r w:rsidR="00D9623F" w:rsidRPr="00745B38">
              <w:rPr>
                <w:color w:val="000000"/>
              </w:rPr>
              <w:t>Équipe</w:t>
            </w:r>
            <w:r w:rsidRPr="00745B38">
              <w:rPr>
                <w:color w:val="000000"/>
              </w:rPr>
              <w:t xml:space="preserve"> de coordination intersectorielle et au Conseil</w:t>
            </w:r>
            <w:r w:rsidRPr="00745B38">
              <w:t>.</w:t>
            </w:r>
            <w:bookmarkEnd w:id="13"/>
          </w:p>
          <w:p w14:paraId="27C5FCEE" w14:textId="38B45792" w:rsidR="007D789C" w:rsidRPr="00745B38" w:rsidRDefault="007D789C" w:rsidP="007531EC">
            <w:pPr>
              <w:pStyle w:val="Tabletext"/>
            </w:pPr>
            <w:bookmarkStart w:id="14" w:name="lt_pId086"/>
            <w:r w:rsidRPr="00745B38">
              <w:rPr>
                <w:color w:val="000000"/>
              </w:rPr>
              <w:t xml:space="preserve">Les </w:t>
            </w:r>
            <w:r w:rsidR="00D9623F" w:rsidRPr="00745B38">
              <w:rPr>
                <w:color w:val="000000"/>
              </w:rPr>
              <w:t>États</w:t>
            </w:r>
            <w:r w:rsidRPr="00745B38">
              <w:rPr>
                <w:color w:val="000000"/>
              </w:rPr>
              <w:t xml:space="preserve"> Membres et les Membres de Secteur sont invités à utiliser ces résultats dans leurs travaux préparatoires en vue des assemblées/conférences des Secteurs, selon qu'il convient</w:t>
            </w:r>
            <w:r w:rsidRPr="00745B38">
              <w:t>.</w:t>
            </w:r>
            <w:bookmarkEnd w:id="14"/>
          </w:p>
          <w:p w14:paraId="3DDA5432" w14:textId="32609D38" w:rsidR="007B5FC0" w:rsidRPr="00745B38" w:rsidRDefault="007D789C" w:rsidP="007531EC">
            <w:pPr>
              <w:pStyle w:val="Tabletext"/>
            </w:pPr>
            <w:bookmarkStart w:id="15" w:name="lt_pId087"/>
            <w:r w:rsidRPr="00745B38">
              <w:rPr>
                <w:color w:val="000000"/>
              </w:rPr>
              <w:lastRenderedPageBreak/>
              <w:t xml:space="preserve">La Conférence de plénipotentiaires invite les </w:t>
            </w:r>
            <w:r w:rsidR="00D9623F" w:rsidRPr="00745B38">
              <w:rPr>
                <w:color w:val="000000"/>
              </w:rPr>
              <w:t>États</w:t>
            </w:r>
            <w:r w:rsidRPr="00745B38">
              <w:rPr>
                <w:color w:val="000000"/>
              </w:rPr>
              <w:t xml:space="preserve"> Membres, les conférences et les assemblées à soutenir le principe de rationalisation des résolutions afin d'éviter les répétitions</w:t>
            </w:r>
            <w:r w:rsidRPr="00745B38">
              <w:t>.</w:t>
            </w:r>
            <w:bookmarkEnd w:id="15"/>
            <w:r w:rsidRPr="00745B38">
              <w:t xml:space="preserve"> </w:t>
            </w:r>
            <w:r w:rsidRPr="00745B38">
              <w:rPr>
                <w:color w:val="000000"/>
              </w:rPr>
              <w:t>Naturellement, les résolutions qui portent sur des sujets propres à un Secteur donné seront conservées en tant que résolutions de ce Secteur.</w:t>
            </w:r>
          </w:p>
        </w:tc>
      </w:tr>
      <w:tr w:rsidR="007D789C" w:rsidRPr="00745B38" w14:paraId="397C7D40" w14:textId="77777777" w:rsidTr="00724BB3">
        <w:trPr>
          <w:jc w:val="center"/>
        </w:trPr>
        <w:tc>
          <w:tcPr>
            <w:tcW w:w="2977" w:type="dxa"/>
          </w:tcPr>
          <w:p w14:paraId="6086DFD7" w14:textId="0CF6A89F" w:rsidR="007D789C" w:rsidRPr="00745B38" w:rsidRDefault="007D789C" w:rsidP="007531EC">
            <w:pPr>
              <w:pStyle w:val="Tabletext"/>
              <w:jc w:val="center"/>
            </w:pPr>
            <w:r w:rsidRPr="00745B38">
              <w:lastRenderedPageBreak/>
              <w:t xml:space="preserve">Seizième séance plénière, </w:t>
            </w:r>
            <w:hyperlink r:id="rId16" w:history="1">
              <w:r w:rsidRPr="00745B38">
                <w:rPr>
                  <w:rStyle w:val="Hyperlink"/>
                </w:rPr>
                <w:t>173</w:t>
              </w:r>
            </w:hyperlink>
          </w:p>
        </w:tc>
        <w:tc>
          <w:tcPr>
            <w:tcW w:w="704" w:type="dxa"/>
          </w:tcPr>
          <w:p w14:paraId="3146183E" w14:textId="1042A6FA" w:rsidR="007D789C" w:rsidRPr="00745B38" w:rsidRDefault="007D789C" w:rsidP="0077279C">
            <w:pPr>
              <w:pStyle w:val="Tabletext"/>
              <w:jc w:val="center"/>
            </w:pPr>
            <w:r w:rsidRPr="00745B38">
              <w:t>1.3</w:t>
            </w:r>
          </w:p>
        </w:tc>
        <w:tc>
          <w:tcPr>
            <w:tcW w:w="1559" w:type="dxa"/>
          </w:tcPr>
          <w:p w14:paraId="691CD3E5" w14:textId="680C8FBF" w:rsidR="007D789C" w:rsidRPr="00745B38" w:rsidRDefault="007D789C" w:rsidP="007531EC">
            <w:pPr>
              <w:pStyle w:val="Tabletext"/>
              <w:jc w:val="center"/>
            </w:pPr>
            <w:r w:rsidRPr="00745B38">
              <w:t>Com 5 (</w:t>
            </w:r>
            <w:hyperlink r:id="rId17" w:history="1">
              <w:r w:rsidRPr="00745B38">
                <w:rPr>
                  <w:rStyle w:val="Hyperlink"/>
                </w:rPr>
                <w:t>155</w:t>
              </w:r>
            </w:hyperlink>
            <w:r w:rsidRPr="00745B38">
              <w:t>), Rec. 4</w:t>
            </w:r>
          </w:p>
        </w:tc>
        <w:tc>
          <w:tcPr>
            <w:tcW w:w="4683" w:type="dxa"/>
          </w:tcPr>
          <w:p w14:paraId="11F9DC13" w14:textId="29D22606" w:rsidR="007D789C" w:rsidRPr="00745B38" w:rsidRDefault="007D789C" w:rsidP="007531EC">
            <w:pPr>
              <w:pStyle w:val="Tabletext"/>
            </w:pPr>
            <w:r w:rsidRPr="00745B38">
              <w:t xml:space="preserve">La Commission 5 recommande de ne pas apporter de modifications à la Résolution 119 (Rév. Antalya, 2006). </w:t>
            </w:r>
            <w:bookmarkStart w:id="16" w:name="lt_pId092"/>
            <w:r w:rsidRPr="00745B38">
              <w:t xml:space="preserve">Elle note qu'au titre du point 1 du </w:t>
            </w:r>
            <w:r w:rsidRPr="00745B38">
              <w:rPr>
                <w:i/>
                <w:iCs/>
              </w:rPr>
              <w:t xml:space="preserve">décide </w:t>
            </w:r>
            <w:r w:rsidRPr="00745B38">
              <w:t>de ladite résolution, le</w:t>
            </w:r>
            <w:r w:rsidR="00724BB3">
              <w:t> </w:t>
            </w:r>
            <w:r w:rsidRPr="00745B38">
              <w:t>RRB est chargé de continuer de revoir périodiquement ses méthodes de travail et ses procédures internes</w:t>
            </w:r>
            <w:bookmarkEnd w:id="16"/>
            <w:r w:rsidRPr="00745B38">
              <w:t>. Les</w:t>
            </w:r>
            <w:r w:rsidR="0077279C" w:rsidRPr="00745B38">
              <w:t> </w:t>
            </w:r>
            <w:r w:rsidRPr="00745B38">
              <w:t>États</w:t>
            </w:r>
            <w:r w:rsidR="0077279C" w:rsidRPr="00745B38">
              <w:t> </w:t>
            </w:r>
            <w:r w:rsidRPr="00745B38">
              <w:t>Membres voudront peut-être apporter leur contribution à cet égard.</w:t>
            </w:r>
          </w:p>
        </w:tc>
      </w:tr>
      <w:tr w:rsidR="007D789C" w:rsidRPr="00745B38" w14:paraId="79E16794" w14:textId="77777777" w:rsidTr="00724BB3">
        <w:trPr>
          <w:jc w:val="center"/>
        </w:trPr>
        <w:tc>
          <w:tcPr>
            <w:tcW w:w="2977" w:type="dxa"/>
          </w:tcPr>
          <w:p w14:paraId="320AAD40" w14:textId="36325506" w:rsidR="007D789C" w:rsidRPr="00745B38" w:rsidRDefault="007D789C" w:rsidP="007531EC">
            <w:pPr>
              <w:pStyle w:val="Tabletext"/>
              <w:jc w:val="center"/>
            </w:pPr>
            <w:r w:rsidRPr="00745B38">
              <w:t xml:space="preserve">Seizième séance plénière, </w:t>
            </w:r>
            <w:hyperlink r:id="rId18" w:history="1">
              <w:r w:rsidRPr="00745B38">
                <w:rPr>
                  <w:rStyle w:val="Hyperlink"/>
                </w:rPr>
                <w:t>173</w:t>
              </w:r>
            </w:hyperlink>
          </w:p>
        </w:tc>
        <w:tc>
          <w:tcPr>
            <w:tcW w:w="704" w:type="dxa"/>
          </w:tcPr>
          <w:p w14:paraId="5EA52D17" w14:textId="64BD2C04" w:rsidR="007D789C" w:rsidRPr="00745B38" w:rsidRDefault="007D789C" w:rsidP="007531EC">
            <w:pPr>
              <w:pStyle w:val="Tabletext"/>
              <w:jc w:val="center"/>
            </w:pPr>
            <w:r w:rsidRPr="00745B38">
              <w:t>1.3</w:t>
            </w:r>
          </w:p>
        </w:tc>
        <w:tc>
          <w:tcPr>
            <w:tcW w:w="1559" w:type="dxa"/>
          </w:tcPr>
          <w:p w14:paraId="01BFB815" w14:textId="484E8E76" w:rsidR="007D789C" w:rsidRPr="00745B38" w:rsidRDefault="007D789C" w:rsidP="007531EC">
            <w:pPr>
              <w:pStyle w:val="Tabletext"/>
              <w:jc w:val="center"/>
            </w:pPr>
            <w:r w:rsidRPr="00745B38">
              <w:t>Com 5 (</w:t>
            </w:r>
            <w:hyperlink r:id="rId19" w:history="1">
              <w:r w:rsidRPr="00745B38">
                <w:rPr>
                  <w:rStyle w:val="Hyperlink"/>
                </w:rPr>
                <w:t>155</w:t>
              </w:r>
            </w:hyperlink>
            <w:r w:rsidRPr="00745B38">
              <w:t>), Rec. 5</w:t>
            </w:r>
          </w:p>
        </w:tc>
        <w:tc>
          <w:tcPr>
            <w:tcW w:w="4683" w:type="dxa"/>
          </w:tcPr>
          <w:p w14:paraId="3305A03F" w14:textId="743A59F7" w:rsidR="007D789C" w:rsidRPr="00745B38" w:rsidRDefault="007D789C" w:rsidP="007531EC">
            <w:pPr>
              <w:pStyle w:val="Tabletext"/>
            </w:pPr>
            <w:r w:rsidRPr="00745B38">
              <w:t>La Commission 5 recommande à la plénière de charger le Secrétaire général de soumettre à la prochaine Conférence de plénipotentiaires un document d'information qui rend compte des droits et des obligations des différentes catégories de membres et de participation aux travaux de l'UIT.</w:t>
            </w:r>
          </w:p>
        </w:tc>
      </w:tr>
      <w:tr w:rsidR="007D789C" w:rsidRPr="00745B38" w14:paraId="6517CCDB" w14:textId="77777777" w:rsidTr="00724BB3">
        <w:trPr>
          <w:jc w:val="center"/>
        </w:trPr>
        <w:tc>
          <w:tcPr>
            <w:tcW w:w="2977" w:type="dxa"/>
          </w:tcPr>
          <w:p w14:paraId="67293F70" w14:textId="5D1AED03" w:rsidR="007D789C" w:rsidRPr="00745B38" w:rsidRDefault="007D789C" w:rsidP="007531EC">
            <w:pPr>
              <w:pStyle w:val="Tabletext"/>
              <w:jc w:val="center"/>
            </w:pPr>
            <w:r w:rsidRPr="00745B38">
              <w:t xml:space="preserve">Seizième séance plénière, </w:t>
            </w:r>
            <w:hyperlink r:id="rId20" w:history="1">
              <w:r w:rsidRPr="00745B38">
                <w:rPr>
                  <w:rStyle w:val="Hyperlink"/>
                </w:rPr>
                <w:t>173</w:t>
              </w:r>
            </w:hyperlink>
          </w:p>
        </w:tc>
        <w:tc>
          <w:tcPr>
            <w:tcW w:w="704" w:type="dxa"/>
          </w:tcPr>
          <w:p w14:paraId="34739663" w14:textId="08BC2C1F" w:rsidR="007D789C" w:rsidRPr="00745B38" w:rsidRDefault="007D789C" w:rsidP="007531EC">
            <w:pPr>
              <w:pStyle w:val="Tabletext"/>
              <w:jc w:val="center"/>
            </w:pPr>
            <w:r w:rsidRPr="00745B38">
              <w:t>1.3</w:t>
            </w:r>
          </w:p>
        </w:tc>
        <w:tc>
          <w:tcPr>
            <w:tcW w:w="1559" w:type="dxa"/>
          </w:tcPr>
          <w:p w14:paraId="515D209E" w14:textId="35F56047" w:rsidR="007D789C" w:rsidRPr="00745B38" w:rsidRDefault="007D789C" w:rsidP="007531EC">
            <w:pPr>
              <w:pStyle w:val="Tabletext"/>
              <w:jc w:val="center"/>
            </w:pPr>
            <w:r w:rsidRPr="00745B38">
              <w:t>Com 5 (</w:t>
            </w:r>
            <w:hyperlink r:id="rId21" w:history="1">
              <w:r w:rsidRPr="00745B38">
                <w:rPr>
                  <w:rStyle w:val="Hyperlink"/>
                </w:rPr>
                <w:t>155</w:t>
              </w:r>
            </w:hyperlink>
            <w:r w:rsidRPr="00745B38">
              <w:t>), Rec. 6</w:t>
            </w:r>
          </w:p>
        </w:tc>
        <w:tc>
          <w:tcPr>
            <w:tcW w:w="4683" w:type="dxa"/>
          </w:tcPr>
          <w:p w14:paraId="1E5E50DA" w14:textId="77777777" w:rsidR="007D789C" w:rsidRPr="00745B38" w:rsidRDefault="007D789C" w:rsidP="007531EC">
            <w:pPr>
              <w:pStyle w:val="Tabletext"/>
            </w:pPr>
            <w:r w:rsidRPr="00745B38">
              <w:t>La Commission 5 recommande à la plénière de charger le Conseil:</w:t>
            </w:r>
          </w:p>
          <w:p w14:paraId="23506BC0" w14:textId="77777777" w:rsidR="007D789C" w:rsidRPr="00745B38" w:rsidRDefault="007D789C" w:rsidP="007531EC">
            <w:pPr>
              <w:pStyle w:val="Tabletext"/>
            </w:pPr>
            <w:r w:rsidRPr="00745B38">
              <w:t>1</w:t>
            </w:r>
            <w:r w:rsidRPr="00745B38">
              <w:tab/>
            </w:r>
            <w:bookmarkStart w:id="17" w:name="lt_pId100"/>
            <w:r w:rsidRPr="00745B38">
              <w:t>de mener une étude approfondie sur les améliorations qui peuvent être apportées au processus électoral appliqué à l'UIT dans son ensemble, en particulier sur la nécessité de réviser le Règlement général pour ce qui est des procédures d'élection, y compris en effectuant des études sur la conduite d'auditions.</w:t>
            </w:r>
            <w:bookmarkStart w:id="18" w:name="lt_pId101"/>
            <w:bookmarkEnd w:id="17"/>
            <w:r w:rsidRPr="00745B38">
              <w:t xml:space="preserve"> Pour ce faire, il conviendrait de tenir compte des documents pertinents soumis au Conseil et à la PP-14 (par exemple la Recommandation 8 de la Commission 5 approuvée par la plénière) et de prendre des décisions en temps voulu, selon que de besoin;</w:t>
            </w:r>
            <w:bookmarkEnd w:id="18"/>
          </w:p>
          <w:p w14:paraId="5F427333" w14:textId="77777777" w:rsidR="007D789C" w:rsidRPr="00745B38" w:rsidRDefault="007D789C" w:rsidP="007531EC">
            <w:pPr>
              <w:pStyle w:val="Tabletext"/>
            </w:pPr>
            <w:r w:rsidRPr="00745B38">
              <w:t>2</w:t>
            </w:r>
            <w:r w:rsidRPr="00745B38">
              <w:tab/>
            </w:r>
            <w:bookmarkStart w:id="19" w:name="lt_pId103"/>
            <w:r w:rsidRPr="00745B38">
              <w:t>de modifier, si nécessaire, les Statut et Règlement du personnel de l'UIT applicables aux fonctionnaires nommés et les Statut et Règlement applicables aux fonctionnaires élus, afin d'envisager la suppression de la nécessité pour un fonctionnaire nommé de l'UIT d'être placé en situation de congé spécial sans traitement lorsqu'il se porte candidat à l'un des postes de fonctionnaire élu;</w:t>
            </w:r>
            <w:bookmarkEnd w:id="19"/>
          </w:p>
          <w:p w14:paraId="134A4C30" w14:textId="0217FCB5" w:rsidR="007D789C" w:rsidRPr="00745B38" w:rsidRDefault="007D789C" w:rsidP="007531EC">
            <w:pPr>
              <w:pStyle w:val="Tabletext"/>
            </w:pPr>
            <w:r w:rsidRPr="00745B38">
              <w:lastRenderedPageBreak/>
              <w:t>3</w:t>
            </w:r>
            <w:r w:rsidRPr="00745B38">
              <w:tab/>
            </w:r>
            <w:bookmarkStart w:id="20" w:name="lt_pId105"/>
            <w:r w:rsidRPr="00745B38">
              <w:t>de continuer d'apporter des améliorations au portail en ligne des élections à la PP, afin de favoriser les interactions avec les candidats et d'obtenir plus d'informations sur eux;</w:t>
            </w:r>
            <w:bookmarkEnd w:id="20"/>
          </w:p>
          <w:p w14:paraId="24598D0E" w14:textId="6D46527D" w:rsidR="007D789C" w:rsidRPr="00745B38" w:rsidRDefault="007D789C" w:rsidP="007531EC">
            <w:pPr>
              <w:pStyle w:val="Tabletext"/>
            </w:pPr>
            <w:r w:rsidRPr="00745B38">
              <w:t>4</w:t>
            </w:r>
            <w:r w:rsidRPr="00745B38">
              <w:tab/>
            </w:r>
            <w:bookmarkStart w:id="21" w:name="lt_pId107"/>
            <w:r w:rsidRPr="00745B38">
              <w:t>de continuer d'utiliser la revue "Nouvelles de l'UIT" comme plate-forme où présenter les positions et les déclarations d'intention des candidats;</w:t>
            </w:r>
            <w:bookmarkEnd w:id="21"/>
          </w:p>
          <w:p w14:paraId="7CB92044" w14:textId="473C9753" w:rsidR="007D789C" w:rsidRPr="00745B38" w:rsidRDefault="007D789C" w:rsidP="007531EC">
            <w:pPr>
              <w:pStyle w:val="Tabletext"/>
            </w:pPr>
            <w:r w:rsidRPr="00745B38">
              <w:t>5</w:t>
            </w:r>
            <w:r w:rsidRPr="00745B38">
              <w:tab/>
            </w:r>
            <w:bookmarkStart w:id="22" w:name="lt_pId109"/>
            <w:r w:rsidRPr="00745B38">
              <w:t>d'adopter des lignes directrices relatives aux aspects éthiques des activités qui seront menées dans le cadre des futures campagnes électorales, en se fondant sur les dispositions des lignes directrices relatives aux aspects éthiques de certaines activités susceptibles d'être menées dans le cadre de la campagne électorale précédant la Conférence de plénipotentiaires de</w:t>
            </w:r>
            <w:r w:rsidR="00724BB3">
              <w:t> </w:t>
            </w:r>
            <w:r w:rsidRPr="00745B38">
              <w:t xml:space="preserve">2018, telles qu'adoptées par le Conseil à sa session 2018, </w:t>
            </w:r>
            <w:bookmarkEnd w:id="22"/>
            <w:r w:rsidRPr="00745B38">
              <w:t>des améliorations pouvant être apportées, selon le cas.</w:t>
            </w:r>
          </w:p>
        </w:tc>
      </w:tr>
      <w:tr w:rsidR="007D789C" w:rsidRPr="00745B38" w14:paraId="2A8FF84B" w14:textId="77777777" w:rsidTr="00724BB3">
        <w:trPr>
          <w:jc w:val="center"/>
        </w:trPr>
        <w:tc>
          <w:tcPr>
            <w:tcW w:w="2977" w:type="dxa"/>
          </w:tcPr>
          <w:p w14:paraId="0DB7135D" w14:textId="70352724" w:rsidR="007D789C" w:rsidRPr="00745B38" w:rsidRDefault="007D789C" w:rsidP="007531EC">
            <w:pPr>
              <w:pStyle w:val="Tabletext"/>
              <w:jc w:val="center"/>
            </w:pPr>
            <w:r w:rsidRPr="00745B38">
              <w:lastRenderedPageBreak/>
              <w:t xml:space="preserve">Seizième séance plénière, </w:t>
            </w:r>
            <w:hyperlink r:id="rId22" w:history="1">
              <w:r w:rsidRPr="00745B38">
                <w:rPr>
                  <w:rStyle w:val="Hyperlink"/>
                </w:rPr>
                <w:t>173</w:t>
              </w:r>
            </w:hyperlink>
          </w:p>
        </w:tc>
        <w:tc>
          <w:tcPr>
            <w:tcW w:w="704" w:type="dxa"/>
          </w:tcPr>
          <w:p w14:paraId="436E7EF2" w14:textId="6A771C10" w:rsidR="007D789C" w:rsidRPr="00745B38" w:rsidRDefault="007D789C" w:rsidP="007531EC">
            <w:pPr>
              <w:pStyle w:val="Tabletext"/>
              <w:jc w:val="center"/>
            </w:pPr>
            <w:r w:rsidRPr="00745B38">
              <w:t>1.3</w:t>
            </w:r>
          </w:p>
        </w:tc>
        <w:tc>
          <w:tcPr>
            <w:tcW w:w="1559" w:type="dxa"/>
          </w:tcPr>
          <w:p w14:paraId="0108F18B" w14:textId="767C73BE" w:rsidR="007D789C" w:rsidRPr="00745B38" w:rsidRDefault="007D789C" w:rsidP="007531EC">
            <w:pPr>
              <w:pStyle w:val="Tabletext"/>
              <w:jc w:val="center"/>
            </w:pPr>
            <w:r w:rsidRPr="00745B38">
              <w:t>Com 5 (</w:t>
            </w:r>
            <w:hyperlink r:id="rId23" w:history="1">
              <w:r w:rsidRPr="00745B38">
                <w:rPr>
                  <w:rStyle w:val="Hyperlink"/>
                </w:rPr>
                <w:t>155</w:t>
              </w:r>
            </w:hyperlink>
            <w:r w:rsidRPr="00745B38">
              <w:t>), Rec. 7</w:t>
            </w:r>
          </w:p>
        </w:tc>
        <w:tc>
          <w:tcPr>
            <w:tcW w:w="4683" w:type="dxa"/>
          </w:tcPr>
          <w:p w14:paraId="2F2A8C62" w14:textId="77777777" w:rsidR="007D789C" w:rsidRPr="00745B38" w:rsidRDefault="007D789C" w:rsidP="007531EC">
            <w:pPr>
              <w:pStyle w:val="Tabletext"/>
              <w:rPr>
                <w:rFonts w:eastAsia="Calibri"/>
                <w:iCs/>
                <w:u w:val="single"/>
              </w:rPr>
            </w:pPr>
            <w:r w:rsidRPr="00745B38">
              <w:rPr>
                <w:rFonts w:eastAsia="Calibri"/>
                <w:iCs/>
              </w:rPr>
              <w:t>La Commission 5 recommande à la plénière d'adopter le texte suivant:</w:t>
            </w:r>
          </w:p>
          <w:p w14:paraId="0E5864C5" w14:textId="77777777" w:rsidR="007D789C" w:rsidRPr="00745B38" w:rsidRDefault="007D789C" w:rsidP="007531EC">
            <w:pPr>
              <w:pStyle w:val="Tabletext"/>
              <w:rPr>
                <w:rFonts w:eastAsia="Calibri"/>
              </w:rPr>
            </w:pPr>
            <w:bookmarkStart w:id="23" w:name="lt_pId113"/>
            <w:r w:rsidRPr="00745B38">
              <w:t>La présente Conférence de plénipotentiaires reconnaît la nécessité de promouvoir la participation des femmes à tous les processus décisionnels de l'UIT, afin d'encourager davantage de femmes à présenter leur candidature aux postes de fonctionnaires élus de l'Union, conformément au numéro 154 de la Constitution de l'UIT.</w:t>
            </w:r>
            <w:bookmarkEnd w:id="23"/>
          </w:p>
          <w:p w14:paraId="701E92E2" w14:textId="77777777" w:rsidR="007D789C" w:rsidRPr="00745B38" w:rsidRDefault="007D789C" w:rsidP="007531EC">
            <w:pPr>
              <w:pStyle w:val="Tabletext"/>
              <w:rPr>
                <w:rFonts w:eastAsia="Calibri"/>
              </w:rPr>
            </w:pPr>
            <w:bookmarkStart w:id="24" w:name="lt_pId114"/>
            <w:r w:rsidRPr="00745B38">
              <w:rPr>
                <w:rFonts w:eastAsia="Calibri"/>
              </w:rPr>
              <w:t>En conséquence, la Conférence de plénipotentiaires charge le Conseil:</w:t>
            </w:r>
            <w:bookmarkEnd w:id="24"/>
          </w:p>
          <w:p w14:paraId="5FF5E694" w14:textId="77777777" w:rsidR="007D789C" w:rsidRPr="00745B38" w:rsidRDefault="007D789C" w:rsidP="007531EC">
            <w:pPr>
              <w:pStyle w:val="Tabletext"/>
              <w:rPr>
                <w:rFonts w:eastAsia="Calibri"/>
              </w:rPr>
            </w:pPr>
            <w:r w:rsidRPr="00745B38">
              <w:rPr>
                <w:rFonts w:eastAsia="Calibri"/>
              </w:rPr>
              <w:t>1</w:t>
            </w:r>
            <w:r w:rsidRPr="00745B38">
              <w:rPr>
                <w:rFonts w:eastAsia="Calibri"/>
              </w:rPr>
              <w:tab/>
            </w:r>
            <w:bookmarkStart w:id="25" w:name="lt_pId116"/>
            <w:r w:rsidRPr="00745B38">
              <w:rPr>
                <w:rFonts w:eastAsia="Calibri"/>
              </w:rPr>
              <w:t>d'étudier des mécanismes permettant à davantage de femmes d'accéder à des postes de direction et de gestion, en particulier s'agissant du processus électoral</w:t>
            </w:r>
            <w:bookmarkEnd w:id="25"/>
            <w:r w:rsidRPr="00745B38">
              <w:rPr>
                <w:rFonts w:eastAsia="Calibri"/>
              </w:rPr>
              <w:t>;</w:t>
            </w:r>
          </w:p>
          <w:p w14:paraId="4F271CFD" w14:textId="3A614817" w:rsidR="007D789C" w:rsidRPr="00745B38" w:rsidRDefault="007D789C" w:rsidP="00724BB3">
            <w:pPr>
              <w:pStyle w:val="Tabletext"/>
            </w:pPr>
            <w:r w:rsidRPr="00745B38">
              <w:rPr>
                <w:rFonts w:eastAsia="Calibri"/>
              </w:rPr>
              <w:t>2</w:t>
            </w:r>
            <w:r w:rsidRPr="00745B38">
              <w:rPr>
                <w:rFonts w:eastAsia="Calibri"/>
              </w:rPr>
              <w:tab/>
            </w:r>
            <w:r w:rsidRPr="00745B38">
              <w:rPr>
                <w:color w:val="000000"/>
              </w:rPr>
              <w:t>de mener les travaux nécessaires en vue de modifier les règles applicables à l'élection du Secrétaire général, du Vice-Secrétaire général et des Directeurs des Bureaux, afin de mettre en œuvre la présente recommandation, et de soumettre un rapport à la Conférence de plénipotentiaires de 2022.</w:t>
            </w:r>
          </w:p>
        </w:tc>
      </w:tr>
    </w:tbl>
    <w:p w14:paraId="3BDA1373" w14:textId="14C92685" w:rsidR="00724BB3" w:rsidRDefault="00724BB3">
      <w:r>
        <w:br w:type="page"/>
      </w:r>
    </w:p>
    <w:tbl>
      <w:tblPr>
        <w:tblStyle w:val="TableGrid"/>
        <w:tblW w:w="9923" w:type="dxa"/>
        <w:tblLook w:val="04A0" w:firstRow="1" w:lastRow="0" w:firstColumn="1" w:lastColumn="0" w:noHBand="0" w:noVBand="1"/>
      </w:tblPr>
      <w:tblGrid>
        <w:gridCol w:w="2977"/>
        <w:gridCol w:w="704"/>
        <w:gridCol w:w="1559"/>
        <w:gridCol w:w="4683"/>
      </w:tblGrid>
      <w:tr w:rsidR="00724BB3" w:rsidRPr="00745B38" w14:paraId="45CC4D03" w14:textId="77777777" w:rsidTr="00724BB3">
        <w:tc>
          <w:tcPr>
            <w:tcW w:w="2977" w:type="dxa"/>
          </w:tcPr>
          <w:p w14:paraId="7B97E887" w14:textId="77777777" w:rsidR="00724BB3" w:rsidRPr="00745B38" w:rsidRDefault="00724BB3" w:rsidP="00636A60">
            <w:pPr>
              <w:pStyle w:val="Tablehead"/>
            </w:pPr>
            <w:r w:rsidRPr="00745B38">
              <w:lastRenderedPageBreak/>
              <w:t>N</w:t>
            </w:r>
            <w:r w:rsidRPr="00745B38">
              <w:rPr>
                <w:vertAlign w:val="superscript"/>
              </w:rPr>
              <w:t>o</w:t>
            </w:r>
            <w:r w:rsidRPr="00745B38">
              <w:t xml:space="preserve"> du document contenant le procès</w:t>
            </w:r>
            <w:r w:rsidRPr="00745B38">
              <w:noBreakHyphen/>
              <w:t>verbal</w:t>
            </w:r>
          </w:p>
        </w:tc>
        <w:tc>
          <w:tcPr>
            <w:tcW w:w="704" w:type="dxa"/>
          </w:tcPr>
          <w:p w14:paraId="0DC06D98" w14:textId="77777777" w:rsidR="00724BB3" w:rsidRPr="00745B38" w:rsidRDefault="00724BB3" w:rsidP="00636A60">
            <w:pPr>
              <w:pStyle w:val="Tablehead"/>
            </w:pPr>
            <w:r w:rsidRPr="00745B38">
              <w:t>§</w:t>
            </w:r>
          </w:p>
        </w:tc>
        <w:tc>
          <w:tcPr>
            <w:tcW w:w="1559" w:type="dxa"/>
          </w:tcPr>
          <w:p w14:paraId="2A391F16" w14:textId="77777777" w:rsidR="00724BB3" w:rsidRPr="00745B38" w:rsidRDefault="00724BB3" w:rsidP="00636A60">
            <w:pPr>
              <w:pStyle w:val="Tablehead"/>
            </w:pPr>
            <w:r w:rsidRPr="00745B38">
              <w:t>Origine</w:t>
            </w:r>
          </w:p>
        </w:tc>
        <w:tc>
          <w:tcPr>
            <w:tcW w:w="4683" w:type="dxa"/>
          </w:tcPr>
          <w:p w14:paraId="6C6A51AD" w14:textId="77777777" w:rsidR="00724BB3" w:rsidRPr="00745B38" w:rsidRDefault="00724BB3" w:rsidP="00636A60">
            <w:pPr>
              <w:pStyle w:val="Tablehead"/>
            </w:pPr>
            <w:r w:rsidRPr="00745B38">
              <w:t>Décision</w:t>
            </w:r>
          </w:p>
        </w:tc>
      </w:tr>
      <w:tr w:rsidR="00724BB3" w:rsidRPr="00745B38" w14:paraId="306FB0FB" w14:textId="77777777" w:rsidTr="00724BB3">
        <w:tblPrEx>
          <w:jc w:val="center"/>
        </w:tblPrEx>
        <w:trPr>
          <w:jc w:val="center"/>
        </w:trPr>
        <w:tc>
          <w:tcPr>
            <w:tcW w:w="2977" w:type="dxa"/>
          </w:tcPr>
          <w:p w14:paraId="072F9B1A" w14:textId="4117746B" w:rsidR="00724BB3" w:rsidRPr="00745B38" w:rsidRDefault="00724BB3" w:rsidP="007531EC">
            <w:pPr>
              <w:pStyle w:val="Tabletext"/>
              <w:jc w:val="center"/>
            </w:pPr>
          </w:p>
        </w:tc>
        <w:tc>
          <w:tcPr>
            <w:tcW w:w="704" w:type="dxa"/>
          </w:tcPr>
          <w:p w14:paraId="485DE719" w14:textId="77777777" w:rsidR="00724BB3" w:rsidRPr="00745B38" w:rsidRDefault="00724BB3" w:rsidP="007531EC">
            <w:pPr>
              <w:pStyle w:val="Tabletext"/>
              <w:jc w:val="center"/>
            </w:pPr>
          </w:p>
        </w:tc>
        <w:tc>
          <w:tcPr>
            <w:tcW w:w="1559" w:type="dxa"/>
          </w:tcPr>
          <w:p w14:paraId="55777BD4" w14:textId="77777777" w:rsidR="00724BB3" w:rsidRPr="00745B38" w:rsidRDefault="00724BB3" w:rsidP="007531EC">
            <w:pPr>
              <w:pStyle w:val="Tabletext"/>
              <w:jc w:val="center"/>
            </w:pPr>
          </w:p>
        </w:tc>
        <w:tc>
          <w:tcPr>
            <w:tcW w:w="4683" w:type="dxa"/>
          </w:tcPr>
          <w:p w14:paraId="74C3380C" w14:textId="77777777" w:rsidR="00724BB3" w:rsidRPr="00745B38" w:rsidRDefault="00724BB3" w:rsidP="00724BB3">
            <w:pPr>
              <w:pStyle w:val="Tabletext"/>
              <w:rPr>
                <w:rFonts w:eastAsia="Calibri"/>
                <w:i/>
                <w:iCs/>
              </w:rPr>
            </w:pPr>
            <w:bookmarkStart w:id="26" w:name="lt_pId119"/>
            <w:r w:rsidRPr="00745B38">
              <w:rPr>
                <w:rFonts w:eastAsia="Calibri"/>
                <w:iCs/>
              </w:rPr>
              <w:t>La Conférence de plénipotentiaires invite les États Membres:</w:t>
            </w:r>
            <w:bookmarkEnd w:id="26"/>
          </w:p>
          <w:p w14:paraId="004A1E59" w14:textId="77777777" w:rsidR="00724BB3" w:rsidRPr="00745B38" w:rsidRDefault="00724BB3" w:rsidP="00724BB3">
            <w:pPr>
              <w:pStyle w:val="Tabletext"/>
              <w:rPr>
                <w:rFonts w:eastAsia="Calibri"/>
              </w:rPr>
            </w:pPr>
            <w:r w:rsidRPr="00745B38">
              <w:rPr>
                <w:rFonts w:eastAsia="Calibri"/>
              </w:rPr>
              <w:t>1</w:t>
            </w:r>
            <w:r w:rsidRPr="00745B38">
              <w:rPr>
                <w:rFonts w:eastAsia="Calibri"/>
              </w:rPr>
              <w:tab/>
            </w:r>
            <w:bookmarkStart w:id="27" w:name="lt_pId121"/>
            <w:r w:rsidRPr="00745B38">
              <w:rPr>
                <w:rFonts w:eastAsia="Calibri"/>
              </w:rPr>
              <w:t>à encourager la participation des femmes à toutes les activités de l'UIT, en particulier aux processus décisionnels;</w:t>
            </w:r>
            <w:bookmarkEnd w:id="27"/>
          </w:p>
          <w:p w14:paraId="63D6545F" w14:textId="367AE4B8" w:rsidR="00724BB3" w:rsidRPr="00745B38" w:rsidRDefault="00724BB3" w:rsidP="00724BB3">
            <w:pPr>
              <w:pStyle w:val="Tabletext"/>
              <w:rPr>
                <w:rFonts w:eastAsia="Calibri"/>
                <w:iCs/>
              </w:rPr>
            </w:pPr>
            <w:r w:rsidRPr="00745B38">
              <w:rPr>
                <w:rFonts w:eastAsia="Calibri"/>
              </w:rPr>
              <w:t>2</w:t>
            </w:r>
            <w:r w:rsidRPr="00745B38">
              <w:rPr>
                <w:rFonts w:eastAsia="Calibri"/>
              </w:rPr>
              <w:tab/>
            </w:r>
            <w:bookmarkStart w:id="28" w:name="lt_pId123"/>
            <w:r w:rsidRPr="00745B38">
              <w:rPr>
                <w:rFonts w:eastAsia="Calibri"/>
              </w:rPr>
              <w:t>à promouvoir et à présenter des candidatures féminines aux postes de Secrétaire général, de Vice-Secrétaire général, des Directeurs des Bureaux et pour siéger en tant que membres du Comité du Règlement des radiocommunications.</w:t>
            </w:r>
            <w:bookmarkEnd w:id="28"/>
          </w:p>
        </w:tc>
      </w:tr>
      <w:tr w:rsidR="007D789C" w:rsidRPr="00745B38" w14:paraId="6F7AB819" w14:textId="77777777" w:rsidTr="00724BB3">
        <w:tblPrEx>
          <w:jc w:val="center"/>
        </w:tblPrEx>
        <w:trPr>
          <w:jc w:val="center"/>
        </w:trPr>
        <w:tc>
          <w:tcPr>
            <w:tcW w:w="2977" w:type="dxa"/>
          </w:tcPr>
          <w:p w14:paraId="69C90049" w14:textId="51F58214" w:rsidR="007D789C" w:rsidRPr="00745B38" w:rsidRDefault="007D789C" w:rsidP="007531EC">
            <w:pPr>
              <w:pStyle w:val="Tabletext"/>
              <w:jc w:val="center"/>
            </w:pPr>
            <w:r w:rsidRPr="00745B38">
              <w:t xml:space="preserve">Seizième séance plénière, </w:t>
            </w:r>
            <w:hyperlink r:id="rId24" w:history="1">
              <w:r w:rsidRPr="00745B38">
                <w:rPr>
                  <w:rStyle w:val="Hyperlink"/>
                </w:rPr>
                <w:t>173</w:t>
              </w:r>
            </w:hyperlink>
          </w:p>
        </w:tc>
        <w:tc>
          <w:tcPr>
            <w:tcW w:w="704" w:type="dxa"/>
          </w:tcPr>
          <w:p w14:paraId="5F1CF105" w14:textId="16664F98" w:rsidR="007D789C" w:rsidRPr="00745B38" w:rsidRDefault="007D789C" w:rsidP="007531EC">
            <w:pPr>
              <w:pStyle w:val="Tabletext"/>
              <w:jc w:val="center"/>
            </w:pPr>
            <w:r w:rsidRPr="00745B38">
              <w:t>1.3</w:t>
            </w:r>
          </w:p>
        </w:tc>
        <w:tc>
          <w:tcPr>
            <w:tcW w:w="1559" w:type="dxa"/>
          </w:tcPr>
          <w:p w14:paraId="74573A5C" w14:textId="6E083EB3" w:rsidR="007D789C" w:rsidRPr="00745B38" w:rsidRDefault="007D789C" w:rsidP="007531EC">
            <w:pPr>
              <w:pStyle w:val="Tabletext"/>
              <w:jc w:val="center"/>
            </w:pPr>
            <w:r w:rsidRPr="00745B38">
              <w:t>Com 5 (</w:t>
            </w:r>
            <w:hyperlink r:id="rId25" w:history="1">
              <w:r w:rsidRPr="00745B38">
                <w:rPr>
                  <w:rStyle w:val="Hyperlink"/>
                </w:rPr>
                <w:t>155</w:t>
              </w:r>
            </w:hyperlink>
            <w:r w:rsidRPr="00745B38">
              <w:t>), Rec. 8</w:t>
            </w:r>
          </w:p>
        </w:tc>
        <w:tc>
          <w:tcPr>
            <w:tcW w:w="4683" w:type="dxa"/>
          </w:tcPr>
          <w:p w14:paraId="5166CAB1" w14:textId="7E9CC0F9" w:rsidR="007D789C" w:rsidRPr="00745B38" w:rsidRDefault="007D789C" w:rsidP="007531EC">
            <w:pPr>
              <w:pStyle w:val="Tabletext"/>
            </w:pPr>
            <w:bookmarkStart w:id="29" w:name="lt_pId127"/>
            <w:r w:rsidRPr="00745B38">
              <w:t xml:space="preserve">La Conférence de plénipotentiaires de 2018 invite l'Assemblée </w:t>
            </w:r>
            <w:r w:rsidR="00231374" w:rsidRPr="00745B38">
              <w:t xml:space="preserve">mondiale </w:t>
            </w:r>
            <w:r w:rsidRPr="00745B38">
              <w:t>de normalisation des télécommunications (AMNT), conformément à l'</w:t>
            </w:r>
            <w:r w:rsidR="00724BB3">
              <w:t>a</w:t>
            </w:r>
            <w:r w:rsidRPr="00745B38">
              <w:t xml:space="preserve">rticle 3 de la Constitution de l'UIT, à examiner et, le cas échéant, à réviser les Résolutions 1, 2, 22 et 54 de l'AMNT, en vue de clarifier les critères </w:t>
            </w:r>
            <w:bookmarkEnd w:id="29"/>
            <w:r w:rsidRPr="00745B38">
              <w:t>pour la création de groupes régionaux des commissions d'études, leur participation à leurs travaux et leur dissolution, et le rôle du GCNT à cet égard.</w:t>
            </w:r>
          </w:p>
        </w:tc>
      </w:tr>
      <w:tr w:rsidR="007D789C" w:rsidRPr="00745B38" w14:paraId="0A5A1ABF" w14:textId="77777777" w:rsidTr="00724BB3">
        <w:tblPrEx>
          <w:jc w:val="center"/>
        </w:tblPrEx>
        <w:trPr>
          <w:jc w:val="center"/>
        </w:trPr>
        <w:tc>
          <w:tcPr>
            <w:tcW w:w="2977" w:type="dxa"/>
          </w:tcPr>
          <w:p w14:paraId="6C64A910" w14:textId="3DC0CF81" w:rsidR="007D789C" w:rsidRPr="00745B38" w:rsidRDefault="007D789C" w:rsidP="007531EC">
            <w:pPr>
              <w:pStyle w:val="Tabletext"/>
              <w:jc w:val="center"/>
            </w:pPr>
            <w:r w:rsidRPr="00745B38">
              <w:t xml:space="preserve">Seizième séance plénière, </w:t>
            </w:r>
            <w:hyperlink r:id="rId26" w:history="1">
              <w:r w:rsidRPr="00745B38">
                <w:rPr>
                  <w:rStyle w:val="Hyperlink"/>
                </w:rPr>
                <w:t>173</w:t>
              </w:r>
            </w:hyperlink>
          </w:p>
        </w:tc>
        <w:tc>
          <w:tcPr>
            <w:tcW w:w="704" w:type="dxa"/>
          </w:tcPr>
          <w:p w14:paraId="6CB6B2BC" w14:textId="385A516F" w:rsidR="007D789C" w:rsidRPr="00745B38" w:rsidRDefault="007D789C" w:rsidP="007531EC">
            <w:pPr>
              <w:pStyle w:val="Tabletext"/>
              <w:jc w:val="center"/>
            </w:pPr>
            <w:r w:rsidRPr="00745B38">
              <w:t>2.2</w:t>
            </w:r>
          </w:p>
        </w:tc>
        <w:tc>
          <w:tcPr>
            <w:tcW w:w="1559" w:type="dxa"/>
          </w:tcPr>
          <w:p w14:paraId="37F3D41A" w14:textId="7BF2D108" w:rsidR="007D789C" w:rsidRPr="00745B38" w:rsidRDefault="007D789C" w:rsidP="007531EC">
            <w:pPr>
              <w:pStyle w:val="Tabletext"/>
              <w:jc w:val="center"/>
            </w:pPr>
            <w:r w:rsidRPr="00745B38">
              <w:t>Com 6</w:t>
            </w:r>
          </w:p>
        </w:tc>
        <w:tc>
          <w:tcPr>
            <w:tcW w:w="4683" w:type="dxa"/>
          </w:tcPr>
          <w:p w14:paraId="201CC263" w14:textId="41F784F5" w:rsidR="007D789C" w:rsidRPr="00745B38" w:rsidRDefault="00945334" w:rsidP="007531EC">
            <w:pPr>
              <w:pStyle w:val="Tabletext"/>
            </w:pPr>
            <w:r w:rsidRPr="00745B38">
              <w:t>S'agissant de la Décision 12,</w:t>
            </w:r>
            <w:bookmarkStart w:id="30" w:name="lt_pId064"/>
            <w:r w:rsidRPr="00745B38">
              <w:t xml:space="preserve"> la Commission est convenue de conserver telle quelle la décision elle-même</w:t>
            </w:r>
            <w:r w:rsidR="00231374" w:rsidRPr="00745B38">
              <w:t>,</w:t>
            </w:r>
            <w:r w:rsidRPr="00745B38">
              <w:t xml:space="preserve"> mais de recommander à l'UIT de mener à bien une étude pour identifier les documents et les publications qu'il est réellement nécessaire de publier dans les six langues de l'Union</w:t>
            </w:r>
            <w:bookmarkStart w:id="31" w:name="lt_pId065"/>
            <w:bookmarkEnd w:id="30"/>
            <w:r w:rsidRPr="00745B38">
              <w:t>.</w:t>
            </w:r>
            <w:bookmarkEnd w:id="31"/>
          </w:p>
        </w:tc>
      </w:tr>
      <w:tr w:rsidR="007D789C" w:rsidRPr="00745B38" w14:paraId="1207ACD9" w14:textId="77777777" w:rsidTr="00724BB3">
        <w:tblPrEx>
          <w:jc w:val="center"/>
        </w:tblPrEx>
        <w:trPr>
          <w:jc w:val="center"/>
        </w:trPr>
        <w:tc>
          <w:tcPr>
            <w:tcW w:w="2977" w:type="dxa"/>
          </w:tcPr>
          <w:p w14:paraId="14648104" w14:textId="19FC63CC" w:rsidR="007D789C" w:rsidRPr="00745B38" w:rsidRDefault="007D789C" w:rsidP="007531EC">
            <w:pPr>
              <w:pStyle w:val="Tabletext"/>
              <w:jc w:val="center"/>
            </w:pPr>
            <w:r w:rsidRPr="00745B38">
              <w:t xml:space="preserve">Seizième séance plénière, </w:t>
            </w:r>
            <w:hyperlink r:id="rId27" w:history="1">
              <w:r w:rsidRPr="00745B38">
                <w:rPr>
                  <w:rStyle w:val="Hyperlink"/>
                </w:rPr>
                <w:t>173</w:t>
              </w:r>
            </w:hyperlink>
          </w:p>
        </w:tc>
        <w:tc>
          <w:tcPr>
            <w:tcW w:w="704" w:type="dxa"/>
          </w:tcPr>
          <w:p w14:paraId="6EB63B9C" w14:textId="075C4574" w:rsidR="007D789C" w:rsidRPr="00745B38" w:rsidRDefault="007D789C" w:rsidP="007531EC">
            <w:pPr>
              <w:pStyle w:val="Tabletext"/>
              <w:jc w:val="center"/>
            </w:pPr>
            <w:r w:rsidRPr="00745B38">
              <w:t>2.4</w:t>
            </w:r>
            <w:r w:rsidRPr="00745B38">
              <w:br/>
            </w:r>
            <w:r w:rsidR="0077279C" w:rsidRPr="00745B38">
              <w:t>et</w:t>
            </w:r>
            <w:r w:rsidRPr="00745B38">
              <w:br/>
              <w:t>2.13</w:t>
            </w:r>
          </w:p>
        </w:tc>
        <w:tc>
          <w:tcPr>
            <w:tcW w:w="1559" w:type="dxa"/>
          </w:tcPr>
          <w:p w14:paraId="6019C29C" w14:textId="48EF0088" w:rsidR="007D789C" w:rsidRPr="00745B38" w:rsidRDefault="007D789C" w:rsidP="007531EC">
            <w:pPr>
              <w:pStyle w:val="Tabletext"/>
              <w:jc w:val="center"/>
            </w:pPr>
            <w:r w:rsidRPr="00745B38">
              <w:t>Com 6</w:t>
            </w:r>
          </w:p>
        </w:tc>
        <w:tc>
          <w:tcPr>
            <w:tcW w:w="4683" w:type="dxa"/>
          </w:tcPr>
          <w:p w14:paraId="2C05ABB9" w14:textId="77777777" w:rsidR="007D789C" w:rsidRPr="00745B38" w:rsidRDefault="00945334" w:rsidP="007531EC">
            <w:pPr>
              <w:pStyle w:val="Tabletext"/>
            </w:pPr>
            <w:r w:rsidRPr="00745B38">
              <w:t>2.4</w:t>
            </w:r>
            <w:r w:rsidRPr="00745B38">
              <w:tab/>
            </w:r>
            <w:bookmarkStart w:id="32" w:name="lt_pId072"/>
            <w:r w:rsidRPr="00745B38">
              <w:t>La Commission est convenue d'ajouter, dans le rapport du Président de la Commission 6, un texte qui, s'il est approuvé par la plénière et inclus dans le procès-verbal, permettra de supprimer la Résolution 192 (Busan, 2014)</w:t>
            </w:r>
            <w:bookmarkStart w:id="33" w:name="_Toc407016298"/>
            <w:r w:rsidRPr="00745B38">
              <w:t xml:space="preserve"> – Participation de l'UIT aux mémorandums d'accord ayant des incidences financières ou stratégiques</w:t>
            </w:r>
            <w:bookmarkEnd w:id="33"/>
            <w:r w:rsidRPr="00745B38">
              <w:t>.</w:t>
            </w:r>
            <w:bookmarkEnd w:id="32"/>
          </w:p>
          <w:p w14:paraId="47EDA23A" w14:textId="77777777" w:rsidR="00945334" w:rsidRPr="00745B38" w:rsidRDefault="00945334" w:rsidP="007531EC">
            <w:pPr>
              <w:pStyle w:val="Tabletext"/>
            </w:pPr>
            <w:r w:rsidRPr="00745B38">
              <w:t>2.13</w:t>
            </w:r>
            <w:r w:rsidRPr="00745B38">
              <w:tab/>
              <w:t>Par conséquent, le texte ci-après est approuvé en tant que décision de la Conférence:</w:t>
            </w:r>
          </w:p>
          <w:p w14:paraId="574BCD16" w14:textId="283C4718" w:rsidR="00945334" w:rsidRPr="00745B38" w:rsidRDefault="00945334" w:rsidP="00724BB3">
            <w:pPr>
              <w:pStyle w:val="Tabletext"/>
            </w:pPr>
            <w:r w:rsidRPr="00745B38">
              <w:t>"La présente Conférence de plénipotentiaires (Dubaï, 2018) pense que les mémorandums d'accord auxquels l'UIT participe qui ont, selon le Secrétaire général, des incidences financières ou stratégiques importantes ne devraient être conclus que sous réserve de l'obtention de l'approbation préalable du Conseil.</w:t>
            </w:r>
          </w:p>
        </w:tc>
      </w:tr>
    </w:tbl>
    <w:p w14:paraId="5EA9ADE8" w14:textId="2101A13A" w:rsidR="00724BB3" w:rsidRDefault="00724BB3">
      <w:r>
        <w:br w:type="page"/>
      </w:r>
    </w:p>
    <w:tbl>
      <w:tblPr>
        <w:tblStyle w:val="TableGrid"/>
        <w:tblW w:w="9923" w:type="dxa"/>
        <w:tblLook w:val="04A0" w:firstRow="1" w:lastRow="0" w:firstColumn="1" w:lastColumn="0" w:noHBand="0" w:noVBand="1"/>
      </w:tblPr>
      <w:tblGrid>
        <w:gridCol w:w="2977"/>
        <w:gridCol w:w="704"/>
        <w:gridCol w:w="1559"/>
        <w:gridCol w:w="4683"/>
      </w:tblGrid>
      <w:tr w:rsidR="00724BB3" w:rsidRPr="00745B38" w14:paraId="347F0770" w14:textId="77777777" w:rsidTr="00724BB3">
        <w:tc>
          <w:tcPr>
            <w:tcW w:w="2977" w:type="dxa"/>
          </w:tcPr>
          <w:p w14:paraId="5D143BD2" w14:textId="77777777" w:rsidR="00724BB3" w:rsidRPr="00745B38" w:rsidRDefault="00724BB3" w:rsidP="00636A60">
            <w:pPr>
              <w:pStyle w:val="Tablehead"/>
            </w:pPr>
            <w:r w:rsidRPr="00745B38">
              <w:lastRenderedPageBreak/>
              <w:t>N</w:t>
            </w:r>
            <w:r w:rsidRPr="00745B38">
              <w:rPr>
                <w:vertAlign w:val="superscript"/>
              </w:rPr>
              <w:t>o</w:t>
            </w:r>
            <w:r w:rsidRPr="00745B38">
              <w:t xml:space="preserve"> du document contenant le procès</w:t>
            </w:r>
            <w:r w:rsidRPr="00745B38">
              <w:noBreakHyphen/>
              <w:t>verbal</w:t>
            </w:r>
          </w:p>
        </w:tc>
        <w:tc>
          <w:tcPr>
            <w:tcW w:w="704" w:type="dxa"/>
          </w:tcPr>
          <w:p w14:paraId="6C47D834" w14:textId="77777777" w:rsidR="00724BB3" w:rsidRPr="00745B38" w:rsidRDefault="00724BB3" w:rsidP="00636A60">
            <w:pPr>
              <w:pStyle w:val="Tablehead"/>
            </w:pPr>
            <w:r w:rsidRPr="00745B38">
              <w:t>§</w:t>
            </w:r>
          </w:p>
        </w:tc>
        <w:tc>
          <w:tcPr>
            <w:tcW w:w="1559" w:type="dxa"/>
          </w:tcPr>
          <w:p w14:paraId="1B3E38D5" w14:textId="77777777" w:rsidR="00724BB3" w:rsidRPr="00745B38" w:rsidRDefault="00724BB3" w:rsidP="00636A60">
            <w:pPr>
              <w:pStyle w:val="Tablehead"/>
            </w:pPr>
            <w:r w:rsidRPr="00745B38">
              <w:t>Origine</w:t>
            </w:r>
          </w:p>
        </w:tc>
        <w:tc>
          <w:tcPr>
            <w:tcW w:w="4683" w:type="dxa"/>
          </w:tcPr>
          <w:p w14:paraId="3D16F342" w14:textId="77777777" w:rsidR="00724BB3" w:rsidRPr="00745B38" w:rsidRDefault="00724BB3" w:rsidP="00636A60">
            <w:pPr>
              <w:pStyle w:val="Tablehead"/>
            </w:pPr>
            <w:r w:rsidRPr="00745B38">
              <w:t>Décision</w:t>
            </w:r>
          </w:p>
        </w:tc>
      </w:tr>
      <w:tr w:rsidR="00724BB3" w:rsidRPr="00745B38" w14:paraId="19C63EF5" w14:textId="77777777" w:rsidTr="00724BB3">
        <w:tblPrEx>
          <w:jc w:val="center"/>
        </w:tblPrEx>
        <w:trPr>
          <w:jc w:val="center"/>
        </w:trPr>
        <w:tc>
          <w:tcPr>
            <w:tcW w:w="2977" w:type="dxa"/>
          </w:tcPr>
          <w:p w14:paraId="38B71B36" w14:textId="25559108" w:rsidR="00724BB3" w:rsidRPr="00745B38" w:rsidRDefault="00724BB3" w:rsidP="007531EC">
            <w:pPr>
              <w:pStyle w:val="Tabletext"/>
              <w:jc w:val="center"/>
            </w:pPr>
          </w:p>
        </w:tc>
        <w:tc>
          <w:tcPr>
            <w:tcW w:w="704" w:type="dxa"/>
          </w:tcPr>
          <w:p w14:paraId="639BB211" w14:textId="77777777" w:rsidR="00724BB3" w:rsidRPr="00745B38" w:rsidRDefault="00724BB3" w:rsidP="007531EC">
            <w:pPr>
              <w:pStyle w:val="Tabletext"/>
              <w:jc w:val="center"/>
            </w:pPr>
          </w:p>
        </w:tc>
        <w:tc>
          <w:tcPr>
            <w:tcW w:w="1559" w:type="dxa"/>
          </w:tcPr>
          <w:p w14:paraId="670B3301" w14:textId="77777777" w:rsidR="00724BB3" w:rsidRPr="00745B38" w:rsidRDefault="00724BB3" w:rsidP="007531EC">
            <w:pPr>
              <w:pStyle w:val="Tabletext"/>
              <w:jc w:val="center"/>
            </w:pPr>
          </w:p>
        </w:tc>
        <w:tc>
          <w:tcPr>
            <w:tcW w:w="4683" w:type="dxa"/>
          </w:tcPr>
          <w:p w14:paraId="2B80377E" w14:textId="77777777" w:rsidR="00724BB3" w:rsidRPr="00745B38" w:rsidRDefault="00724BB3" w:rsidP="00724BB3">
            <w:pPr>
              <w:pStyle w:val="Tabletext"/>
            </w:pPr>
            <w:r w:rsidRPr="00745B38">
              <w:t>Par conséquent, le Secrétaire général soumettra les mémorandums d'accord qui ont des incidences financières ou stratégiques importantes à la session ordinaire du Conseil pour obtenir son approbation préalable.</w:t>
            </w:r>
          </w:p>
          <w:p w14:paraId="70DD9E98" w14:textId="77777777" w:rsidR="00724BB3" w:rsidRPr="00745B38" w:rsidRDefault="00724BB3" w:rsidP="00724BB3">
            <w:pPr>
              <w:pStyle w:val="Tabletext"/>
            </w:pPr>
            <w:r w:rsidRPr="00745B38">
              <w:t>Par ailleurs, un rapport sur les autres mémorandums d'accord conclus par l'UIT pendant la période considérée continuera d'être soumis.</w:t>
            </w:r>
          </w:p>
          <w:p w14:paraId="011A3029" w14:textId="77777777" w:rsidR="00724BB3" w:rsidRPr="00745B38" w:rsidRDefault="00724BB3" w:rsidP="00724BB3">
            <w:pPr>
              <w:pStyle w:val="Tabletext"/>
            </w:pPr>
            <w:r w:rsidRPr="00745B38">
              <w:t>Le Conseil, lorsqu'il examinera la participation de l'UIT à des mémorandums d'accord qui ont des incidences financières ou stratégiques importantes, appliquera les principes suivants:</w:t>
            </w:r>
          </w:p>
          <w:p w14:paraId="64B64539" w14:textId="77777777" w:rsidR="00724BB3" w:rsidRPr="00745B38" w:rsidRDefault="00724BB3" w:rsidP="00724BB3">
            <w:pPr>
              <w:pStyle w:val="Tabletext"/>
              <w:ind w:left="720" w:hanging="720"/>
            </w:pPr>
            <w:r w:rsidRPr="00745B38">
              <w:t>i)</w:t>
            </w:r>
            <w:r w:rsidRPr="00745B38">
              <w:tab/>
              <w:t>toute implication du Secrétaire général à ce titre devrait être conforme à l'objet de l'Union énoncé dans l'article 1 de la Constitution et contribuer à sa réalisation, et être dans les limites des plans stratégique et financier de l'Union;</w:t>
            </w:r>
          </w:p>
          <w:p w14:paraId="3F8A7B9E" w14:textId="77777777" w:rsidR="00724BB3" w:rsidRPr="00745B38" w:rsidRDefault="00724BB3" w:rsidP="00724BB3">
            <w:pPr>
              <w:pStyle w:val="Tabletext"/>
              <w:ind w:left="720" w:hanging="720"/>
            </w:pPr>
            <w:r w:rsidRPr="00745B38">
              <w:t>ii)</w:t>
            </w:r>
            <w:r w:rsidRPr="00745B38">
              <w:tab/>
              <w:t>les États Membres et les Membres de Secteur seront tenus informés des activités menées par l'UIT lorsqu'elle participe à des mémorandums d'accord qui ont des incidences financières ou stratégiques importantes;</w:t>
            </w:r>
          </w:p>
          <w:p w14:paraId="3EB52E85" w14:textId="77777777" w:rsidR="00724BB3" w:rsidRPr="00745B38" w:rsidRDefault="00724BB3" w:rsidP="00724BB3">
            <w:pPr>
              <w:pStyle w:val="Tabletext"/>
              <w:ind w:left="720" w:hanging="720"/>
            </w:pPr>
            <w:r w:rsidRPr="00745B38">
              <w:t>iii)</w:t>
            </w:r>
            <w:r w:rsidRPr="00745B38">
              <w:tab/>
              <w:t>la souveraineté et les droits des États Membres de l'UIT doivent être pleinement respectés et préservés.</w:t>
            </w:r>
          </w:p>
          <w:p w14:paraId="33B09EBB" w14:textId="47C68127" w:rsidR="00724BB3" w:rsidRPr="00745B38" w:rsidRDefault="00724BB3" w:rsidP="00724BB3">
            <w:pPr>
              <w:pStyle w:val="Tabletext"/>
            </w:pPr>
            <w:r w:rsidRPr="00745B38">
              <w:t>L'activité ci-dessus doit être couverte dans le rapport soumis par le Conseil à la Conférence de plénipotentiaires sur la mise en œuvre du Plan stratégique et des activités de l'Union."</w:t>
            </w:r>
          </w:p>
        </w:tc>
      </w:tr>
    </w:tbl>
    <w:p w14:paraId="4FEF350A" w14:textId="084D3313" w:rsidR="0050233B" w:rsidRDefault="00945334" w:rsidP="00A709BD">
      <w:pPr>
        <w:spacing w:before="240"/>
        <w:rPr>
          <w:color w:val="000000"/>
        </w:rPr>
      </w:pPr>
      <w:r w:rsidRPr="00745B38">
        <w:t>3</w:t>
      </w:r>
      <w:r w:rsidRPr="00745B38">
        <w:tab/>
      </w:r>
      <w:r w:rsidR="00225AF6" w:rsidRPr="00745B38">
        <w:rPr>
          <w:color w:val="000000"/>
        </w:rPr>
        <w:t>Le Conseil est invité à prendre note du présent document.</w:t>
      </w:r>
    </w:p>
    <w:p w14:paraId="14AD1C26" w14:textId="77777777" w:rsidR="00724BB3" w:rsidRPr="00745B38" w:rsidRDefault="00724BB3" w:rsidP="00A709BD">
      <w:pPr>
        <w:spacing w:before="240"/>
      </w:pPr>
    </w:p>
    <w:p w14:paraId="5F6729DA" w14:textId="77777777" w:rsidR="00945334" w:rsidRPr="00745B38" w:rsidRDefault="00945334" w:rsidP="007531EC">
      <w:pPr>
        <w:spacing w:before="360"/>
        <w:jc w:val="center"/>
      </w:pPr>
      <w:r w:rsidRPr="00745B38">
        <w:t>______________</w:t>
      </w:r>
    </w:p>
    <w:sectPr w:rsidR="00945334" w:rsidRPr="00745B38" w:rsidSect="005C3890">
      <w:headerReference w:type="even" r:id="rId28"/>
      <w:headerReference w:type="default" r:id="rId29"/>
      <w:footerReference w:type="even" r:id="rId30"/>
      <w:footerReference w:type="first" r:id="rId3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C335" w14:textId="77777777" w:rsidR="008A4904" w:rsidRDefault="008A4904">
      <w:r>
        <w:separator/>
      </w:r>
    </w:p>
  </w:endnote>
  <w:endnote w:type="continuationSeparator" w:id="0">
    <w:p w14:paraId="550EC8FD" w14:textId="77777777" w:rsidR="008A4904" w:rsidRDefault="008A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CDE5" w14:textId="4992DB0F" w:rsidR="00732045" w:rsidRPr="00664BCF" w:rsidRDefault="00216D01">
    <w:pPr>
      <w:pStyle w:val="Footer"/>
      <w:rPr>
        <w:lang w:val="fr-CH"/>
      </w:rPr>
    </w:pPr>
    <w:r>
      <w:fldChar w:fldCharType="begin"/>
    </w:r>
    <w:r w:rsidRPr="00664BCF">
      <w:rPr>
        <w:lang w:val="fr-CH"/>
      </w:rPr>
      <w:instrText xml:space="preserve"> FILENAME \p \* MERGEFORMAT </w:instrText>
    </w:r>
    <w:r>
      <w:fldChar w:fldCharType="separate"/>
    </w:r>
    <w:r w:rsidR="00664BCF">
      <w:rPr>
        <w:lang w:val="fr-CH"/>
      </w:rPr>
      <w:t>P:\FRA\SG\CONSEIL\C20\000\058F.docx</w:t>
    </w:r>
    <w:r>
      <w:fldChar w:fldCharType="end"/>
    </w:r>
    <w:r w:rsidR="00732045" w:rsidRPr="00664BCF">
      <w:rPr>
        <w:lang w:val="fr-CH"/>
      </w:rPr>
      <w:tab/>
    </w:r>
    <w:r w:rsidR="002F1B76">
      <w:fldChar w:fldCharType="begin"/>
    </w:r>
    <w:r w:rsidR="00732045">
      <w:instrText xml:space="preserve"> savedate \@ dd.MM.yy </w:instrText>
    </w:r>
    <w:r w:rsidR="002F1B76">
      <w:fldChar w:fldCharType="separate"/>
    </w:r>
    <w:r w:rsidR="002F4A52">
      <w:t>09.03.20</w:t>
    </w:r>
    <w:r w:rsidR="002F1B76">
      <w:fldChar w:fldCharType="end"/>
    </w:r>
    <w:r w:rsidR="00732045" w:rsidRPr="00664BCF">
      <w:rPr>
        <w:lang w:val="fr-CH"/>
      </w:rPr>
      <w:tab/>
    </w:r>
    <w:r w:rsidR="002F1B76">
      <w:fldChar w:fldCharType="begin"/>
    </w:r>
    <w:r w:rsidR="00732045">
      <w:instrText xml:space="preserve"> printdate \@ dd.MM.yy </w:instrText>
    </w:r>
    <w:r w:rsidR="002F1B76">
      <w:fldChar w:fldCharType="separate"/>
    </w:r>
    <w:r w:rsidR="00664BCF">
      <w:t>09.03.20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6936" w14:textId="77777777" w:rsidR="00732045" w:rsidRDefault="00732045">
    <w:pPr>
      <w:spacing w:after="120"/>
      <w:jc w:val="center"/>
    </w:pPr>
    <w:r>
      <w:t xml:space="preserve">• </w:t>
    </w:r>
    <w:hyperlink r:id="rId1" w:history="1">
      <w:r>
        <w:rPr>
          <w:rStyle w:val="Hyperlink"/>
        </w:rPr>
        <w:t>http://www.itu.int/council</w:t>
      </w:r>
    </w:hyperlink>
    <w:r>
      <w:t xml:space="preserve"> •</w:t>
    </w:r>
  </w:p>
  <w:p w14:paraId="0C6F22F9" w14:textId="47CAD931" w:rsidR="00732045" w:rsidRPr="0077279C" w:rsidRDefault="00216D01">
    <w:pPr>
      <w:pStyle w:val="Footer"/>
      <w:rPr>
        <w:lang w:val="fr-CH"/>
      </w:rPr>
    </w:pPr>
    <w:r>
      <w:fldChar w:fldCharType="begin"/>
    </w:r>
    <w:r w:rsidRPr="0077279C">
      <w:rPr>
        <w:lang w:val="fr-CH"/>
      </w:rPr>
      <w:instrText xml:space="preserve"> FILENAME \p \* MERGEFORMAT </w:instrText>
    </w:r>
    <w:r>
      <w:fldChar w:fldCharType="separate"/>
    </w:r>
    <w:r w:rsidR="00664BCF">
      <w:rPr>
        <w:lang w:val="fr-CH"/>
      </w:rPr>
      <w:t>P:\FRA\SG\CONSEIL\C20\000\058F.docx</w:t>
    </w:r>
    <w:r>
      <w:fldChar w:fldCharType="end"/>
    </w:r>
    <w:r w:rsidR="0050233B" w:rsidRPr="0077279C">
      <w:rPr>
        <w:lang w:val="fr-CH"/>
      </w:rPr>
      <w:t xml:space="preserve"> (468633)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1DFE" w14:textId="77777777" w:rsidR="008A4904" w:rsidRDefault="008A4904">
      <w:r>
        <w:t>____________________</w:t>
      </w:r>
    </w:p>
  </w:footnote>
  <w:footnote w:type="continuationSeparator" w:id="0">
    <w:p w14:paraId="6ED95E1F" w14:textId="77777777" w:rsidR="008A4904" w:rsidRDefault="008A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8D6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F18BFD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2A6C"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54558B6" w14:textId="58A1039D" w:rsidR="00732045" w:rsidRDefault="00732045" w:rsidP="00106B19">
    <w:pPr>
      <w:pStyle w:val="Header"/>
    </w:pPr>
    <w:r>
      <w:t>C</w:t>
    </w:r>
    <w:r w:rsidR="009C353C">
      <w:t>20</w:t>
    </w:r>
    <w:r>
      <w:t>/</w:t>
    </w:r>
    <w:r w:rsidR="0050233B">
      <w:t>58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79B245-62BD-4286-AC8D-9E8B7014C249}"/>
    <w:docVar w:name="dgnword-eventsink" w:val="2630747972944"/>
  </w:docVars>
  <w:rsids>
    <w:rsidRoot w:val="00342ADE"/>
    <w:rsid w:val="000D0D0A"/>
    <w:rsid w:val="00103163"/>
    <w:rsid w:val="00106B19"/>
    <w:rsid w:val="00115D93"/>
    <w:rsid w:val="001247A8"/>
    <w:rsid w:val="001378C0"/>
    <w:rsid w:val="0018694A"/>
    <w:rsid w:val="001A3287"/>
    <w:rsid w:val="001A6508"/>
    <w:rsid w:val="001D3319"/>
    <w:rsid w:val="001D4C31"/>
    <w:rsid w:val="001E4D21"/>
    <w:rsid w:val="00207CD1"/>
    <w:rsid w:val="00216D01"/>
    <w:rsid w:val="00225AF6"/>
    <w:rsid w:val="00231374"/>
    <w:rsid w:val="002477A2"/>
    <w:rsid w:val="00263A51"/>
    <w:rsid w:val="00267E02"/>
    <w:rsid w:val="002A5D44"/>
    <w:rsid w:val="002E0BC4"/>
    <w:rsid w:val="002F1B76"/>
    <w:rsid w:val="002F4A52"/>
    <w:rsid w:val="0033568E"/>
    <w:rsid w:val="00342ADE"/>
    <w:rsid w:val="00355FF5"/>
    <w:rsid w:val="00361350"/>
    <w:rsid w:val="0038166D"/>
    <w:rsid w:val="003C3FAE"/>
    <w:rsid w:val="004038CB"/>
    <w:rsid w:val="0040546F"/>
    <w:rsid w:val="0042404A"/>
    <w:rsid w:val="0044618F"/>
    <w:rsid w:val="0046769A"/>
    <w:rsid w:val="00475FB3"/>
    <w:rsid w:val="004C37A9"/>
    <w:rsid w:val="004F259E"/>
    <w:rsid w:val="0050233B"/>
    <w:rsid w:val="00511F1D"/>
    <w:rsid w:val="00520F36"/>
    <w:rsid w:val="00540615"/>
    <w:rsid w:val="00540A6D"/>
    <w:rsid w:val="00571EEA"/>
    <w:rsid w:val="00575417"/>
    <w:rsid w:val="005768E1"/>
    <w:rsid w:val="005B1938"/>
    <w:rsid w:val="005C3890"/>
    <w:rsid w:val="005F7BFE"/>
    <w:rsid w:val="00600017"/>
    <w:rsid w:val="006235CA"/>
    <w:rsid w:val="006515EB"/>
    <w:rsid w:val="006643AB"/>
    <w:rsid w:val="00664BCF"/>
    <w:rsid w:val="006F3BD1"/>
    <w:rsid w:val="007210CD"/>
    <w:rsid w:val="00724BB3"/>
    <w:rsid w:val="00732045"/>
    <w:rsid w:val="007369DB"/>
    <w:rsid w:val="00745B38"/>
    <w:rsid w:val="007531EC"/>
    <w:rsid w:val="0077279C"/>
    <w:rsid w:val="007956C2"/>
    <w:rsid w:val="007A187E"/>
    <w:rsid w:val="007B5FC0"/>
    <w:rsid w:val="007C72C2"/>
    <w:rsid w:val="007D4436"/>
    <w:rsid w:val="007D789C"/>
    <w:rsid w:val="007F18FA"/>
    <w:rsid w:val="007F257A"/>
    <w:rsid w:val="007F3665"/>
    <w:rsid w:val="00800037"/>
    <w:rsid w:val="00861D73"/>
    <w:rsid w:val="008A4904"/>
    <w:rsid w:val="008A4E87"/>
    <w:rsid w:val="008C616D"/>
    <w:rsid w:val="008D318E"/>
    <w:rsid w:val="008D76E6"/>
    <w:rsid w:val="008F0831"/>
    <w:rsid w:val="0092392D"/>
    <w:rsid w:val="0093234A"/>
    <w:rsid w:val="00932D68"/>
    <w:rsid w:val="00945334"/>
    <w:rsid w:val="009C307F"/>
    <w:rsid w:val="009C353C"/>
    <w:rsid w:val="00A2113E"/>
    <w:rsid w:val="00A23A51"/>
    <w:rsid w:val="00A24607"/>
    <w:rsid w:val="00A25CD3"/>
    <w:rsid w:val="00A709BD"/>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9623F"/>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B35D7"/>
  <w15:docId w15:val="{6F5CC3F4-4948-45FB-9FB1-D4CDA931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342AD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2ADE"/>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342ADE"/>
    <w:rPr>
      <w:color w:val="605E5C"/>
      <w:shd w:val="clear" w:color="auto" w:fill="E1DFDD"/>
    </w:rPr>
  </w:style>
  <w:style w:type="table" w:styleId="TableGrid">
    <w:name w:val="Table Grid"/>
    <w:basedOn w:val="TableNormal"/>
    <w:rsid w:val="005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7D789C"/>
    <w:rPr>
      <w:rFonts w:ascii="Calibri" w:hAnsi="Calibri"/>
      <w:i/>
      <w:sz w:val="24"/>
      <w:lang w:val="fr-FR" w:eastAsia="en-US"/>
    </w:rPr>
  </w:style>
  <w:style w:type="character" w:customStyle="1" w:styleId="enumlev1Char">
    <w:name w:val="enumlev1 Char"/>
    <w:basedOn w:val="DefaultParagraphFont"/>
    <w:link w:val="enumlev1"/>
    <w:rsid w:val="0094533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55/en" TargetMode="External"/><Relationship Id="rId18" Type="http://schemas.openxmlformats.org/officeDocument/2006/relationships/hyperlink" Target="https://www.itu.int/md/S18-PP-C-0173/en" TargetMode="External"/><Relationship Id="rId26" Type="http://schemas.openxmlformats.org/officeDocument/2006/relationships/hyperlink" Target="https://www.itu.int/md/S18-PP-C-0173/en" TargetMode="External"/><Relationship Id="rId3" Type="http://schemas.openxmlformats.org/officeDocument/2006/relationships/webSettings" Target="webSettings.xml"/><Relationship Id="rId21" Type="http://schemas.openxmlformats.org/officeDocument/2006/relationships/hyperlink" Target="https://www.itu.int/md/S18-PP-C-0155/en" TargetMode="External"/><Relationship Id="rId7" Type="http://schemas.openxmlformats.org/officeDocument/2006/relationships/hyperlink" Target="https://www.itu.int/md/S19-CL-C-0107/en" TargetMode="External"/><Relationship Id="rId12" Type="http://schemas.openxmlformats.org/officeDocument/2006/relationships/hyperlink" Target="https://www.itu.int/md/S18-PP-C-0173/en" TargetMode="External"/><Relationship Id="rId17" Type="http://schemas.openxmlformats.org/officeDocument/2006/relationships/hyperlink" Target="https://www.itu.int/md/S18-PP-C-0155/en" TargetMode="External"/><Relationship Id="rId25" Type="http://schemas.openxmlformats.org/officeDocument/2006/relationships/hyperlink" Target="https://www.itu.int/md/S18-PP-C-0155/e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8-PP-C-0173/en" TargetMode="External"/><Relationship Id="rId20" Type="http://schemas.openxmlformats.org/officeDocument/2006/relationships/hyperlink" Target="https://www.itu.int/md/S18-PP-C-0173/en"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PP-C-0155/en" TargetMode="External"/><Relationship Id="rId24" Type="http://schemas.openxmlformats.org/officeDocument/2006/relationships/hyperlink" Target="https://www.itu.int/md/S18-PP-C-0173/e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18-PP-C-0155/en" TargetMode="External"/><Relationship Id="rId23" Type="http://schemas.openxmlformats.org/officeDocument/2006/relationships/hyperlink" Target="https://www.itu.int/md/S18-PP-C-0155/en" TargetMode="External"/><Relationship Id="rId28" Type="http://schemas.openxmlformats.org/officeDocument/2006/relationships/header" Target="header1.xml"/><Relationship Id="rId10" Type="http://schemas.openxmlformats.org/officeDocument/2006/relationships/hyperlink" Target="https://www.itu.int/md/S18-PP-C-0173/en" TargetMode="External"/><Relationship Id="rId19" Type="http://schemas.openxmlformats.org/officeDocument/2006/relationships/hyperlink" Target="https://www.itu.int/md/S18-PP-C-0155/en"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9-CL-C-0107/en" TargetMode="External"/><Relationship Id="rId14" Type="http://schemas.openxmlformats.org/officeDocument/2006/relationships/hyperlink" Target="https://www.itu.int/md/S18-PP-C-0173/en" TargetMode="External"/><Relationship Id="rId22" Type="http://schemas.openxmlformats.org/officeDocument/2006/relationships/hyperlink" Target="https://www.itu.int/md/S18-PP-C-0173/en" TargetMode="External"/><Relationship Id="rId27" Type="http://schemas.openxmlformats.org/officeDocument/2006/relationships/hyperlink" Target="https://www.itu.int/md/S18-PP-C-0173/en" TargetMode="External"/><Relationship Id="rId30" Type="http://schemas.openxmlformats.org/officeDocument/2006/relationships/footer" Target="footer1.xml"/><Relationship Id="rId8" Type="http://schemas.openxmlformats.org/officeDocument/2006/relationships/hyperlink" Target="https://www.itu.int/md/S19-CL-C-012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1</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3</cp:revision>
  <cp:lastPrinted>2020-03-09T13:46:00Z</cp:lastPrinted>
  <dcterms:created xsi:type="dcterms:W3CDTF">2020-03-11T15:17:00Z</dcterms:created>
  <dcterms:modified xsi:type="dcterms:W3CDTF">2020-03-11T15:17:00Z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