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27BCB3E" w14:textId="77777777" w:rsidTr="009F66A3">
        <w:trPr>
          <w:cantSplit/>
          <w:trHeight w:val="1276"/>
        </w:trPr>
        <w:tc>
          <w:tcPr>
            <w:tcW w:w="6911" w:type="dxa"/>
          </w:tcPr>
          <w:p w14:paraId="1EB2AC4C" w14:textId="77777777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</w:t>
            </w:r>
            <w:r w:rsidR="009F66A3">
              <w:rPr>
                <w:b/>
                <w:bCs/>
                <w:position w:val="6"/>
                <w:sz w:val="30"/>
                <w:szCs w:val="30"/>
                <w:lang w:val="fr-CH"/>
              </w:rPr>
              <w:t>ouncil 2020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Geneva, 9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</w:t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19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Jun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e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</w:t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20</w:t>
            </w:r>
          </w:p>
        </w:tc>
        <w:tc>
          <w:tcPr>
            <w:tcW w:w="3120" w:type="dxa"/>
            <w:vAlign w:val="center"/>
          </w:tcPr>
          <w:p w14:paraId="4788B45A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7BCDDD2B" wp14:editId="23AAB3D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76B7C57D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230EE9A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A3E650E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DBDB1D1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32052D6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A168A20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214E1982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115B4E46" w14:textId="2361EB02" w:rsidR="002A2188" w:rsidRPr="00E85629" w:rsidRDefault="00F7583E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ADM </w:t>
            </w:r>
            <w:r w:rsidR="008263B6">
              <w:rPr>
                <w:b/>
              </w:rPr>
              <w:t>26</w:t>
            </w:r>
          </w:p>
        </w:tc>
        <w:tc>
          <w:tcPr>
            <w:tcW w:w="3120" w:type="dxa"/>
          </w:tcPr>
          <w:p w14:paraId="76D6963A" w14:textId="76CEC78F" w:rsidR="002A2188" w:rsidRPr="00E85629" w:rsidRDefault="009F66A3" w:rsidP="009F66A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C20</w:t>
            </w:r>
            <w:r w:rsidR="002A2188">
              <w:rPr>
                <w:b/>
              </w:rPr>
              <w:t>/</w:t>
            </w:r>
            <w:r w:rsidR="00F7583E">
              <w:rPr>
                <w:b/>
              </w:rPr>
              <w:t>56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77A573E6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4C3557C8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5757F67" w14:textId="7893F013" w:rsidR="002A2188" w:rsidRPr="00E85629" w:rsidRDefault="00F7583E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3 March </w:t>
            </w:r>
            <w:r w:rsidR="002A2188">
              <w:rPr>
                <w:b/>
              </w:rPr>
              <w:t>20</w:t>
            </w:r>
            <w:r w:rsidR="009F66A3">
              <w:rPr>
                <w:b/>
              </w:rPr>
              <w:t>20</w:t>
            </w:r>
          </w:p>
        </w:tc>
      </w:tr>
      <w:tr w:rsidR="002A2188" w:rsidRPr="00813E5E" w14:paraId="0BC9DD93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215C2476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6EF778A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4C9C4E90" w14:textId="77777777" w:rsidTr="00464B6C">
        <w:trPr>
          <w:cantSplit/>
        </w:trPr>
        <w:tc>
          <w:tcPr>
            <w:tcW w:w="10031" w:type="dxa"/>
            <w:gridSpan w:val="2"/>
          </w:tcPr>
          <w:p w14:paraId="5A460E38" w14:textId="77777777" w:rsidR="002A2188" w:rsidRPr="00813E5E" w:rsidRDefault="001B404B" w:rsidP="00464B6C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2A2188" w:rsidRPr="00813E5E" w14:paraId="522952FA" w14:textId="77777777" w:rsidTr="00464B6C">
        <w:trPr>
          <w:cantSplit/>
        </w:trPr>
        <w:tc>
          <w:tcPr>
            <w:tcW w:w="10031" w:type="dxa"/>
            <w:gridSpan w:val="2"/>
          </w:tcPr>
          <w:p w14:paraId="237ECA73" w14:textId="77777777" w:rsidR="00D65351" w:rsidRPr="00D65351" w:rsidRDefault="001B404B" w:rsidP="00D65351">
            <w:pPr>
              <w:pStyle w:val="Title1"/>
            </w:pPr>
            <w:bookmarkStart w:id="7" w:name="dtitle1" w:colFirst="0" w:colLast="0"/>
            <w:bookmarkEnd w:id="6"/>
            <w:r>
              <w:t xml:space="preserve">outcome of wrc-19 with financial implications </w:t>
            </w:r>
          </w:p>
        </w:tc>
      </w:tr>
    </w:tbl>
    <w:tbl>
      <w:tblPr>
        <w:tblW w:w="8487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7"/>
      </w:tblGrid>
      <w:tr w:rsidR="002A2188" w:rsidRPr="00813E5E" w14:paraId="111D5225" w14:textId="77777777" w:rsidTr="00F7583E">
        <w:trPr>
          <w:trHeight w:val="3372"/>
        </w:trPr>
        <w:tc>
          <w:tcPr>
            <w:tcW w:w="8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7"/>
          <w:p w14:paraId="16611950" w14:textId="77777777"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14:paraId="2614D965" w14:textId="256AA690" w:rsidR="002A2188" w:rsidRDefault="001B404B" w:rsidP="00567652">
            <w:pPr>
              <w:jc w:val="both"/>
            </w:pPr>
            <w:r>
              <w:t>The World Radiocommunication Conference (WRC-19), held in Sharm el</w:t>
            </w:r>
            <w:r w:rsidR="00567652">
              <w:t>-</w:t>
            </w:r>
            <w:r>
              <w:t xml:space="preserve">Sheikh, Egypt from </w:t>
            </w:r>
            <w:r w:rsidR="000703DC">
              <w:t>28 October</w:t>
            </w:r>
            <w:r w:rsidR="00567652">
              <w:t xml:space="preserve"> to </w:t>
            </w:r>
            <w:r w:rsidR="000703DC">
              <w:t xml:space="preserve">22 November 2019, adopted a number </w:t>
            </w:r>
            <w:r w:rsidR="00A21C86">
              <w:t xml:space="preserve">of </w:t>
            </w:r>
            <w:r w:rsidR="000703DC">
              <w:t>decision</w:t>
            </w:r>
            <w:r w:rsidR="00A21C86">
              <w:t>s</w:t>
            </w:r>
            <w:r w:rsidR="000703DC">
              <w:t xml:space="preserve"> including work plans and created some additional study questions</w:t>
            </w:r>
            <w:r w:rsidR="00A21C86">
              <w:t xml:space="preserve"> for the new </w:t>
            </w:r>
            <w:r w:rsidR="004C60A0">
              <w:t xml:space="preserve">study </w:t>
            </w:r>
            <w:r w:rsidR="00A21C86">
              <w:t>cycle</w:t>
            </w:r>
            <w:r w:rsidR="000703DC">
              <w:t>.</w:t>
            </w:r>
          </w:p>
          <w:p w14:paraId="08E4CE89" w14:textId="0AD3F8D4" w:rsidR="000703DC" w:rsidRDefault="000703DC" w:rsidP="00567652">
            <w:pPr>
              <w:jc w:val="both"/>
            </w:pPr>
            <w:r>
              <w:t>As contained in the Report of the Budget Committee (</w:t>
            </w:r>
            <w:hyperlink r:id="rId12" w:history="1">
              <w:r w:rsidR="0000325D" w:rsidRPr="0000325D">
                <w:rPr>
                  <w:rStyle w:val="Hyperlink"/>
                </w:rPr>
                <w:t>Doc. 337</w:t>
              </w:r>
            </w:hyperlink>
            <w:r w:rsidR="00BE41FC">
              <w:rPr>
                <w:rStyle w:val="Hyperlink"/>
              </w:rPr>
              <w:t>(Rev.2)</w:t>
            </w:r>
            <w:r w:rsidR="0000325D">
              <w:t>,</w:t>
            </w:r>
            <w:r w:rsidR="003422ED">
              <w:t xml:space="preserve"> </w:t>
            </w:r>
            <w:r>
              <w:t>COM 3) of the World Radiocommunication Conference</w:t>
            </w:r>
            <w:r w:rsidR="009575E3">
              <w:t xml:space="preserve"> (WRC-19)</w:t>
            </w:r>
            <w:r w:rsidR="0000325D">
              <w:t>, the work of the Conference identified some areas of additional work, studies</w:t>
            </w:r>
            <w:r w:rsidR="00567652">
              <w:t>,</w:t>
            </w:r>
            <w:r w:rsidR="0000325D">
              <w:t xml:space="preserve"> and development for the </w:t>
            </w:r>
            <w:r w:rsidR="003422ED">
              <w:t>implementation of the decisions of the Conference</w:t>
            </w:r>
            <w:r w:rsidR="0000325D">
              <w:t xml:space="preserve">. The estimated costs for the completion of </w:t>
            </w:r>
            <w:r w:rsidR="00A21C86">
              <w:t>these new tasks</w:t>
            </w:r>
            <w:r w:rsidR="0000325D">
              <w:t xml:space="preserve"> </w:t>
            </w:r>
            <w:r w:rsidR="003422ED">
              <w:t xml:space="preserve">are </w:t>
            </w:r>
            <w:r w:rsidR="0000325D">
              <w:t>in the magnitude of CHF</w:t>
            </w:r>
            <w:r w:rsidR="00A43772">
              <w:t> </w:t>
            </w:r>
            <w:r w:rsidR="00A43772">
              <w:t>1</w:t>
            </w:r>
            <w:r w:rsidR="00A43772">
              <w:t> </w:t>
            </w:r>
            <w:r w:rsidR="00A43772">
              <w:t>721</w:t>
            </w:r>
            <w:r w:rsidR="00A43772">
              <w:t> </w:t>
            </w:r>
            <w:r w:rsidR="00A43772">
              <w:t>000</w:t>
            </w:r>
            <w:r w:rsidR="00A21C86">
              <w:t>. WRC-19</w:t>
            </w:r>
            <w:r w:rsidR="009E3E08">
              <w:t xml:space="preserve"> requested the Secre</w:t>
            </w:r>
            <w:r w:rsidR="0000325D">
              <w:t>t</w:t>
            </w:r>
            <w:r w:rsidR="009E3E08">
              <w:t>a</w:t>
            </w:r>
            <w:r w:rsidR="0000325D">
              <w:t>ry-</w:t>
            </w:r>
            <w:r w:rsidR="009E3E08">
              <w:t>G</w:t>
            </w:r>
            <w:r w:rsidR="0000325D">
              <w:t xml:space="preserve">eneral to </w:t>
            </w:r>
            <w:r w:rsidR="009E3E08">
              <w:t xml:space="preserve">bring this to </w:t>
            </w:r>
            <w:r w:rsidR="00A21C86">
              <w:t xml:space="preserve">the </w:t>
            </w:r>
            <w:r w:rsidR="009E3E08">
              <w:t xml:space="preserve">attention of </w:t>
            </w:r>
            <w:r w:rsidR="00567652">
              <w:t xml:space="preserve">the </w:t>
            </w:r>
            <w:r w:rsidR="009E3E08">
              <w:t xml:space="preserve">Council-20 session to discuss the most effective methodology for the funding </w:t>
            </w:r>
            <w:r w:rsidR="00A21C86">
              <w:t xml:space="preserve">of </w:t>
            </w:r>
            <w:r w:rsidR="009E3E08">
              <w:t>these activities as they should be concluded prior to the World Radiocommunication Conference scheduled to take place in 2023 (WRC-23). The decisions of the Conference including estimated allocations and justifications are contained in the main body of this document.</w:t>
            </w:r>
          </w:p>
          <w:p w14:paraId="4CD42540" w14:textId="4E3EEE1A" w:rsidR="009E3E08" w:rsidRPr="00813E5E" w:rsidRDefault="009E3E08" w:rsidP="00567652">
            <w:pPr>
              <w:jc w:val="both"/>
            </w:pPr>
            <w:r>
              <w:t>The meeting of Council Working Group on Financial and Human Resources (CWG-FHR), which took place in February 2020</w:t>
            </w:r>
            <w:r w:rsidR="000943B4">
              <w:t xml:space="preserve"> reviewed this matter and </w:t>
            </w:r>
            <w:r w:rsidR="004C60A0">
              <w:t xml:space="preserve">concluded that </w:t>
            </w:r>
            <w:r w:rsidR="000943B4">
              <w:t xml:space="preserve">the request be submitted to </w:t>
            </w:r>
            <w:r w:rsidR="00567652">
              <w:t xml:space="preserve">the </w:t>
            </w:r>
            <w:r w:rsidR="000943B4">
              <w:t>Council-20 session.</w:t>
            </w:r>
          </w:p>
          <w:p w14:paraId="01A5ED08" w14:textId="77777777" w:rsidR="002A2188" w:rsidRPr="00813E5E" w:rsidRDefault="002A2188" w:rsidP="00567652">
            <w:pPr>
              <w:pStyle w:val="Headingb"/>
              <w:jc w:val="both"/>
            </w:pPr>
            <w:r w:rsidRPr="00813E5E">
              <w:t>Action required</w:t>
            </w:r>
          </w:p>
          <w:p w14:paraId="55830B25" w14:textId="6AC1BD03" w:rsidR="002A2188" w:rsidRPr="00813E5E" w:rsidRDefault="00567652" w:rsidP="00567652">
            <w:pPr>
              <w:jc w:val="both"/>
            </w:pPr>
            <w:r>
              <w:t xml:space="preserve">The </w:t>
            </w:r>
            <w:r w:rsidR="00A21C86">
              <w:t xml:space="preserve">Council is invited to </w:t>
            </w:r>
            <w:r w:rsidR="00A21C86" w:rsidRPr="00341567">
              <w:rPr>
                <w:b/>
                <w:bCs/>
              </w:rPr>
              <w:t>autho</w:t>
            </w:r>
            <w:r w:rsidR="009E3E08" w:rsidRPr="00341567">
              <w:rPr>
                <w:b/>
                <w:bCs/>
              </w:rPr>
              <w:t>rize</w:t>
            </w:r>
            <w:r w:rsidR="009E3E08">
              <w:t xml:space="preserve"> the Secretary-General </w:t>
            </w:r>
            <w:r w:rsidR="003422ED">
              <w:t xml:space="preserve">to </w:t>
            </w:r>
            <w:r w:rsidR="009E3E08">
              <w:t>take relevant measure</w:t>
            </w:r>
            <w:r w:rsidR="00A21C86">
              <w:t>s</w:t>
            </w:r>
            <w:r w:rsidR="009E3E08">
              <w:t xml:space="preserve"> as a matter</w:t>
            </w:r>
            <w:r w:rsidR="00A21C86">
              <w:t xml:space="preserve"> of</w:t>
            </w:r>
            <w:r w:rsidR="009E3E08">
              <w:t xml:space="preserve"> priority to allocate funds from annual savings generated </w:t>
            </w:r>
            <w:r w:rsidR="00BB037A">
              <w:t xml:space="preserve">during budget implementation in 2020, or to </w:t>
            </w:r>
            <w:r w:rsidR="00BB037A" w:rsidRPr="00341567">
              <w:rPr>
                <w:b/>
                <w:bCs/>
              </w:rPr>
              <w:t>call</w:t>
            </w:r>
            <w:r w:rsidR="00BB037A">
              <w:t xml:space="preserve"> for voluntary contribution,</w:t>
            </w:r>
            <w:r w:rsidR="00BB037A" w:rsidRPr="00EE56F7">
              <w:t xml:space="preserve"> or a withdrawal from the Reserve Account as a last option</w:t>
            </w:r>
            <w:r w:rsidR="00BB037A">
              <w:t xml:space="preserve"> in the next budget cycle</w:t>
            </w:r>
            <w:r w:rsidR="00BB037A" w:rsidRPr="00EE56F7">
              <w:t>.</w:t>
            </w:r>
          </w:p>
          <w:p w14:paraId="1F4F6FF9" w14:textId="77777777" w:rsidR="002A2188" w:rsidRPr="00813E5E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4587671E" w14:textId="77777777" w:rsidR="002A2188" w:rsidRPr="00813E5E" w:rsidRDefault="002A2188" w:rsidP="00464B6C">
            <w:pPr>
              <w:pStyle w:val="Headingb"/>
            </w:pPr>
            <w:r w:rsidRPr="00813E5E">
              <w:t>References</w:t>
            </w:r>
          </w:p>
          <w:p w14:paraId="6B0099E8" w14:textId="2C9A76A9" w:rsidR="002A2188" w:rsidRPr="00813E5E" w:rsidRDefault="00B611B7" w:rsidP="00B611B7">
            <w:pPr>
              <w:spacing w:after="120"/>
              <w:rPr>
                <w:i/>
                <w:iCs/>
              </w:rPr>
            </w:pPr>
            <w:hyperlink r:id="rId13" w:history="1">
              <w:r w:rsidR="00BB037A" w:rsidRPr="0000325D">
                <w:rPr>
                  <w:rStyle w:val="Hyperlink"/>
                </w:rPr>
                <w:t>Doc. 33</w:t>
              </w:r>
              <w:r w:rsidR="00BE41FC">
                <w:rPr>
                  <w:rStyle w:val="Hyperlink"/>
                </w:rPr>
                <w:t>7(Rev.2)</w:t>
              </w:r>
            </w:hyperlink>
            <w:r w:rsidR="00BB037A" w:rsidRPr="009C56A9">
              <w:rPr>
                <w:rStyle w:val="Hyperlink"/>
                <w:u w:val="none"/>
              </w:rPr>
              <w:t xml:space="preserve">, </w:t>
            </w:r>
            <w:hyperlink r:id="rId14" w:history="1">
              <w:r w:rsidR="00BB037A" w:rsidRPr="006A2B1B">
                <w:rPr>
                  <w:rStyle w:val="Hyperlink"/>
                </w:rPr>
                <w:t>CWG</w:t>
              </w:r>
              <w:r w:rsidR="00BE41FC">
                <w:rPr>
                  <w:rStyle w:val="Hyperlink"/>
                </w:rPr>
                <w:t>-FHR-</w:t>
              </w:r>
              <w:r w:rsidR="00BB037A" w:rsidRPr="006A2B1B">
                <w:rPr>
                  <w:rStyle w:val="Hyperlink"/>
                </w:rPr>
                <w:t>11</w:t>
              </w:r>
            </w:hyperlink>
            <w:r w:rsidR="00BB037A">
              <w:rPr>
                <w:rStyle w:val="Hyperlink"/>
              </w:rPr>
              <w:t>/5</w:t>
            </w:r>
          </w:p>
        </w:tc>
      </w:tr>
    </w:tbl>
    <w:p w14:paraId="2CE50878" w14:textId="77777777" w:rsidR="00264425" w:rsidRDefault="00264425" w:rsidP="00DB384B">
      <w:pPr>
        <w:rPr>
          <w:lang w:val="en-US"/>
        </w:rPr>
      </w:pPr>
      <w:bookmarkStart w:id="8" w:name="dstart"/>
      <w:bookmarkStart w:id="9" w:name="dbreak"/>
      <w:bookmarkEnd w:id="8"/>
      <w:bookmarkEnd w:id="9"/>
    </w:p>
    <w:p w14:paraId="6982B1D1" w14:textId="77777777" w:rsidR="00A2138C" w:rsidRDefault="00A2138C" w:rsidP="009C56A9">
      <w:pPr>
        <w:pStyle w:val="Heading1"/>
        <w:numPr>
          <w:ilvl w:val="0"/>
          <w:numId w:val="2"/>
        </w:numPr>
        <w:ind w:left="0" w:firstLine="0"/>
        <w:rPr>
          <w:lang w:val="en-US"/>
        </w:rPr>
      </w:pPr>
      <w:r>
        <w:rPr>
          <w:lang w:val="en-US"/>
        </w:rPr>
        <w:lastRenderedPageBreak/>
        <w:t>Introduction</w:t>
      </w:r>
    </w:p>
    <w:p w14:paraId="55EC910A" w14:textId="49B590C8" w:rsidR="00A2138C" w:rsidRDefault="00126392" w:rsidP="00567652">
      <w:pPr>
        <w:jc w:val="both"/>
        <w:rPr>
          <w:lang w:val="en-US"/>
        </w:rPr>
      </w:pPr>
      <w:r>
        <w:rPr>
          <w:lang w:val="en-US"/>
        </w:rPr>
        <w:t>The World Radiocommunication Conference</w:t>
      </w:r>
      <w:r w:rsidR="00567652">
        <w:rPr>
          <w:lang w:val="en-US"/>
        </w:rPr>
        <w:t>,</w:t>
      </w:r>
      <w:r>
        <w:rPr>
          <w:lang w:val="en-US"/>
        </w:rPr>
        <w:t xml:space="preserve"> held in Sharm el</w:t>
      </w:r>
      <w:r w:rsidR="00567652">
        <w:rPr>
          <w:lang w:val="en-US"/>
        </w:rPr>
        <w:t>-</w:t>
      </w:r>
      <w:r>
        <w:rPr>
          <w:lang w:val="en-US"/>
        </w:rPr>
        <w:t>Sheikh, Egypt from 28 October</w:t>
      </w:r>
      <w:r w:rsidR="00567652">
        <w:rPr>
          <w:lang w:val="en-US"/>
        </w:rPr>
        <w:t xml:space="preserve"> to</w:t>
      </w:r>
      <w:r>
        <w:rPr>
          <w:lang w:val="en-US"/>
        </w:rPr>
        <w:t xml:space="preserve"> 22</w:t>
      </w:r>
      <w:r w:rsidR="00341567">
        <w:rPr>
          <w:lang w:val="en-US"/>
        </w:rPr>
        <w:t> </w:t>
      </w:r>
      <w:r>
        <w:rPr>
          <w:lang w:val="en-US"/>
        </w:rPr>
        <w:t>November 2019, adopted some decisions on new activities, studies</w:t>
      </w:r>
      <w:r w:rsidR="00567652">
        <w:rPr>
          <w:lang w:val="en-US"/>
        </w:rPr>
        <w:t>,</w:t>
      </w:r>
      <w:r>
        <w:rPr>
          <w:lang w:val="en-US"/>
        </w:rPr>
        <w:t xml:space="preserve"> and improvement of existing systems and infrastructure to enable the Radiocommunication Bureau respond in a timely manner to membership demands and also address strategic issues that wi</w:t>
      </w:r>
      <w:r w:rsidR="00FB065F">
        <w:rPr>
          <w:lang w:val="en-US"/>
        </w:rPr>
        <w:t>ll require the attention of WRC-</w:t>
      </w:r>
      <w:r>
        <w:rPr>
          <w:lang w:val="en-US"/>
        </w:rPr>
        <w:t>23.</w:t>
      </w:r>
    </w:p>
    <w:p w14:paraId="6F851EF9" w14:textId="672514FD" w:rsidR="00126392" w:rsidRDefault="00FB065F" w:rsidP="00567652">
      <w:pPr>
        <w:jc w:val="both"/>
        <w:rPr>
          <w:lang w:val="en-US"/>
        </w:rPr>
      </w:pPr>
      <w:r>
        <w:rPr>
          <w:lang w:val="en-US"/>
        </w:rPr>
        <w:t>WRC-19 identified these activities as priority areas for the ITU-R and the Radioc</w:t>
      </w:r>
      <w:r w:rsidR="00530FE7">
        <w:rPr>
          <w:lang w:val="en-US"/>
        </w:rPr>
        <w:t>o</w:t>
      </w:r>
      <w:r>
        <w:rPr>
          <w:lang w:val="en-US"/>
        </w:rPr>
        <w:t>mmunication Bureau is mandated to implement these activities and report to the forthcoming Conference (WRC</w:t>
      </w:r>
      <w:r w:rsidR="009C56A9">
        <w:rPr>
          <w:lang w:val="en-US"/>
        </w:rPr>
        <w:noBreakHyphen/>
      </w:r>
      <w:r>
        <w:rPr>
          <w:lang w:val="en-US"/>
        </w:rPr>
        <w:t xml:space="preserve">23). </w:t>
      </w:r>
    </w:p>
    <w:p w14:paraId="61021756" w14:textId="1FB819D2" w:rsidR="00FB065F" w:rsidRDefault="00FB065F" w:rsidP="00567652">
      <w:pPr>
        <w:jc w:val="both"/>
        <w:rPr>
          <w:lang w:val="en-US"/>
        </w:rPr>
      </w:pPr>
      <w:r>
        <w:rPr>
          <w:lang w:val="en-US"/>
        </w:rPr>
        <w:t xml:space="preserve">As this exceeds the budget allocated to the Bureau, it is proposed that </w:t>
      </w:r>
      <w:r w:rsidR="00567652">
        <w:rPr>
          <w:lang w:val="en-US"/>
        </w:rPr>
        <w:t xml:space="preserve">the </w:t>
      </w:r>
      <w:r>
        <w:rPr>
          <w:lang w:val="en-US"/>
        </w:rPr>
        <w:t>Council consider this as a matter of priority by devising means of funding these activities</w:t>
      </w:r>
      <w:r w:rsidR="003422ED">
        <w:rPr>
          <w:lang w:val="en-US"/>
        </w:rPr>
        <w:t>,</w:t>
      </w:r>
      <w:r>
        <w:rPr>
          <w:lang w:val="en-US"/>
        </w:rPr>
        <w:t xml:space="preserve"> </w:t>
      </w:r>
      <w:r w:rsidR="003422ED">
        <w:rPr>
          <w:lang w:val="en-US"/>
        </w:rPr>
        <w:t xml:space="preserve">noting </w:t>
      </w:r>
      <w:r w:rsidR="00A21C86">
        <w:rPr>
          <w:lang w:val="en-US"/>
        </w:rPr>
        <w:t xml:space="preserve">that </w:t>
      </w:r>
      <w:r>
        <w:rPr>
          <w:lang w:val="en-US"/>
        </w:rPr>
        <w:t xml:space="preserve">the </w:t>
      </w:r>
      <w:r w:rsidR="003422ED">
        <w:rPr>
          <w:lang w:val="en-US"/>
        </w:rPr>
        <w:t xml:space="preserve">implementation </w:t>
      </w:r>
      <w:r>
        <w:rPr>
          <w:lang w:val="en-US"/>
        </w:rPr>
        <w:t>time</w:t>
      </w:r>
      <w:r w:rsidR="003422ED">
        <w:rPr>
          <w:lang w:val="en-US"/>
        </w:rPr>
        <w:t>frame</w:t>
      </w:r>
      <w:r>
        <w:rPr>
          <w:lang w:val="en-US"/>
        </w:rPr>
        <w:t xml:space="preserve"> is short and require</w:t>
      </w:r>
      <w:r w:rsidR="003422ED">
        <w:rPr>
          <w:lang w:val="en-US"/>
        </w:rPr>
        <w:t>s</w:t>
      </w:r>
      <w:r>
        <w:rPr>
          <w:lang w:val="en-US"/>
        </w:rPr>
        <w:t xml:space="preserve"> immediate action. The proposed </w:t>
      </w:r>
      <w:r w:rsidR="00D65351">
        <w:rPr>
          <w:lang w:val="en-US"/>
        </w:rPr>
        <w:t>options</w:t>
      </w:r>
      <w:r>
        <w:rPr>
          <w:lang w:val="en-US"/>
        </w:rPr>
        <w:t xml:space="preserve"> to be considered by </w:t>
      </w:r>
      <w:r w:rsidR="00567652">
        <w:rPr>
          <w:lang w:val="en-US"/>
        </w:rPr>
        <w:t xml:space="preserve">the </w:t>
      </w:r>
      <w:r>
        <w:rPr>
          <w:lang w:val="en-US"/>
        </w:rPr>
        <w:t xml:space="preserve">Council </w:t>
      </w:r>
      <w:r w:rsidR="00D65351">
        <w:rPr>
          <w:lang w:val="en-US"/>
        </w:rPr>
        <w:t>are</w:t>
      </w:r>
      <w:r>
        <w:rPr>
          <w:lang w:val="en-US"/>
        </w:rPr>
        <w:t xml:space="preserve"> outlined below:</w:t>
      </w:r>
    </w:p>
    <w:p w14:paraId="28463934" w14:textId="77777777" w:rsidR="00FB065F" w:rsidRPr="00497238" w:rsidRDefault="00FB065F" w:rsidP="00567652">
      <w:pPr>
        <w:pStyle w:val="Headingb"/>
        <w:numPr>
          <w:ilvl w:val="0"/>
          <w:numId w:val="5"/>
        </w:numPr>
        <w:tabs>
          <w:tab w:val="clear" w:pos="567"/>
        </w:tabs>
        <w:ind w:left="360"/>
        <w:jc w:val="both"/>
        <w:rPr>
          <w:b w:val="0"/>
          <w:bCs/>
        </w:rPr>
      </w:pPr>
      <w:r w:rsidRPr="00497238">
        <w:rPr>
          <w:b w:val="0"/>
          <w:bCs/>
        </w:rPr>
        <w:t>Authorize the Secretary-General to apply funds from savings as a matter of priority t</w:t>
      </w:r>
      <w:r w:rsidR="008A51C1" w:rsidRPr="00497238">
        <w:rPr>
          <w:b w:val="0"/>
          <w:bCs/>
        </w:rPr>
        <w:t xml:space="preserve">o these </w:t>
      </w:r>
      <w:proofErr w:type="gramStart"/>
      <w:r w:rsidRPr="00497238">
        <w:rPr>
          <w:b w:val="0"/>
          <w:bCs/>
        </w:rPr>
        <w:t>activities;</w:t>
      </w:r>
      <w:proofErr w:type="gramEnd"/>
    </w:p>
    <w:p w14:paraId="290D3624" w14:textId="77777777" w:rsidR="008A51C1" w:rsidRPr="00497238" w:rsidRDefault="000464F8" w:rsidP="00567652">
      <w:pPr>
        <w:pStyle w:val="Headingb"/>
        <w:numPr>
          <w:ilvl w:val="0"/>
          <w:numId w:val="5"/>
        </w:numPr>
        <w:tabs>
          <w:tab w:val="clear" w:pos="567"/>
        </w:tabs>
        <w:ind w:left="360"/>
        <w:jc w:val="both"/>
        <w:rPr>
          <w:b w:val="0"/>
          <w:bCs/>
        </w:rPr>
      </w:pPr>
      <w:r w:rsidRPr="00497238">
        <w:rPr>
          <w:b w:val="0"/>
          <w:bCs/>
        </w:rPr>
        <w:t>Authorize the Secretary-General and the Director of the Radiocommunication Bureau to seek financial grants for part of the work involved in implementing some of the project</w:t>
      </w:r>
      <w:r w:rsidR="00D65351" w:rsidRPr="00497238">
        <w:rPr>
          <w:b w:val="0"/>
          <w:bCs/>
        </w:rPr>
        <w:t>-</w:t>
      </w:r>
      <w:r w:rsidRPr="00497238">
        <w:rPr>
          <w:b w:val="0"/>
          <w:bCs/>
        </w:rPr>
        <w:t>driven components of these decisions</w:t>
      </w:r>
      <w:r w:rsidR="008A51C1" w:rsidRPr="00497238">
        <w:rPr>
          <w:b w:val="0"/>
          <w:bCs/>
        </w:rPr>
        <w:t>.</w:t>
      </w:r>
    </w:p>
    <w:p w14:paraId="696D95A2" w14:textId="40F8EDB0" w:rsidR="009B28F6" w:rsidRPr="00497238" w:rsidRDefault="009B28F6" w:rsidP="00567652">
      <w:pPr>
        <w:pStyle w:val="Headingb"/>
        <w:numPr>
          <w:ilvl w:val="0"/>
          <w:numId w:val="5"/>
        </w:numPr>
        <w:tabs>
          <w:tab w:val="clear" w:pos="567"/>
        </w:tabs>
        <w:ind w:left="360"/>
        <w:jc w:val="both"/>
        <w:rPr>
          <w:b w:val="0"/>
          <w:bCs/>
        </w:rPr>
      </w:pPr>
      <w:r w:rsidRPr="00497238">
        <w:rPr>
          <w:b w:val="0"/>
          <w:bCs/>
        </w:rPr>
        <w:t>Authorize the Secretary-General to include any recurrent expen</w:t>
      </w:r>
      <w:r w:rsidR="009063CF">
        <w:rPr>
          <w:b w:val="0"/>
          <w:bCs/>
        </w:rPr>
        <w:t>ses</w:t>
      </w:r>
      <w:r w:rsidRPr="00497238">
        <w:rPr>
          <w:b w:val="0"/>
          <w:bCs/>
        </w:rPr>
        <w:t xml:space="preserve"> into the next regular budget </w:t>
      </w:r>
      <w:proofErr w:type="gramStart"/>
      <w:r w:rsidRPr="00497238">
        <w:rPr>
          <w:b w:val="0"/>
          <w:bCs/>
        </w:rPr>
        <w:t>cycle;</w:t>
      </w:r>
      <w:proofErr w:type="gramEnd"/>
    </w:p>
    <w:p w14:paraId="2C124417" w14:textId="77777777" w:rsidR="00A2138C" w:rsidRPr="002A0212" w:rsidRDefault="00A2138C" w:rsidP="009C56A9">
      <w:pPr>
        <w:pStyle w:val="Heading1"/>
        <w:numPr>
          <w:ilvl w:val="0"/>
          <w:numId w:val="2"/>
        </w:numPr>
        <w:ind w:left="567" w:hanging="567"/>
        <w:rPr>
          <w:lang w:val="en-US"/>
        </w:rPr>
      </w:pPr>
      <w:r w:rsidRPr="002A0212">
        <w:rPr>
          <w:lang w:val="en-US"/>
        </w:rPr>
        <w:t>Financial implications of decisions or resoluti</w:t>
      </w:r>
      <w:r>
        <w:rPr>
          <w:lang w:val="en-US"/>
        </w:rPr>
        <w:t>ons of the Conference</w:t>
      </w:r>
      <w:r w:rsidR="00A21C86">
        <w:rPr>
          <w:lang w:val="en-US"/>
        </w:rPr>
        <w:t xml:space="preserve"> (WRC-19)</w:t>
      </w:r>
      <w:r>
        <w:rPr>
          <w:lang w:val="en-US"/>
        </w:rPr>
        <w:t xml:space="preserve"> (Document</w:t>
      </w:r>
      <w:r w:rsidRPr="002A0212">
        <w:rPr>
          <w:lang w:val="en-US"/>
        </w:rPr>
        <w:t>493)</w:t>
      </w:r>
    </w:p>
    <w:p w14:paraId="53CAF0D5" w14:textId="77777777" w:rsidR="00A2138C" w:rsidRPr="002A0212" w:rsidRDefault="00A2138C" w:rsidP="00567652">
      <w:pPr>
        <w:pStyle w:val="Headingb"/>
        <w:tabs>
          <w:tab w:val="clear" w:pos="567"/>
          <w:tab w:val="left" w:pos="0"/>
        </w:tabs>
        <w:ind w:left="0" w:firstLine="0"/>
        <w:jc w:val="both"/>
        <w:rPr>
          <w:lang w:val="en-US"/>
        </w:rPr>
      </w:pPr>
      <w:r w:rsidRPr="002A0212">
        <w:rPr>
          <w:lang w:val="en-US"/>
        </w:rPr>
        <w:t xml:space="preserve">Resolution </w:t>
      </w:r>
      <w:r w:rsidR="00215C90" w:rsidRPr="00497238">
        <w:rPr>
          <w:lang w:val="en-US"/>
        </w:rPr>
        <w:t>35 (WRC</w:t>
      </w:r>
      <w:r w:rsidR="00215C90" w:rsidRPr="00497238">
        <w:rPr>
          <w:lang w:val="en-US"/>
        </w:rPr>
        <w:noBreakHyphen/>
        <w:t>19)</w:t>
      </w:r>
      <w:r w:rsidR="004C60A0" w:rsidRPr="00497238">
        <w:rPr>
          <w:lang w:val="en-US"/>
        </w:rPr>
        <w:t>,</w:t>
      </w:r>
      <w:r w:rsidR="00215C90" w:rsidRPr="00497238">
        <w:rPr>
          <w:lang w:val="en-US"/>
        </w:rPr>
        <w:t xml:space="preserve"> </w:t>
      </w:r>
      <w:r w:rsidRPr="002A0212">
        <w:rPr>
          <w:lang w:val="en-US"/>
        </w:rPr>
        <w:t>A milestone-based approach for the implementation of frequency assignments to space stations in a non-geostationary-orbit satellite system in specific frequency bands and services</w:t>
      </w:r>
    </w:p>
    <w:p w14:paraId="2B860A59" w14:textId="77777777" w:rsidR="00A2138C" w:rsidRPr="002A0212" w:rsidRDefault="00A2138C" w:rsidP="00567652">
      <w:pPr>
        <w:jc w:val="both"/>
        <w:rPr>
          <w:lang w:val="en-US"/>
        </w:rPr>
      </w:pPr>
      <w:r w:rsidRPr="002A0212">
        <w:rPr>
          <w:lang w:val="en-US"/>
        </w:rPr>
        <w:t xml:space="preserve">The financial implications relating to the implementation of this draft new Resolution </w:t>
      </w:r>
      <w:r>
        <w:rPr>
          <w:lang w:val="en-US"/>
        </w:rPr>
        <w:t>are</w:t>
      </w:r>
      <w:r w:rsidRPr="002A0212">
        <w:rPr>
          <w:lang w:val="en-US"/>
        </w:rPr>
        <w:t xml:space="preserve"> estimated at CHF 340 000. The estimates relate to software development with the assistance of external resources (details in Document </w:t>
      </w:r>
      <w:hyperlink r:id="rId15" w:history="1">
        <w:r w:rsidRPr="0012312D">
          <w:rPr>
            <w:rStyle w:val="Hyperlink"/>
            <w:lang w:val="en-US"/>
          </w:rPr>
          <w:t>453</w:t>
        </w:r>
      </w:hyperlink>
      <w:r w:rsidRPr="002A0212">
        <w:rPr>
          <w:lang w:val="en-US"/>
        </w:rPr>
        <w:t xml:space="preserve"> and Table 1 below).</w:t>
      </w:r>
    </w:p>
    <w:p w14:paraId="5047D28C" w14:textId="77777777" w:rsidR="00A2138C" w:rsidRPr="002A0212" w:rsidRDefault="00A2138C" w:rsidP="00567652">
      <w:pPr>
        <w:pStyle w:val="Headingb"/>
        <w:tabs>
          <w:tab w:val="clear" w:pos="567"/>
          <w:tab w:val="left" w:pos="0"/>
        </w:tabs>
        <w:ind w:left="0" w:firstLine="0"/>
        <w:jc w:val="both"/>
        <w:rPr>
          <w:lang w:val="en-US"/>
        </w:rPr>
      </w:pPr>
      <w:r w:rsidRPr="002A0212">
        <w:rPr>
          <w:lang w:val="en-US"/>
        </w:rPr>
        <w:t xml:space="preserve">Resolution </w:t>
      </w:r>
      <w:r w:rsidR="00215C90">
        <w:rPr>
          <w:bCs/>
          <w:lang w:val="en-US"/>
        </w:rPr>
        <w:t>169</w:t>
      </w:r>
      <w:r w:rsidR="004C60A0">
        <w:rPr>
          <w:bCs/>
          <w:lang w:val="en-US"/>
        </w:rPr>
        <w:t xml:space="preserve"> (</w:t>
      </w:r>
      <w:r w:rsidR="00215C90">
        <w:rPr>
          <w:bCs/>
          <w:lang w:val="en-US"/>
        </w:rPr>
        <w:t>WRC-19</w:t>
      </w:r>
      <w:r w:rsidR="004C60A0">
        <w:rPr>
          <w:bCs/>
          <w:lang w:val="en-US"/>
        </w:rPr>
        <w:t>),</w:t>
      </w:r>
      <w:r w:rsidR="00215C90">
        <w:rPr>
          <w:bCs/>
          <w:lang w:val="en-US"/>
        </w:rPr>
        <w:t xml:space="preserve"> </w:t>
      </w:r>
      <w:r w:rsidRPr="002A0212">
        <w:rPr>
          <w:lang w:val="en-US"/>
        </w:rPr>
        <w:t>Use of the frequency bands 17.7-19.7 GHz and 27.5-29.5 GHz by earth stations in motion communicating with geostationary space stations in the fixed-satellite service</w:t>
      </w:r>
    </w:p>
    <w:p w14:paraId="6E651302" w14:textId="77777777" w:rsidR="00A2138C" w:rsidRPr="002A0212" w:rsidRDefault="00A2138C" w:rsidP="00567652">
      <w:pPr>
        <w:jc w:val="both"/>
        <w:rPr>
          <w:lang w:val="en-US"/>
        </w:rPr>
      </w:pPr>
      <w:r w:rsidRPr="002A0212">
        <w:rPr>
          <w:lang w:val="en-US"/>
        </w:rPr>
        <w:t xml:space="preserve">The financial implications relating to the implementation of this draft new Resolution </w:t>
      </w:r>
      <w:r>
        <w:rPr>
          <w:lang w:val="en-US"/>
        </w:rPr>
        <w:t>are</w:t>
      </w:r>
      <w:r w:rsidRPr="002A0212">
        <w:rPr>
          <w:lang w:val="en-US"/>
        </w:rPr>
        <w:t xml:space="preserve"> estimated at CHF 85 000 (details in Document </w:t>
      </w:r>
      <w:hyperlink r:id="rId16" w:history="1">
        <w:r w:rsidRPr="0012312D">
          <w:rPr>
            <w:rStyle w:val="Hyperlink"/>
            <w:lang w:val="en-US"/>
          </w:rPr>
          <w:t>463</w:t>
        </w:r>
      </w:hyperlink>
      <w:r w:rsidRPr="002A0212">
        <w:rPr>
          <w:lang w:val="en-US"/>
        </w:rPr>
        <w:t xml:space="preserve"> and Table 1 below). The estimates relate to software development costs.</w:t>
      </w:r>
    </w:p>
    <w:p w14:paraId="36971EE0" w14:textId="77777777" w:rsidR="00A2138C" w:rsidRPr="002A0212" w:rsidRDefault="00A2138C" w:rsidP="00567652">
      <w:pPr>
        <w:pStyle w:val="Headingb"/>
        <w:jc w:val="both"/>
        <w:rPr>
          <w:lang w:val="en-US"/>
        </w:rPr>
      </w:pPr>
      <w:r w:rsidRPr="002A0212">
        <w:rPr>
          <w:lang w:val="en-US"/>
        </w:rPr>
        <w:t>Modifications to RR Nos.</w:t>
      </w:r>
      <w:r>
        <w:rPr>
          <w:lang w:val="en-US"/>
        </w:rPr>
        <w:t> </w:t>
      </w:r>
      <w:r w:rsidRPr="00B03877">
        <w:rPr>
          <w:bCs/>
        </w:rPr>
        <w:t>9.36, 9.53A</w:t>
      </w:r>
      <w:r w:rsidR="003422ED">
        <w:rPr>
          <w:rStyle w:val="Artdef"/>
          <w:b/>
          <w:bCs/>
          <w:szCs w:val="24"/>
          <w:lang w:val="en-US"/>
        </w:rPr>
        <w:t xml:space="preserve"> and</w:t>
      </w:r>
      <w:r w:rsidR="003422ED" w:rsidRPr="009B28F6">
        <w:rPr>
          <w:bCs/>
          <w:lang w:val="en-US"/>
        </w:rPr>
        <w:t xml:space="preserve"> </w:t>
      </w:r>
      <w:r w:rsidRPr="009B28F6">
        <w:rPr>
          <w:bCs/>
          <w:lang w:val="en-US"/>
        </w:rPr>
        <w:t>A</w:t>
      </w:r>
      <w:r w:rsidRPr="002A0212">
        <w:rPr>
          <w:lang w:val="en-US"/>
        </w:rPr>
        <w:t>ppendices 30, 30A and 30B</w:t>
      </w:r>
    </w:p>
    <w:p w14:paraId="5E88479F" w14:textId="037888EB" w:rsidR="00A2138C" w:rsidRDefault="00A2138C" w:rsidP="00567652">
      <w:pPr>
        <w:jc w:val="both"/>
        <w:rPr>
          <w:lang w:val="en-US"/>
        </w:rPr>
      </w:pPr>
      <w:r w:rsidRPr="002A0212">
        <w:rPr>
          <w:lang w:val="en-US"/>
        </w:rPr>
        <w:t>The financial implications relating to the modifications to RR Nos. </w:t>
      </w:r>
      <w:r w:rsidRPr="00B03877">
        <w:t>9.36, 9.53A,</w:t>
      </w:r>
      <w:r w:rsidRPr="002A0212">
        <w:rPr>
          <w:b/>
          <w:bCs/>
          <w:lang w:val="en-US"/>
        </w:rPr>
        <w:t xml:space="preserve"> </w:t>
      </w:r>
      <w:r w:rsidRPr="002A0212">
        <w:rPr>
          <w:lang w:val="en-US"/>
        </w:rPr>
        <w:t xml:space="preserve">Appendices </w:t>
      </w:r>
      <w:r w:rsidRPr="002A0212">
        <w:rPr>
          <w:b/>
          <w:bCs/>
          <w:lang w:val="en-US"/>
        </w:rPr>
        <w:t>30</w:t>
      </w:r>
      <w:r w:rsidRPr="002A0212">
        <w:rPr>
          <w:lang w:val="en-US"/>
        </w:rPr>
        <w:t xml:space="preserve">, </w:t>
      </w:r>
      <w:r w:rsidRPr="002A0212">
        <w:rPr>
          <w:b/>
          <w:bCs/>
          <w:lang w:val="en-US"/>
        </w:rPr>
        <w:t>30A</w:t>
      </w:r>
      <w:r w:rsidRPr="002A0212">
        <w:rPr>
          <w:lang w:val="en-US"/>
        </w:rPr>
        <w:t xml:space="preserve"> and </w:t>
      </w:r>
      <w:r w:rsidRPr="002A0212">
        <w:rPr>
          <w:b/>
          <w:bCs/>
          <w:lang w:val="en-US"/>
        </w:rPr>
        <w:t>30B</w:t>
      </w:r>
      <w:r w:rsidRPr="002A0212">
        <w:rPr>
          <w:lang w:val="en-US"/>
        </w:rPr>
        <w:t xml:space="preserve"> </w:t>
      </w:r>
      <w:r>
        <w:rPr>
          <w:lang w:val="en-US"/>
        </w:rPr>
        <w:t>are</w:t>
      </w:r>
      <w:r w:rsidRPr="002A0212">
        <w:rPr>
          <w:lang w:val="en-US"/>
        </w:rPr>
        <w:t xml:space="preserve"> estimated at CHF 200 000 (details in Documents </w:t>
      </w:r>
      <w:hyperlink r:id="rId17" w:history="1">
        <w:r w:rsidRPr="0012312D">
          <w:rPr>
            <w:rStyle w:val="Hyperlink"/>
            <w:lang w:val="en-US"/>
          </w:rPr>
          <w:t>325</w:t>
        </w:r>
      </w:hyperlink>
      <w:r w:rsidRPr="002A0212">
        <w:rPr>
          <w:lang w:val="en-US"/>
        </w:rPr>
        <w:t xml:space="preserve">, </w:t>
      </w:r>
      <w:hyperlink r:id="rId18" w:history="1">
        <w:r w:rsidRPr="0012312D">
          <w:rPr>
            <w:rStyle w:val="Hyperlink"/>
            <w:lang w:val="en-US"/>
          </w:rPr>
          <w:t>190</w:t>
        </w:r>
      </w:hyperlink>
      <w:r w:rsidRPr="002A0212">
        <w:rPr>
          <w:lang w:val="en-US"/>
        </w:rPr>
        <w:t xml:space="preserve">, </w:t>
      </w:r>
      <w:hyperlink r:id="rId19" w:history="1">
        <w:r w:rsidRPr="0012312D">
          <w:rPr>
            <w:rStyle w:val="Hyperlink"/>
            <w:lang w:val="en-US"/>
          </w:rPr>
          <w:t>332</w:t>
        </w:r>
      </w:hyperlink>
      <w:r w:rsidRPr="002A0212">
        <w:rPr>
          <w:lang w:val="en-US"/>
        </w:rPr>
        <w:t xml:space="preserve">, </w:t>
      </w:r>
      <w:hyperlink r:id="rId20" w:history="1">
        <w:r w:rsidRPr="0012312D">
          <w:rPr>
            <w:rStyle w:val="Hyperlink"/>
            <w:lang w:val="en-US"/>
          </w:rPr>
          <w:t>491</w:t>
        </w:r>
      </w:hyperlink>
      <w:r w:rsidRPr="002A0212">
        <w:rPr>
          <w:lang w:val="en-US"/>
        </w:rPr>
        <w:t xml:space="preserve">, </w:t>
      </w:r>
      <w:hyperlink r:id="rId21" w:history="1">
        <w:r w:rsidRPr="0012312D">
          <w:rPr>
            <w:rStyle w:val="Hyperlink"/>
            <w:lang w:val="en-US"/>
          </w:rPr>
          <w:t>492</w:t>
        </w:r>
      </w:hyperlink>
      <w:r w:rsidR="00567652">
        <w:rPr>
          <w:lang w:val="en-US"/>
        </w:rPr>
        <w:t>,</w:t>
      </w:r>
      <w:r w:rsidRPr="002A0212">
        <w:rPr>
          <w:lang w:val="en-US"/>
        </w:rPr>
        <w:t>and Table 1 below).</w:t>
      </w:r>
    </w:p>
    <w:p w14:paraId="2D308D35" w14:textId="77777777" w:rsidR="00A2138C" w:rsidRPr="00CE06A1" w:rsidRDefault="00A2138C" w:rsidP="00567652">
      <w:pPr>
        <w:pStyle w:val="Headingb"/>
        <w:tabs>
          <w:tab w:val="clear" w:pos="567"/>
          <w:tab w:val="left" w:pos="0"/>
        </w:tabs>
        <w:ind w:left="0" w:firstLine="0"/>
        <w:jc w:val="both"/>
      </w:pPr>
      <w:r w:rsidRPr="008F40E5">
        <w:lastRenderedPageBreak/>
        <w:t>Resolution </w:t>
      </w:r>
      <w:r w:rsidR="00215C90">
        <w:t>245</w:t>
      </w:r>
      <w:r w:rsidR="004C60A0">
        <w:t xml:space="preserve"> (</w:t>
      </w:r>
      <w:r w:rsidR="00215C90">
        <w:t>WRC-19</w:t>
      </w:r>
      <w:r w:rsidR="004C60A0">
        <w:t>),</w:t>
      </w:r>
      <w:r w:rsidR="00215C90">
        <w:t xml:space="preserve"> </w:t>
      </w:r>
      <w:r w:rsidRPr="008F40E5">
        <w:t>Studies on frequency-related matters for the terrestrial component of International Mobile Telecommunications (IMT) identification in the frequency bands 3 300-3 400 MHz, 3 600-3 800 MHz, 6 425-7 025 MHz, 7 025-7 125 MHz and 10.0-10.5 GHz</w:t>
      </w:r>
    </w:p>
    <w:p w14:paraId="3AA5FA0E" w14:textId="4229570B" w:rsidR="00A2138C" w:rsidRDefault="00A2138C" w:rsidP="00567652">
      <w:pPr>
        <w:jc w:val="both"/>
      </w:pPr>
      <w:r>
        <w:t>The financial implications relating to the implementation of this new Resolution are estimated at CHF 456 000</w:t>
      </w:r>
      <w:r w:rsidR="00BB037A">
        <w:t>,</w:t>
      </w:r>
      <w:r w:rsidR="00BB037A" w:rsidRPr="00BB037A">
        <w:t xml:space="preserve"> </w:t>
      </w:r>
      <w:r w:rsidR="00BB037A">
        <w:t>which includes additional meeting days, interpretation costs</w:t>
      </w:r>
      <w:r w:rsidR="00567652">
        <w:t>,</w:t>
      </w:r>
      <w:r w:rsidR="00BB037A">
        <w:t xml:space="preserve"> and translations of technical documentation</w:t>
      </w:r>
      <w:r>
        <w:t xml:space="preserve">. </w:t>
      </w:r>
    </w:p>
    <w:p w14:paraId="0C76AFB9" w14:textId="77777777" w:rsidR="00A2138C" w:rsidRPr="008F40E5" w:rsidRDefault="00A2138C" w:rsidP="00567652">
      <w:pPr>
        <w:pStyle w:val="Headingb"/>
        <w:tabs>
          <w:tab w:val="clear" w:pos="567"/>
          <w:tab w:val="left" w:pos="0"/>
        </w:tabs>
        <w:ind w:left="0" w:firstLine="0"/>
        <w:jc w:val="both"/>
      </w:pPr>
      <w:r w:rsidRPr="008F40E5">
        <w:t>Resolution </w:t>
      </w:r>
      <w:r w:rsidRPr="00CE06A1">
        <w:t>235</w:t>
      </w:r>
      <w:r w:rsidR="00530FE7">
        <w:t xml:space="preserve"> (WRC-15)</w:t>
      </w:r>
      <w:r w:rsidR="00FA6C14">
        <w:t xml:space="preserve">, </w:t>
      </w:r>
      <w:r w:rsidR="00B74132" w:rsidRPr="00B74132">
        <w:t>Review of the spectrum use of the frequency band 470-960 MHz in Region 1</w:t>
      </w:r>
      <w:r w:rsidR="004C60A0">
        <w:t xml:space="preserve">, </w:t>
      </w:r>
      <w:r w:rsidR="00530FE7">
        <w:t>which is referenced</w:t>
      </w:r>
      <w:r w:rsidR="008A51C1">
        <w:t xml:space="preserve"> </w:t>
      </w:r>
      <w:r>
        <w:t>in</w:t>
      </w:r>
      <w:r w:rsidRPr="008F40E5">
        <w:t xml:space="preserve"> agenda item 1.5 for WRC</w:t>
      </w:r>
      <w:r w:rsidRPr="008F40E5">
        <w:noBreakHyphen/>
        <w:t>23</w:t>
      </w:r>
      <w:r>
        <w:t xml:space="preserve"> </w:t>
      </w:r>
      <w:r w:rsidR="008A51C1">
        <w:t xml:space="preserve">under the </w:t>
      </w:r>
      <w:r w:rsidRPr="008F40E5">
        <w:rPr>
          <w:shd w:val="clear" w:color="auto" w:fill="FFFFFF"/>
        </w:rPr>
        <w:t>Review of the spectrum use of the frequency band 470-960 MHz in Region 1</w:t>
      </w:r>
    </w:p>
    <w:p w14:paraId="40400E5E" w14:textId="46FD1943" w:rsidR="00A2138C" w:rsidRDefault="00A2138C" w:rsidP="00567652">
      <w:pPr>
        <w:jc w:val="both"/>
      </w:pPr>
      <w:r>
        <w:t>The financial implications relating to the implementation of this Resolution are estimated at CHF 340 000</w:t>
      </w:r>
      <w:r w:rsidR="00BB037A">
        <w:t>, which includes additional meeting days, interpretation costs</w:t>
      </w:r>
      <w:r w:rsidR="00567652">
        <w:t>,</w:t>
      </w:r>
      <w:r w:rsidR="00BB037A">
        <w:t xml:space="preserve"> and translations of technical documentation</w:t>
      </w:r>
      <w:r>
        <w:t xml:space="preserve">. </w:t>
      </w:r>
    </w:p>
    <w:p w14:paraId="747414E5" w14:textId="77777777" w:rsidR="00AE326B" w:rsidRDefault="001424A3" w:rsidP="00567652">
      <w:pPr>
        <w:pStyle w:val="Headingb"/>
        <w:tabs>
          <w:tab w:val="clear" w:pos="567"/>
        </w:tabs>
        <w:ind w:left="0" w:firstLine="0"/>
        <w:jc w:val="both"/>
      </w:pPr>
      <w:r>
        <w:t>Resolutions and provisions adopted by WRC-</w:t>
      </w:r>
      <w:r w:rsidRPr="00B03877">
        <w:t>19 r</w:t>
      </w:r>
      <w:r w:rsidR="008C361C" w:rsidRPr="00B03877">
        <w:t xml:space="preserve">elated </w:t>
      </w:r>
      <w:r w:rsidRPr="00B03877">
        <w:t xml:space="preserve">to WRC-19 </w:t>
      </w:r>
      <w:r w:rsidR="008C361C" w:rsidRPr="00B03877">
        <w:t>Agenda item 1.6 (non-GSO FSS):</w:t>
      </w:r>
    </w:p>
    <w:p w14:paraId="245292D9" w14:textId="77777777" w:rsidR="00215C90" w:rsidRPr="00B03877" w:rsidRDefault="00A2138C" w:rsidP="00567652">
      <w:pPr>
        <w:pStyle w:val="Headingb"/>
        <w:numPr>
          <w:ilvl w:val="0"/>
          <w:numId w:val="5"/>
        </w:numPr>
        <w:tabs>
          <w:tab w:val="clear" w:pos="567"/>
        </w:tabs>
        <w:ind w:left="360"/>
        <w:jc w:val="both"/>
        <w:rPr>
          <w:lang w:val="fr-FR"/>
        </w:rPr>
      </w:pPr>
      <w:r w:rsidRPr="00B03877">
        <w:rPr>
          <w:lang w:val="fr-FR"/>
        </w:rPr>
        <w:t xml:space="preserve">New provisions </w:t>
      </w:r>
      <w:r w:rsidR="001424A3" w:rsidRPr="00B03877">
        <w:rPr>
          <w:lang w:val="fr-FR"/>
        </w:rPr>
        <w:t xml:space="preserve">RR Nos. </w:t>
      </w:r>
      <w:r w:rsidR="00AE326B" w:rsidRPr="00B03877">
        <w:rPr>
          <w:lang w:val="fr-FR"/>
        </w:rPr>
        <w:t>5.550C</w:t>
      </w:r>
      <w:r w:rsidRPr="00B03877">
        <w:rPr>
          <w:lang w:val="fr-FR"/>
        </w:rPr>
        <w:t xml:space="preserve">, </w:t>
      </w:r>
      <w:r w:rsidR="00AE326B" w:rsidRPr="00B03877">
        <w:rPr>
          <w:lang w:val="fr-FR"/>
        </w:rPr>
        <w:t>5.550E</w:t>
      </w:r>
      <w:r w:rsidRPr="00B03877">
        <w:rPr>
          <w:lang w:val="fr-FR"/>
        </w:rPr>
        <w:t xml:space="preserve">, 22.5L, 22.5M </w:t>
      </w:r>
    </w:p>
    <w:p w14:paraId="0ED859D7" w14:textId="77777777" w:rsidR="008C361C" w:rsidRDefault="00FA6C14" w:rsidP="00567652">
      <w:pPr>
        <w:pStyle w:val="Headingb"/>
        <w:numPr>
          <w:ilvl w:val="0"/>
          <w:numId w:val="5"/>
        </w:numPr>
        <w:tabs>
          <w:tab w:val="clear" w:pos="567"/>
        </w:tabs>
        <w:ind w:left="360"/>
        <w:jc w:val="both"/>
      </w:pPr>
      <w:r>
        <w:t>Resolution 769</w:t>
      </w:r>
      <w:r w:rsidR="001424A3">
        <w:t xml:space="preserve"> (</w:t>
      </w:r>
      <w:r>
        <w:t>WRC-19</w:t>
      </w:r>
      <w:r w:rsidR="001424A3">
        <w:t xml:space="preserve">), </w:t>
      </w:r>
      <w:r w:rsidR="00530FE7" w:rsidRPr="00530FE7">
        <w:t>Protection of geostationary fixed-satellite service, broadcasting-satellite service, and mobile-satellite service networks from the aggregate interference produced by multiple non-GSO FSS systems in the frequency bands 37.5 39.5 GHz, 39.5-42.5 GHz, 47.2-50.2 GHz and 50.4-51.4 GHz.</w:t>
      </w:r>
    </w:p>
    <w:p w14:paraId="1CFB39C4" w14:textId="77777777" w:rsidR="001424A3" w:rsidRDefault="001424A3" w:rsidP="00567652">
      <w:pPr>
        <w:pStyle w:val="Headingb"/>
        <w:numPr>
          <w:ilvl w:val="0"/>
          <w:numId w:val="5"/>
        </w:numPr>
        <w:tabs>
          <w:tab w:val="clear" w:pos="567"/>
        </w:tabs>
        <w:ind w:left="360"/>
        <w:jc w:val="both"/>
      </w:pPr>
      <w:r>
        <w:t xml:space="preserve">Resolution 770 (WRC-19), </w:t>
      </w:r>
      <w:r w:rsidRPr="00530FE7">
        <w:t>Application of Article 22 of the Radio Regulations to the protection of geostationary fixed-satellite service and broadcasting-satellite service networks from non-geostationary fixed-satellite service systems in the frequency bands 37.5-39.5 GHz, 39.5 42.5 GHz, 47.2-50.2 GHz and 50.4-51.4 GHz.</w:t>
      </w:r>
      <w:r>
        <w:t xml:space="preserve"> </w:t>
      </w:r>
    </w:p>
    <w:p w14:paraId="6CE3D191" w14:textId="77777777" w:rsidR="001424A3" w:rsidRPr="00B03877" w:rsidRDefault="001424A3" w:rsidP="00567652">
      <w:pPr>
        <w:pStyle w:val="Headingb"/>
        <w:tabs>
          <w:tab w:val="clear" w:pos="567"/>
        </w:tabs>
        <w:spacing w:before="120"/>
        <w:ind w:left="0" w:firstLine="0"/>
        <w:jc w:val="both"/>
        <w:rPr>
          <w:b w:val="0"/>
          <w:bCs/>
        </w:rPr>
      </w:pPr>
      <w:r w:rsidRPr="00B03877">
        <w:rPr>
          <w:b w:val="0"/>
          <w:bCs/>
        </w:rPr>
        <w:t>The financial implications relating to the implementation of regulatory provisions in response to WRC</w:t>
      </w:r>
      <w:r w:rsidRPr="00B03877">
        <w:rPr>
          <w:b w:val="0"/>
          <w:bCs/>
        </w:rPr>
        <w:noBreakHyphen/>
        <w:t xml:space="preserve">19 agenda items 1.6 are estimated at CHF 150 000. The costs relate to software development (details in Document </w:t>
      </w:r>
      <w:hyperlink r:id="rId22" w:history="1">
        <w:r w:rsidRPr="00B03877">
          <w:rPr>
            <w:rStyle w:val="Hyperlink"/>
            <w:b w:val="0"/>
            <w:bCs/>
          </w:rPr>
          <w:t>493</w:t>
        </w:r>
      </w:hyperlink>
      <w:r w:rsidRPr="00B03877">
        <w:rPr>
          <w:b w:val="0"/>
          <w:bCs/>
        </w:rPr>
        <w:t xml:space="preserve"> and Table 1 below).</w:t>
      </w:r>
    </w:p>
    <w:p w14:paraId="3C386435" w14:textId="4F4D8302" w:rsidR="008C361C" w:rsidRPr="009B28F6" w:rsidRDefault="001424A3" w:rsidP="00567652">
      <w:pPr>
        <w:pStyle w:val="Headingb"/>
        <w:keepNext w:val="0"/>
        <w:keepLines w:val="0"/>
        <w:tabs>
          <w:tab w:val="clear" w:pos="567"/>
        </w:tabs>
        <w:spacing w:before="240"/>
        <w:ind w:left="284" w:hanging="284"/>
        <w:jc w:val="both"/>
      </w:pPr>
      <w:r>
        <w:t>Resolutions and provisions adopted by WRC-</w:t>
      </w:r>
      <w:r w:rsidRPr="00B03877">
        <w:t>19 r</w:t>
      </w:r>
      <w:r w:rsidR="008C361C" w:rsidRPr="00B03877">
        <w:t xml:space="preserve">elated </w:t>
      </w:r>
      <w:r w:rsidRPr="00B03877">
        <w:t xml:space="preserve">to WRC-19 </w:t>
      </w:r>
      <w:r w:rsidR="008C361C" w:rsidRPr="00B03877">
        <w:t>Agenda item 1.14 (HAPS):</w:t>
      </w:r>
    </w:p>
    <w:p w14:paraId="5A692C94" w14:textId="77777777" w:rsidR="008C361C" w:rsidRPr="00B03877" w:rsidRDefault="008C361C" w:rsidP="00567652">
      <w:pPr>
        <w:pStyle w:val="Headingb"/>
        <w:numPr>
          <w:ilvl w:val="0"/>
          <w:numId w:val="5"/>
        </w:numPr>
        <w:tabs>
          <w:tab w:val="clear" w:pos="567"/>
        </w:tabs>
        <w:ind w:left="360"/>
        <w:jc w:val="both"/>
      </w:pPr>
      <w:r w:rsidRPr="00B03877">
        <w:t>Resolution 122 (Rev. WRC-19) Use of the frequency bands 47.2-47.5 GHz and 47.9-48.2 GHz by high-altitude platform stations in the fixed service</w:t>
      </w:r>
    </w:p>
    <w:p w14:paraId="0FE0161D" w14:textId="77777777" w:rsidR="00530FE7" w:rsidRDefault="00B74132" w:rsidP="00567652">
      <w:pPr>
        <w:pStyle w:val="Headingb"/>
        <w:numPr>
          <w:ilvl w:val="0"/>
          <w:numId w:val="5"/>
        </w:numPr>
        <w:tabs>
          <w:tab w:val="clear" w:pos="567"/>
        </w:tabs>
        <w:ind w:left="360"/>
        <w:jc w:val="both"/>
      </w:pPr>
      <w:r>
        <w:t>Resolution 165</w:t>
      </w:r>
      <w:r w:rsidR="00A2138C" w:rsidRPr="00A82AAF">
        <w:t xml:space="preserve"> (WRC</w:t>
      </w:r>
      <w:r w:rsidR="00A2138C" w:rsidRPr="00A82AAF">
        <w:noBreakHyphen/>
        <w:t xml:space="preserve">19), </w:t>
      </w:r>
      <w:r w:rsidRPr="00B74132">
        <w:t>Use of the frequency band 21.4-22 GHz by high-altitude platform stations in the fixed service in Region 2</w:t>
      </w:r>
    </w:p>
    <w:p w14:paraId="22BD230A" w14:textId="77777777" w:rsidR="00530FE7" w:rsidRDefault="00B74132" w:rsidP="00567652">
      <w:pPr>
        <w:pStyle w:val="Headingb"/>
        <w:numPr>
          <w:ilvl w:val="0"/>
          <w:numId w:val="5"/>
        </w:numPr>
        <w:tabs>
          <w:tab w:val="clear" w:pos="567"/>
        </w:tabs>
        <w:ind w:left="360"/>
        <w:jc w:val="both"/>
      </w:pPr>
      <w:r>
        <w:t xml:space="preserve">Resolution 166 </w:t>
      </w:r>
      <w:r w:rsidR="00A2138C" w:rsidRPr="00A82AAF">
        <w:t>(WRC</w:t>
      </w:r>
      <w:r w:rsidR="00A2138C" w:rsidRPr="00A82AAF">
        <w:noBreakHyphen/>
        <w:t xml:space="preserve">19), </w:t>
      </w:r>
      <w:r w:rsidRPr="00B74132">
        <w:t>Use of the frequency band 24.25-27.5 GHz by high-altitude platform stations in the fixed service in Region 2</w:t>
      </w:r>
    </w:p>
    <w:p w14:paraId="4CF5FB91" w14:textId="77777777" w:rsidR="00530FE7" w:rsidRDefault="00B74132" w:rsidP="00567652">
      <w:pPr>
        <w:pStyle w:val="Headingb"/>
        <w:numPr>
          <w:ilvl w:val="0"/>
          <w:numId w:val="5"/>
        </w:numPr>
        <w:tabs>
          <w:tab w:val="clear" w:pos="567"/>
        </w:tabs>
        <w:ind w:left="360"/>
        <w:jc w:val="both"/>
      </w:pPr>
      <w:r>
        <w:t>Resolution 167</w:t>
      </w:r>
      <w:r w:rsidR="00A2138C" w:rsidRPr="00A82AAF">
        <w:t>(WRC</w:t>
      </w:r>
      <w:r w:rsidR="00A2138C" w:rsidRPr="00A82AAF">
        <w:noBreakHyphen/>
        <w:t xml:space="preserve">19), </w:t>
      </w:r>
      <w:r w:rsidRPr="00B74132">
        <w:t>Use of the frequency band 31-31.3 GHz by high-altitude platform stations in the fixed service</w:t>
      </w:r>
    </w:p>
    <w:p w14:paraId="13C0C7B7" w14:textId="77777777" w:rsidR="00A2138C" w:rsidRPr="00A82AAF" w:rsidRDefault="00B74132" w:rsidP="00567652">
      <w:pPr>
        <w:pStyle w:val="Headingb"/>
        <w:keepNext w:val="0"/>
        <w:keepLines w:val="0"/>
        <w:numPr>
          <w:ilvl w:val="0"/>
          <w:numId w:val="5"/>
        </w:numPr>
        <w:tabs>
          <w:tab w:val="clear" w:pos="567"/>
        </w:tabs>
        <w:ind w:left="357" w:hanging="357"/>
        <w:jc w:val="both"/>
      </w:pPr>
      <w:r>
        <w:t xml:space="preserve">Resolution 168 </w:t>
      </w:r>
      <w:r w:rsidR="00A2138C" w:rsidRPr="00A82AAF">
        <w:t>(WRC</w:t>
      </w:r>
      <w:r w:rsidR="00A2138C" w:rsidRPr="00A82AAF">
        <w:noBreakHyphen/>
        <w:t>19)</w:t>
      </w:r>
      <w:r>
        <w:t>,</w:t>
      </w:r>
      <w:r w:rsidRPr="00B74132">
        <w:t xml:space="preserve"> Use of the frequency band 38-39.5 GHz by high altitude platform stations in the fixed service</w:t>
      </w:r>
    </w:p>
    <w:p w14:paraId="65BA6961" w14:textId="77777777" w:rsidR="00A2138C" w:rsidRDefault="00A2138C" w:rsidP="00567652">
      <w:pPr>
        <w:jc w:val="both"/>
      </w:pPr>
      <w:r>
        <w:lastRenderedPageBreak/>
        <w:t>The financial implications relating to the implementation of regulatory provisions in response to WRC</w:t>
      </w:r>
      <w:r>
        <w:noBreakHyphen/>
        <w:t>19 agenda item 1.14 are estimated at CHF </w:t>
      </w:r>
      <w:r w:rsidR="001424A3">
        <w:t>150 </w:t>
      </w:r>
      <w:r>
        <w:t xml:space="preserve">000. The costs relate to software development </w:t>
      </w:r>
      <w:r w:rsidRPr="005757CE">
        <w:t>(</w:t>
      </w:r>
      <w:r>
        <w:t>details</w:t>
      </w:r>
      <w:r w:rsidRPr="005757CE">
        <w:t xml:space="preserve"> </w:t>
      </w:r>
      <w:r>
        <w:t xml:space="preserve">in </w:t>
      </w:r>
      <w:r w:rsidRPr="004215D0">
        <w:t>Document</w:t>
      </w:r>
      <w:r>
        <w:t xml:space="preserve"> </w:t>
      </w:r>
      <w:hyperlink r:id="rId23" w:history="1">
        <w:r w:rsidRPr="005B7552">
          <w:rPr>
            <w:rStyle w:val="Hyperlink"/>
          </w:rPr>
          <w:t>450</w:t>
        </w:r>
      </w:hyperlink>
      <w:r>
        <w:t xml:space="preserve"> </w:t>
      </w:r>
      <w:r w:rsidRPr="003C4F25">
        <w:t>and Table 1 below</w:t>
      </w:r>
      <w:r w:rsidRPr="005757CE">
        <w:t>)</w:t>
      </w:r>
      <w:r>
        <w:t>.</w:t>
      </w:r>
    </w:p>
    <w:p w14:paraId="602DB888" w14:textId="77777777" w:rsidR="00590897" w:rsidRDefault="00590897" w:rsidP="00567652">
      <w:pPr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It should be noted that a number of RR provisions and Resolutions listed above requires </w:t>
      </w:r>
      <w:r w:rsidRPr="00590897">
        <w:rPr>
          <w:color w:val="000000"/>
          <w:szCs w:val="22"/>
          <w:lang w:val="en-US"/>
        </w:rPr>
        <w:t xml:space="preserve">software development </w:t>
      </w:r>
      <w:r>
        <w:rPr>
          <w:color w:val="000000"/>
          <w:szCs w:val="22"/>
          <w:lang w:val="en-US"/>
        </w:rPr>
        <w:t xml:space="preserve">for </w:t>
      </w:r>
      <w:r w:rsidRPr="00590897">
        <w:rPr>
          <w:color w:val="000000"/>
          <w:szCs w:val="22"/>
          <w:lang w:val="en-US"/>
        </w:rPr>
        <w:t xml:space="preserve">the benefit of all Member States and </w:t>
      </w:r>
      <w:r>
        <w:rPr>
          <w:color w:val="000000"/>
          <w:szCs w:val="22"/>
          <w:lang w:val="en-US"/>
        </w:rPr>
        <w:t xml:space="preserve">can therefore </w:t>
      </w:r>
      <w:r w:rsidRPr="00590897">
        <w:rPr>
          <w:color w:val="000000"/>
          <w:szCs w:val="22"/>
          <w:lang w:val="en-US"/>
        </w:rPr>
        <w:t xml:space="preserve">not </w:t>
      </w:r>
      <w:r>
        <w:rPr>
          <w:color w:val="000000"/>
          <w:szCs w:val="22"/>
          <w:lang w:val="en-US"/>
        </w:rPr>
        <w:t xml:space="preserve">be qualified as recurring </w:t>
      </w:r>
      <w:r w:rsidRPr="00590897">
        <w:rPr>
          <w:color w:val="000000"/>
          <w:szCs w:val="22"/>
          <w:lang w:val="en-US"/>
        </w:rPr>
        <w:t>expense</w:t>
      </w:r>
      <w:r>
        <w:rPr>
          <w:color w:val="000000"/>
          <w:szCs w:val="22"/>
          <w:lang w:val="en-US"/>
        </w:rPr>
        <w:t>s</w:t>
      </w:r>
      <w:r w:rsidRPr="00590897">
        <w:rPr>
          <w:color w:val="000000"/>
          <w:szCs w:val="22"/>
          <w:lang w:val="en-US"/>
        </w:rPr>
        <w:t xml:space="preserve"> related to </w:t>
      </w:r>
      <w:r>
        <w:rPr>
          <w:color w:val="000000"/>
          <w:szCs w:val="22"/>
          <w:lang w:val="en-US"/>
        </w:rPr>
        <w:t xml:space="preserve">the submission of </w:t>
      </w:r>
      <w:r w:rsidRPr="00590897">
        <w:rPr>
          <w:color w:val="000000"/>
          <w:szCs w:val="22"/>
          <w:lang w:val="en-US"/>
        </w:rPr>
        <w:t>individual satellite network filing</w:t>
      </w:r>
      <w:r>
        <w:rPr>
          <w:color w:val="000000"/>
          <w:szCs w:val="22"/>
          <w:lang w:val="en-US"/>
        </w:rPr>
        <w:t xml:space="preserve">s. </w:t>
      </w:r>
      <w:r w:rsidRPr="00590897">
        <w:rPr>
          <w:color w:val="000000"/>
          <w:szCs w:val="22"/>
          <w:lang w:val="en-US"/>
        </w:rPr>
        <w:t>As such, these costs did not fit wit</w:t>
      </w:r>
      <w:r>
        <w:rPr>
          <w:color w:val="000000"/>
          <w:szCs w:val="22"/>
          <w:lang w:val="en-US"/>
        </w:rPr>
        <w:t>hin the cost recovery framework set forth in Decision 482 (Council 2019).</w:t>
      </w:r>
    </w:p>
    <w:p w14:paraId="747C88F7" w14:textId="77777777" w:rsidR="00590897" w:rsidRPr="00B03877" w:rsidRDefault="00590897" w:rsidP="00567652">
      <w:pPr>
        <w:jc w:val="both"/>
        <w:rPr>
          <w:lang w:val="en-US"/>
        </w:rPr>
      </w:pPr>
    </w:p>
    <w:p w14:paraId="689F68C9" w14:textId="77777777" w:rsidR="00590897" w:rsidRDefault="00590897" w:rsidP="000F4096">
      <w:pPr>
        <w:pStyle w:val="Tabletitle"/>
        <w:rPr>
          <w:lang w:val="en-US"/>
        </w:rPr>
      </w:pPr>
      <w:r>
        <w:rPr>
          <w:lang w:val="en-US"/>
        </w:rPr>
        <w:t>TABLE 1</w:t>
      </w:r>
      <w:r>
        <w:rPr>
          <w:lang w:val="en-US"/>
        </w:rPr>
        <w:br/>
      </w:r>
    </w:p>
    <w:p w14:paraId="4683C701" w14:textId="77777777" w:rsidR="000F4096" w:rsidRPr="00E95AD7" w:rsidRDefault="000F4096" w:rsidP="000F4096">
      <w:pPr>
        <w:pStyle w:val="Tabletitle"/>
        <w:rPr>
          <w:lang w:val="en-US"/>
        </w:rPr>
      </w:pPr>
      <w:r>
        <w:rPr>
          <w:lang w:val="en-US"/>
        </w:rPr>
        <w:t xml:space="preserve">Summary of the </w:t>
      </w:r>
      <w:r w:rsidRPr="002A0212">
        <w:rPr>
          <w:lang w:val="en-US"/>
        </w:rPr>
        <w:t xml:space="preserve">Estimated costs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82"/>
        <w:gridCol w:w="1276"/>
      </w:tblGrid>
      <w:tr w:rsidR="00CF6715" w:rsidRPr="00BE5E30" w14:paraId="09463ED3" w14:textId="77777777" w:rsidTr="00B03877">
        <w:trPr>
          <w:jc w:val="center"/>
        </w:trPr>
        <w:tc>
          <w:tcPr>
            <w:tcW w:w="5240" w:type="dxa"/>
          </w:tcPr>
          <w:p w14:paraId="7B5B50A4" w14:textId="77777777" w:rsidR="00CF6715" w:rsidRPr="00B03877" w:rsidRDefault="007E63F3" w:rsidP="00B0387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B03877">
              <w:rPr>
                <w:b/>
                <w:bCs/>
                <w:lang w:val="en-US"/>
              </w:rPr>
              <w:t>Related WRC-19 Decision</w:t>
            </w:r>
            <w:r w:rsidR="00BE5E30" w:rsidRPr="00B03877">
              <w:rPr>
                <w:b/>
                <w:bCs/>
                <w:lang w:val="en-US"/>
              </w:rPr>
              <w:t>(s)</w:t>
            </w:r>
          </w:p>
        </w:tc>
        <w:tc>
          <w:tcPr>
            <w:tcW w:w="2982" w:type="dxa"/>
          </w:tcPr>
          <w:p w14:paraId="79319085" w14:textId="77777777" w:rsidR="00CF6715" w:rsidRPr="00B03877" w:rsidRDefault="007E63F3" w:rsidP="00F3719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B03877">
              <w:rPr>
                <w:b/>
                <w:bCs/>
                <w:lang w:val="en-US"/>
              </w:rPr>
              <w:t>Required Support.</w:t>
            </w:r>
          </w:p>
        </w:tc>
        <w:tc>
          <w:tcPr>
            <w:tcW w:w="1276" w:type="dxa"/>
          </w:tcPr>
          <w:p w14:paraId="7D8242B6" w14:textId="77777777" w:rsidR="00CF6715" w:rsidRPr="00B03877" w:rsidRDefault="00CF6715" w:rsidP="00F3719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B03877">
              <w:rPr>
                <w:b/>
                <w:bCs/>
                <w:lang w:val="en-US"/>
              </w:rPr>
              <w:t>Amount CHF</w:t>
            </w:r>
          </w:p>
        </w:tc>
      </w:tr>
      <w:tr w:rsidR="00CF6715" w:rsidRPr="002A0212" w14:paraId="588B4C8A" w14:textId="77777777" w:rsidTr="00B03877">
        <w:trPr>
          <w:jc w:val="center"/>
        </w:trPr>
        <w:tc>
          <w:tcPr>
            <w:tcW w:w="5240" w:type="dxa"/>
          </w:tcPr>
          <w:p w14:paraId="66E4DE1F" w14:textId="77777777" w:rsidR="00CF6715" w:rsidRPr="002A0212" w:rsidRDefault="00CF6715" w:rsidP="00F37197">
            <w:pPr>
              <w:pStyle w:val="Tabletext"/>
              <w:rPr>
                <w:lang w:val="en-US"/>
              </w:rPr>
            </w:pPr>
            <w:r w:rsidRPr="002A0212">
              <w:rPr>
                <w:color w:val="000000"/>
                <w:szCs w:val="22"/>
                <w:lang w:val="en-US"/>
              </w:rPr>
              <w:t xml:space="preserve">Resolution </w:t>
            </w:r>
            <w:r>
              <w:rPr>
                <w:color w:val="000000"/>
                <w:szCs w:val="22"/>
                <w:lang w:val="en-US"/>
              </w:rPr>
              <w:t>35</w:t>
            </w:r>
            <w:r w:rsidRPr="002A0212">
              <w:rPr>
                <w:color w:val="000000"/>
                <w:szCs w:val="22"/>
                <w:lang w:val="en-US"/>
              </w:rPr>
              <w:t xml:space="preserve"> (WRC</w:t>
            </w:r>
            <w:r>
              <w:rPr>
                <w:color w:val="000000"/>
                <w:szCs w:val="22"/>
                <w:lang w:val="en-US"/>
              </w:rPr>
              <w:t>-</w:t>
            </w:r>
            <w:r w:rsidRPr="002A0212">
              <w:rPr>
                <w:color w:val="000000"/>
                <w:szCs w:val="22"/>
                <w:lang w:val="en-US"/>
              </w:rPr>
              <w:t>19)</w:t>
            </w:r>
            <w:r>
              <w:rPr>
                <w:color w:val="000000"/>
                <w:szCs w:val="22"/>
                <w:lang w:val="en-US"/>
              </w:rPr>
              <w:t xml:space="preserve">  </w:t>
            </w:r>
          </w:p>
        </w:tc>
        <w:tc>
          <w:tcPr>
            <w:tcW w:w="2982" w:type="dxa"/>
          </w:tcPr>
          <w:p w14:paraId="752A3150" w14:textId="77777777" w:rsidR="00CF6715" w:rsidRPr="002A0212" w:rsidRDefault="007E63F3" w:rsidP="00B0387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CF6715" w:rsidRPr="002A0212">
              <w:rPr>
                <w:lang w:val="en-US"/>
              </w:rPr>
              <w:t xml:space="preserve">oftware development </w:t>
            </w:r>
            <w:r w:rsidR="00590897">
              <w:rPr>
                <w:lang w:val="en-US"/>
              </w:rPr>
              <w:t xml:space="preserve">costs, </w:t>
            </w:r>
            <w:r w:rsidR="00CF6715" w:rsidRPr="002A0212">
              <w:rPr>
                <w:lang w:val="en-US"/>
              </w:rPr>
              <w:t>with the assistance of external resources</w:t>
            </w:r>
            <w:r w:rsidR="00590897">
              <w:rPr>
                <w:lang w:val="en-US"/>
              </w:rPr>
              <w:t xml:space="preserve"> (new database to follow the non-GSO deployment and software to update the MIFR accordingly)</w:t>
            </w:r>
          </w:p>
        </w:tc>
        <w:tc>
          <w:tcPr>
            <w:tcW w:w="1276" w:type="dxa"/>
          </w:tcPr>
          <w:p w14:paraId="6EB2B309" w14:textId="77777777" w:rsidR="00CF6715" w:rsidRPr="002A0212" w:rsidRDefault="00CF6715" w:rsidP="00F37197">
            <w:pPr>
              <w:pStyle w:val="Tabletext"/>
              <w:jc w:val="right"/>
              <w:rPr>
                <w:lang w:val="en-US"/>
              </w:rPr>
            </w:pPr>
            <w:r w:rsidRPr="002A0212">
              <w:rPr>
                <w:lang w:val="en-US"/>
              </w:rPr>
              <w:t>340 000</w:t>
            </w:r>
          </w:p>
        </w:tc>
      </w:tr>
      <w:tr w:rsidR="00CF6715" w:rsidRPr="002A0212" w14:paraId="41BB4888" w14:textId="77777777" w:rsidTr="00B03877">
        <w:trPr>
          <w:jc w:val="center"/>
        </w:trPr>
        <w:tc>
          <w:tcPr>
            <w:tcW w:w="5240" w:type="dxa"/>
          </w:tcPr>
          <w:p w14:paraId="7304361A" w14:textId="77777777" w:rsidR="00CF6715" w:rsidRPr="002A0212" w:rsidRDefault="00CF6715" w:rsidP="00F37197">
            <w:pPr>
              <w:pStyle w:val="Tabletext"/>
              <w:rPr>
                <w:lang w:val="en-US"/>
              </w:rPr>
            </w:pPr>
            <w:r w:rsidRPr="002A0212">
              <w:rPr>
                <w:color w:val="000000"/>
                <w:szCs w:val="22"/>
                <w:lang w:val="en-US"/>
              </w:rPr>
              <w:t xml:space="preserve">Resolution </w:t>
            </w:r>
            <w:r>
              <w:rPr>
                <w:color w:val="000000"/>
                <w:szCs w:val="22"/>
                <w:lang w:val="en-US"/>
              </w:rPr>
              <w:t xml:space="preserve">169 </w:t>
            </w:r>
            <w:r w:rsidRPr="002A0212">
              <w:rPr>
                <w:color w:val="000000"/>
                <w:szCs w:val="22"/>
                <w:lang w:val="en-US"/>
              </w:rPr>
              <w:t xml:space="preserve">(WRC-19) </w:t>
            </w:r>
          </w:p>
        </w:tc>
        <w:tc>
          <w:tcPr>
            <w:tcW w:w="2982" w:type="dxa"/>
          </w:tcPr>
          <w:p w14:paraId="039C79D6" w14:textId="77777777" w:rsidR="00CF6715" w:rsidRPr="002A0212" w:rsidRDefault="00BE5E30" w:rsidP="00B0387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Software development costs</w:t>
            </w:r>
          </w:p>
        </w:tc>
        <w:tc>
          <w:tcPr>
            <w:tcW w:w="1276" w:type="dxa"/>
          </w:tcPr>
          <w:p w14:paraId="24FAB9EC" w14:textId="77777777" w:rsidR="00CF6715" w:rsidRPr="002A0212" w:rsidRDefault="00CF6715" w:rsidP="00F37197">
            <w:pPr>
              <w:pStyle w:val="Tabletext"/>
              <w:jc w:val="right"/>
              <w:rPr>
                <w:lang w:val="en-US"/>
              </w:rPr>
            </w:pPr>
            <w:r w:rsidRPr="002A0212">
              <w:rPr>
                <w:lang w:val="en-US"/>
              </w:rPr>
              <w:t>85 000</w:t>
            </w:r>
          </w:p>
        </w:tc>
      </w:tr>
      <w:tr w:rsidR="00CF6715" w:rsidRPr="002A0212" w14:paraId="62B26F4C" w14:textId="77777777" w:rsidTr="00B03877">
        <w:trPr>
          <w:jc w:val="center"/>
        </w:trPr>
        <w:tc>
          <w:tcPr>
            <w:tcW w:w="5240" w:type="dxa"/>
          </w:tcPr>
          <w:p w14:paraId="48DA7348" w14:textId="77777777" w:rsidR="00CF6715" w:rsidRPr="002A0212" w:rsidRDefault="00CF6715" w:rsidP="00F37197">
            <w:pPr>
              <w:pStyle w:val="Tabletext"/>
              <w:rPr>
                <w:lang w:val="en-US"/>
              </w:rPr>
            </w:pPr>
            <w:r w:rsidRPr="002A0212">
              <w:rPr>
                <w:color w:val="000000"/>
                <w:szCs w:val="22"/>
                <w:lang w:val="en-US"/>
              </w:rPr>
              <w:t xml:space="preserve">Modifications to RR Nos. 9.36, 9.53A, Appendices 30, 30A and 30B </w:t>
            </w:r>
          </w:p>
        </w:tc>
        <w:tc>
          <w:tcPr>
            <w:tcW w:w="2982" w:type="dxa"/>
          </w:tcPr>
          <w:p w14:paraId="7F855DE1" w14:textId="77777777" w:rsidR="00CF6715" w:rsidRPr="002A0212" w:rsidRDefault="00BE5E30" w:rsidP="00B0387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Software development costs</w:t>
            </w:r>
          </w:p>
        </w:tc>
        <w:tc>
          <w:tcPr>
            <w:tcW w:w="1276" w:type="dxa"/>
          </w:tcPr>
          <w:p w14:paraId="3A6F80F1" w14:textId="77777777" w:rsidR="00CF6715" w:rsidRPr="002A0212" w:rsidRDefault="00CF6715" w:rsidP="00F37197">
            <w:pPr>
              <w:pStyle w:val="Tabletext"/>
              <w:jc w:val="right"/>
              <w:rPr>
                <w:lang w:val="en-US"/>
              </w:rPr>
            </w:pPr>
            <w:r w:rsidRPr="002A0212">
              <w:rPr>
                <w:lang w:val="en-US"/>
              </w:rPr>
              <w:t>200 000</w:t>
            </w:r>
          </w:p>
        </w:tc>
      </w:tr>
      <w:tr w:rsidR="00CF6715" w:rsidRPr="009E61CB" w14:paraId="34B9075C" w14:textId="77777777" w:rsidTr="00B03877">
        <w:trPr>
          <w:jc w:val="center"/>
        </w:trPr>
        <w:tc>
          <w:tcPr>
            <w:tcW w:w="5240" w:type="dxa"/>
          </w:tcPr>
          <w:p w14:paraId="726496F7" w14:textId="77777777" w:rsidR="00CF6715" w:rsidRPr="009E61CB" w:rsidRDefault="00CF6715" w:rsidP="00F37197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8F40E5">
              <w:rPr>
                <w:szCs w:val="22"/>
              </w:rPr>
              <w:t>Resolution </w:t>
            </w:r>
            <w:r>
              <w:rPr>
                <w:szCs w:val="22"/>
              </w:rPr>
              <w:t xml:space="preserve">245 (WRC-19) -studies </w:t>
            </w:r>
          </w:p>
        </w:tc>
        <w:tc>
          <w:tcPr>
            <w:tcW w:w="2982" w:type="dxa"/>
          </w:tcPr>
          <w:p w14:paraId="18007233" w14:textId="77777777" w:rsidR="00CF6715" w:rsidRDefault="007E63F3" w:rsidP="00B03877">
            <w:pPr>
              <w:pStyle w:val="Tabletext"/>
              <w:rPr>
                <w:lang w:val="en-US"/>
              </w:rPr>
            </w:pPr>
            <w:r>
              <w:t xml:space="preserve">Organizational and meeting support </w:t>
            </w:r>
          </w:p>
        </w:tc>
        <w:tc>
          <w:tcPr>
            <w:tcW w:w="1276" w:type="dxa"/>
          </w:tcPr>
          <w:p w14:paraId="6429DABA" w14:textId="77777777" w:rsidR="00CF6715" w:rsidRPr="009E61CB" w:rsidRDefault="00CF6715" w:rsidP="00F37197">
            <w:pPr>
              <w:pStyle w:val="Tabletext"/>
              <w:jc w:val="right"/>
              <w:rPr>
                <w:lang w:val="en-US"/>
              </w:rPr>
            </w:pPr>
            <w:r>
              <w:rPr>
                <w:lang w:val="en-US"/>
              </w:rPr>
              <w:t>456 000</w:t>
            </w:r>
          </w:p>
        </w:tc>
      </w:tr>
      <w:tr w:rsidR="00CF6715" w:rsidRPr="009E61CB" w14:paraId="33FD8B0F" w14:textId="77777777" w:rsidTr="00B03877">
        <w:trPr>
          <w:jc w:val="center"/>
        </w:trPr>
        <w:tc>
          <w:tcPr>
            <w:tcW w:w="5240" w:type="dxa"/>
          </w:tcPr>
          <w:p w14:paraId="395C1C94" w14:textId="77777777" w:rsidR="00CF6715" w:rsidRPr="009E61CB" w:rsidRDefault="00CF6715" w:rsidP="00F37197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8F40E5">
              <w:rPr>
                <w:szCs w:val="22"/>
              </w:rPr>
              <w:t>Resolution 235</w:t>
            </w:r>
            <w:r>
              <w:rPr>
                <w:szCs w:val="22"/>
              </w:rPr>
              <w:t xml:space="preserve"> (WRC-15) – studies related to</w:t>
            </w:r>
            <w:r w:rsidRPr="008F40E5">
              <w:rPr>
                <w:szCs w:val="22"/>
              </w:rPr>
              <w:t xml:space="preserve"> agenda item 1.5 for WRC</w:t>
            </w:r>
            <w:r w:rsidRPr="008F40E5">
              <w:rPr>
                <w:szCs w:val="22"/>
              </w:rPr>
              <w:noBreakHyphen/>
              <w:t>23</w:t>
            </w:r>
          </w:p>
        </w:tc>
        <w:tc>
          <w:tcPr>
            <w:tcW w:w="2982" w:type="dxa"/>
          </w:tcPr>
          <w:p w14:paraId="1DC13089" w14:textId="77777777" w:rsidR="00CF6715" w:rsidRDefault="007E63F3" w:rsidP="00B03877">
            <w:pPr>
              <w:pStyle w:val="Tabletext"/>
              <w:rPr>
                <w:lang w:val="en-US"/>
              </w:rPr>
            </w:pPr>
            <w:r>
              <w:t>O</w:t>
            </w:r>
            <w:r w:rsidR="00CF6715">
              <w:t>rganizational and meeting support</w:t>
            </w:r>
          </w:p>
        </w:tc>
        <w:tc>
          <w:tcPr>
            <w:tcW w:w="1276" w:type="dxa"/>
          </w:tcPr>
          <w:p w14:paraId="176FB849" w14:textId="77777777" w:rsidR="00CF6715" w:rsidRPr="009E61CB" w:rsidRDefault="00CF6715" w:rsidP="00F37197">
            <w:pPr>
              <w:pStyle w:val="Tabletext"/>
              <w:jc w:val="right"/>
              <w:rPr>
                <w:lang w:val="en-US"/>
              </w:rPr>
            </w:pPr>
            <w:r>
              <w:rPr>
                <w:lang w:val="en-US"/>
              </w:rPr>
              <w:t>340 000</w:t>
            </w:r>
          </w:p>
        </w:tc>
      </w:tr>
      <w:tr w:rsidR="001424A3" w:rsidRPr="009E61CB" w14:paraId="77193331" w14:textId="77777777" w:rsidTr="00CF6715">
        <w:trPr>
          <w:jc w:val="center"/>
        </w:trPr>
        <w:tc>
          <w:tcPr>
            <w:tcW w:w="5240" w:type="dxa"/>
          </w:tcPr>
          <w:p w14:paraId="20CC7D51" w14:textId="77777777" w:rsidR="001424A3" w:rsidRPr="008F40E5" w:rsidRDefault="001424A3">
            <w:pPr>
              <w:pStyle w:val="Tabletext"/>
              <w:rPr>
                <w:color w:val="000000"/>
                <w:szCs w:val="22"/>
                <w:lang w:val="en-US"/>
              </w:rPr>
            </w:pPr>
            <w:r>
              <w:rPr>
                <w:szCs w:val="22"/>
              </w:rPr>
              <w:t>Various RR provisions and Resolutions related to WRC-19 Agenda item</w:t>
            </w:r>
            <w:r w:rsidRPr="008F40E5">
              <w:rPr>
                <w:szCs w:val="22"/>
              </w:rPr>
              <w:t xml:space="preserve"> 1.6</w:t>
            </w:r>
            <w:r>
              <w:rPr>
                <w:szCs w:val="22"/>
              </w:rPr>
              <w:t xml:space="preserve"> (non-GSO FSS)</w:t>
            </w:r>
          </w:p>
          <w:p w14:paraId="5FF04F1C" w14:textId="77777777" w:rsidR="001424A3" w:rsidRPr="00B03877" w:rsidRDefault="001424A3">
            <w:pPr>
              <w:pStyle w:val="Tabletext"/>
              <w:rPr>
                <w:color w:val="000000"/>
                <w:szCs w:val="22"/>
                <w:highlight w:val="green"/>
                <w:lang w:val="en-US"/>
              </w:rPr>
            </w:pPr>
            <w:r>
              <w:t xml:space="preserve">RR Nos. </w:t>
            </w:r>
            <w:r w:rsidRPr="00AE326B">
              <w:t>5.550C</w:t>
            </w:r>
            <w:r w:rsidRPr="00A82AAF">
              <w:t xml:space="preserve">, </w:t>
            </w:r>
            <w:r w:rsidRPr="00AE326B">
              <w:t>5.550E</w:t>
            </w:r>
            <w:r w:rsidRPr="00A82AAF">
              <w:t xml:space="preserve">, 22.5L, 22.5M </w:t>
            </w:r>
            <w:r>
              <w:t xml:space="preserve">and </w:t>
            </w:r>
            <w:r w:rsidRPr="00B03877">
              <w:rPr>
                <w:szCs w:val="22"/>
              </w:rPr>
              <w:t>Resolutions 769 (WRC-19) and 770 (WRC-19)</w:t>
            </w:r>
          </w:p>
        </w:tc>
        <w:tc>
          <w:tcPr>
            <w:tcW w:w="2982" w:type="dxa"/>
          </w:tcPr>
          <w:p w14:paraId="2117D857" w14:textId="77777777" w:rsidR="001424A3" w:rsidRDefault="001424A3">
            <w:pPr>
              <w:pStyle w:val="Tabletext"/>
              <w:rPr>
                <w:color w:val="000000"/>
                <w:szCs w:val="22"/>
                <w:highlight w:val="green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S</w:t>
            </w:r>
            <w:r w:rsidRPr="008F40E5">
              <w:rPr>
                <w:color w:val="000000"/>
                <w:szCs w:val="22"/>
                <w:lang w:val="en-US"/>
              </w:rPr>
              <w:t xml:space="preserve">oftware </w:t>
            </w:r>
            <w:r w:rsidRPr="00925F56">
              <w:rPr>
                <w:color w:val="000000"/>
                <w:szCs w:val="22"/>
                <w:lang w:val="en-US"/>
              </w:rPr>
              <w:t>development</w:t>
            </w:r>
            <w:r>
              <w:rPr>
                <w:color w:val="000000"/>
                <w:szCs w:val="22"/>
                <w:lang w:val="en-US"/>
              </w:rPr>
              <w:t xml:space="preserve"> costs</w:t>
            </w:r>
            <w:r w:rsidR="00590897">
              <w:rPr>
                <w:color w:val="000000"/>
                <w:szCs w:val="22"/>
                <w:lang w:val="en-US"/>
              </w:rPr>
              <w:t xml:space="preserve"> (implementation of the new methodology, taking benefit of any potential reuse of existing developments)</w:t>
            </w:r>
          </w:p>
          <w:p w14:paraId="2AD33C0D" w14:textId="77777777" w:rsidR="001424A3" w:rsidRPr="00B03877" w:rsidRDefault="001424A3" w:rsidP="001424A3">
            <w:pPr>
              <w:pStyle w:val="Tabletext"/>
              <w:rPr>
                <w:lang w:val="en-US"/>
              </w:rPr>
            </w:pPr>
          </w:p>
        </w:tc>
        <w:tc>
          <w:tcPr>
            <w:tcW w:w="1276" w:type="dxa"/>
          </w:tcPr>
          <w:p w14:paraId="04B38C47" w14:textId="77777777" w:rsidR="001424A3" w:rsidRDefault="001424A3" w:rsidP="001424A3">
            <w:pPr>
              <w:pStyle w:val="Tabletext"/>
              <w:jc w:val="right"/>
              <w:rPr>
                <w:lang w:val="en-US"/>
              </w:rPr>
            </w:pPr>
            <w:r w:rsidRPr="00B03877">
              <w:rPr>
                <w:lang w:val="en-US"/>
              </w:rPr>
              <w:t>150 000</w:t>
            </w:r>
          </w:p>
        </w:tc>
      </w:tr>
      <w:tr w:rsidR="001424A3" w:rsidRPr="00925F56" w14:paraId="12AA430D" w14:textId="77777777" w:rsidTr="003F3EAB">
        <w:trPr>
          <w:jc w:val="center"/>
        </w:trPr>
        <w:tc>
          <w:tcPr>
            <w:tcW w:w="5240" w:type="dxa"/>
          </w:tcPr>
          <w:p w14:paraId="1CCDCFDF" w14:textId="77777777" w:rsidR="00C46F8A" w:rsidRDefault="001424A3" w:rsidP="00C46F8A">
            <w:pPr>
              <w:pStyle w:val="Tabletext"/>
              <w:rPr>
                <w:color w:val="000000"/>
                <w:szCs w:val="22"/>
                <w:lang w:val="en-US"/>
              </w:rPr>
            </w:pPr>
            <w:r>
              <w:rPr>
                <w:szCs w:val="22"/>
              </w:rPr>
              <w:t xml:space="preserve">Various Resolutions related to WRC-19 </w:t>
            </w:r>
            <w:r w:rsidRPr="008F40E5">
              <w:rPr>
                <w:szCs w:val="22"/>
              </w:rPr>
              <w:t xml:space="preserve">Agenda item 1.14 </w:t>
            </w:r>
            <w:r w:rsidR="00C46F8A">
              <w:rPr>
                <w:szCs w:val="22"/>
              </w:rPr>
              <w:t>(</w:t>
            </w:r>
            <w:r w:rsidRPr="00B03877">
              <w:rPr>
                <w:color w:val="000000"/>
                <w:szCs w:val="22"/>
                <w:lang w:val="en-US"/>
              </w:rPr>
              <w:t>HAPS</w:t>
            </w:r>
            <w:r w:rsidR="00C46F8A">
              <w:rPr>
                <w:color w:val="000000"/>
                <w:szCs w:val="22"/>
                <w:lang w:val="en-US"/>
              </w:rPr>
              <w:t>)</w:t>
            </w:r>
          </w:p>
          <w:p w14:paraId="1EAC553C" w14:textId="77777777" w:rsidR="00C46F8A" w:rsidRDefault="00C46F8A" w:rsidP="00C46F8A">
            <w:pPr>
              <w:pStyle w:val="Tabletext"/>
              <w:rPr>
                <w:color w:val="000000"/>
                <w:szCs w:val="22"/>
                <w:lang w:val="en-US"/>
              </w:rPr>
            </w:pPr>
          </w:p>
          <w:p w14:paraId="544EB39D" w14:textId="77777777" w:rsidR="001424A3" w:rsidRPr="00FD4C0F" w:rsidRDefault="001424A3" w:rsidP="00EC0D68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B03877">
              <w:rPr>
                <w:szCs w:val="22"/>
              </w:rPr>
              <w:t>Resolution 122</w:t>
            </w:r>
            <w:r w:rsidR="00C46F8A">
              <w:rPr>
                <w:szCs w:val="22"/>
              </w:rPr>
              <w:t xml:space="preserve"> (Rev.WRC-19)</w:t>
            </w:r>
            <w:r w:rsidR="00EC0D68">
              <w:rPr>
                <w:szCs w:val="22"/>
              </w:rPr>
              <w:t xml:space="preserve"> and (WRC-19 Resolutions </w:t>
            </w:r>
            <w:r w:rsidRPr="00B03877">
              <w:rPr>
                <w:szCs w:val="22"/>
              </w:rPr>
              <w:t>165, 166, 167</w:t>
            </w:r>
            <w:r w:rsidR="00EC0D68">
              <w:rPr>
                <w:szCs w:val="22"/>
              </w:rPr>
              <w:t>,</w:t>
            </w:r>
            <w:r w:rsidRPr="00B03877">
              <w:rPr>
                <w:szCs w:val="22"/>
              </w:rPr>
              <w:t>168</w:t>
            </w:r>
            <w:r w:rsidR="00C46F8A">
              <w:rPr>
                <w:szCs w:val="22"/>
              </w:rPr>
              <w:t>)</w:t>
            </w:r>
          </w:p>
        </w:tc>
        <w:tc>
          <w:tcPr>
            <w:tcW w:w="2982" w:type="dxa"/>
          </w:tcPr>
          <w:p w14:paraId="6A4D7F8D" w14:textId="77777777" w:rsidR="001424A3" w:rsidRPr="008F40E5" w:rsidRDefault="001424A3" w:rsidP="00B03877">
            <w:pPr>
              <w:pStyle w:val="Tabletext"/>
              <w:rPr>
                <w:lang w:val="en-US"/>
              </w:rPr>
            </w:pPr>
            <w:r w:rsidRPr="00B03877">
              <w:rPr>
                <w:color w:val="000000"/>
                <w:szCs w:val="22"/>
                <w:lang w:val="en-US"/>
              </w:rPr>
              <w:t>Software development costs, including the development of calculation modules for more than 30 technical conditions, changes in the Master Register database and filing structure according to modified RR Appendix 4 and design of dedicated notification user interface.</w:t>
            </w:r>
          </w:p>
        </w:tc>
        <w:tc>
          <w:tcPr>
            <w:tcW w:w="1276" w:type="dxa"/>
          </w:tcPr>
          <w:p w14:paraId="3A23252E" w14:textId="77777777" w:rsidR="001424A3" w:rsidRDefault="001424A3" w:rsidP="001424A3">
            <w:pPr>
              <w:pStyle w:val="Tabletext"/>
              <w:jc w:val="right"/>
              <w:rPr>
                <w:lang w:val="en-US"/>
              </w:rPr>
            </w:pPr>
            <w:r w:rsidRPr="00B03877">
              <w:rPr>
                <w:lang w:val="en-US"/>
              </w:rPr>
              <w:t>150 000</w:t>
            </w:r>
          </w:p>
          <w:p w14:paraId="71563132" w14:textId="77777777" w:rsidR="001424A3" w:rsidRPr="008F40E5" w:rsidDel="009E61CB" w:rsidRDefault="001424A3" w:rsidP="001424A3">
            <w:pPr>
              <w:pStyle w:val="Tabletext"/>
              <w:jc w:val="right"/>
              <w:rPr>
                <w:lang w:val="en-US"/>
              </w:rPr>
            </w:pPr>
          </w:p>
        </w:tc>
      </w:tr>
      <w:tr w:rsidR="001424A3" w:rsidRPr="002A0212" w14:paraId="6CB1468E" w14:textId="77777777" w:rsidTr="00B03877">
        <w:trPr>
          <w:jc w:val="center"/>
        </w:trPr>
        <w:tc>
          <w:tcPr>
            <w:tcW w:w="5240" w:type="dxa"/>
          </w:tcPr>
          <w:p w14:paraId="28DB152D" w14:textId="77777777" w:rsidR="001424A3" w:rsidRPr="002A0212" w:rsidRDefault="001424A3" w:rsidP="001424A3">
            <w:pPr>
              <w:pStyle w:val="Tabletext"/>
              <w:rPr>
                <w:b/>
                <w:bCs/>
                <w:color w:val="000000"/>
                <w:szCs w:val="22"/>
                <w:lang w:val="en-US"/>
              </w:rPr>
            </w:pPr>
            <w:r w:rsidRPr="002A0212">
              <w:rPr>
                <w:b/>
                <w:bCs/>
                <w:color w:val="000000"/>
                <w:szCs w:val="22"/>
                <w:lang w:val="en-US"/>
              </w:rPr>
              <w:t>Total</w:t>
            </w:r>
          </w:p>
        </w:tc>
        <w:tc>
          <w:tcPr>
            <w:tcW w:w="2982" w:type="dxa"/>
          </w:tcPr>
          <w:p w14:paraId="77C835D0" w14:textId="77777777" w:rsidR="001424A3" w:rsidRDefault="001424A3" w:rsidP="001424A3">
            <w:pPr>
              <w:pStyle w:val="Tabletext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14:paraId="56C55DEE" w14:textId="77777777" w:rsidR="001424A3" w:rsidRPr="002A0212" w:rsidRDefault="001424A3" w:rsidP="001424A3">
            <w:pPr>
              <w:pStyle w:val="Tabletext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1 721 </w:t>
            </w:r>
            <w:r w:rsidRPr="002A0212">
              <w:rPr>
                <w:b/>
                <w:bCs/>
                <w:lang w:val="en-US"/>
              </w:rPr>
              <w:t>000</w:t>
            </w:r>
          </w:p>
        </w:tc>
      </w:tr>
    </w:tbl>
    <w:p w14:paraId="67ECA048" w14:textId="23A22D14" w:rsidR="000F4096" w:rsidRPr="00341567" w:rsidRDefault="00341567" w:rsidP="00341567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</w:t>
      </w:r>
    </w:p>
    <w:sectPr w:rsidR="000F4096" w:rsidRPr="00341567" w:rsidSect="004D1851">
      <w:head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C6DE1" w14:textId="77777777" w:rsidR="00047C56" w:rsidRDefault="00047C56">
      <w:r>
        <w:separator/>
      </w:r>
    </w:p>
  </w:endnote>
  <w:endnote w:type="continuationSeparator" w:id="0">
    <w:p w14:paraId="108A5842" w14:textId="77777777" w:rsidR="00047C56" w:rsidRDefault="0004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E8B9E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90D84" w14:textId="77777777" w:rsidR="00047C56" w:rsidRDefault="00047C56">
      <w:r>
        <w:t>____________________</w:t>
      </w:r>
    </w:p>
  </w:footnote>
  <w:footnote w:type="continuationSeparator" w:id="0">
    <w:p w14:paraId="6C9936EB" w14:textId="77777777" w:rsidR="00047C56" w:rsidRDefault="0004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D38F5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C0D68">
      <w:rPr>
        <w:noProof/>
      </w:rPr>
      <w:t>5</w:t>
    </w:r>
    <w:r>
      <w:rPr>
        <w:noProof/>
      </w:rPr>
      <w:fldChar w:fldCharType="end"/>
    </w:r>
  </w:p>
  <w:p w14:paraId="479EE1A6" w14:textId="5D8DA602" w:rsidR="00322D0D" w:rsidRPr="00623AE3" w:rsidRDefault="00D338E0" w:rsidP="00D338E0">
    <w:pPr>
      <w:pStyle w:val="Header"/>
      <w:rPr>
        <w:bCs/>
      </w:rPr>
    </w:pPr>
    <w:r>
      <w:rPr>
        <w:bCs/>
      </w:rPr>
      <w:t>C20</w:t>
    </w:r>
    <w:r w:rsidR="00623AE3" w:rsidRPr="00623AE3">
      <w:rPr>
        <w:bCs/>
      </w:rPr>
      <w:t>/</w:t>
    </w:r>
    <w:r w:rsidR="00F7583E">
      <w:rPr>
        <w:bCs/>
      </w:rPr>
      <w:t>56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07C08"/>
    <w:multiLevelType w:val="hybridMultilevel"/>
    <w:tmpl w:val="0118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9357D"/>
    <w:multiLevelType w:val="hybridMultilevel"/>
    <w:tmpl w:val="06F09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A341C"/>
    <w:multiLevelType w:val="hybridMultilevel"/>
    <w:tmpl w:val="30EC4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72AE5"/>
    <w:multiLevelType w:val="hybridMultilevel"/>
    <w:tmpl w:val="86A0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375A2"/>
    <w:multiLevelType w:val="hybridMultilevel"/>
    <w:tmpl w:val="3FD89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0325D"/>
    <w:rsid w:val="000210D4"/>
    <w:rsid w:val="00036F0F"/>
    <w:rsid w:val="000464F8"/>
    <w:rsid w:val="00047C56"/>
    <w:rsid w:val="000530C7"/>
    <w:rsid w:val="00063016"/>
    <w:rsid w:val="00066795"/>
    <w:rsid w:val="000703DC"/>
    <w:rsid w:val="00076493"/>
    <w:rsid w:val="00076AF6"/>
    <w:rsid w:val="00085CF2"/>
    <w:rsid w:val="00093BA1"/>
    <w:rsid w:val="000943B4"/>
    <w:rsid w:val="000B1705"/>
    <w:rsid w:val="000D75B2"/>
    <w:rsid w:val="000F4096"/>
    <w:rsid w:val="00101DC5"/>
    <w:rsid w:val="001043A3"/>
    <w:rsid w:val="001121F5"/>
    <w:rsid w:val="00126392"/>
    <w:rsid w:val="001400DC"/>
    <w:rsid w:val="00140CE1"/>
    <w:rsid w:val="001424A3"/>
    <w:rsid w:val="0017539C"/>
    <w:rsid w:val="00175AC2"/>
    <w:rsid w:val="0017609F"/>
    <w:rsid w:val="001B404B"/>
    <w:rsid w:val="001C628E"/>
    <w:rsid w:val="001D3807"/>
    <w:rsid w:val="001E0F7B"/>
    <w:rsid w:val="002119FD"/>
    <w:rsid w:val="002130E0"/>
    <w:rsid w:val="00215C90"/>
    <w:rsid w:val="00264425"/>
    <w:rsid w:val="00265875"/>
    <w:rsid w:val="00271E72"/>
    <w:rsid w:val="0027303B"/>
    <w:rsid w:val="002735F6"/>
    <w:rsid w:val="0028109B"/>
    <w:rsid w:val="00294AC8"/>
    <w:rsid w:val="002A2188"/>
    <w:rsid w:val="002B1F58"/>
    <w:rsid w:val="002C1C7A"/>
    <w:rsid w:val="0030160F"/>
    <w:rsid w:val="00322D0D"/>
    <w:rsid w:val="00341567"/>
    <w:rsid w:val="003422ED"/>
    <w:rsid w:val="00365904"/>
    <w:rsid w:val="003942D4"/>
    <w:rsid w:val="003958A8"/>
    <w:rsid w:val="003C2533"/>
    <w:rsid w:val="003D439B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94694"/>
    <w:rsid w:val="00497238"/>
    <w:rsid w:val="004A3B1F"/>
    <w:rsid w:val="004C60A0"/>
    <w:rsid w:val="004D1851"/>
    <w:rsid w:val="004D599D"/>
    <w:rsid w:val="004E2EA5"/>
    <w:rsid w:val="004E3AEB"/>
    <w:rsid w:val="0050223C"/>
    <w:rsid w:val="00503183"/>
    <w:rsid w:val="005243FF"/>
    <w:rsid w:val="00530FE7"/>
    <w:rsid w:val="00564FBC"/>
    <w:rsid w:val="00567652"/>
    <w:rsid w:val="00582442"/>
    <w:rsid w:val="00590897"/>
    <w:rsid w:val="005951A7"/>
    <w:rsid w:val="005B028C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2FDB"/>
    <w:rsid w:val="00706861"/>
    <w:rsid w:val="007379AD"/>
    <w:rsid w:val="00740FE3"/>
    <w:rsid w:val="0075051B"/>
    <w:rsid w:val="00783577"/>
    <w:rsid w:val="00793188"/>
    <w:rsid w:val="00794D34"/>
    <w:rsid w:val="007E63F3"/>
    <w:rsid w:val="00813E5E"/>
    <w:rsid w:val="008263B6"/>
    <w:rsid w:val="0083581B"/>
    <w:rsid w:val="00864AFF"/>
    <w:rsid w:val="008A51C1"/>
    <w:rsid w:val="008B4A6A"/>
    <w:rsid w:val="008C361C"/>
    <w:rsid w:val="008C7E27"/>
    <w:rsid w:val="009063CF"/>
    <w:rsid w:val="009173EF"/>
    <w:rsid w:val="00932906"/>
    <w:rsid w:val="009575E3"/>
    <w:rsid w:val="00961B0B"/>
    <w:rsid w:val="009815DA"/>
    <w:rsid w:val="009B28F6"/>
    <w:rsid w:val="009B345E"/>
    <w:rsid w:val="009B38C3"/>
    <w:rsid w:val="009C56A9"/>
    <w:rsid w:val="009E1110"/>
    <w:rsid w:val="009E17BD"/>
    <w:rsid w:val="009E3E08"/>
    <w:rsid w:val="009E485A"/>
    <w:rsid w:val="009F4E75"/>
    <w:rsid w:val="009F66A3"/>
    <w:rsid w:val="00A04CEC"/>
    <w:rsid w:val="00A2138C"/>
    <w:rsid w:val="00A21C86"/>
    <w:rsid w:val="00A27F92"/>
    <w:rsid w:val="00A32065"/>
    <w:rsid w:val="00A32257"/>
    <w:rsid w:val="00A36D20"/>
    <w:rsid w:val="00A43772"/>
    <w:rsid w:val="00A55622"/>
    <w:rsid w:val="00A83502"/>
    <w:rsid w:val="00A8382F"/>
    <w:rsid w:val="00AC47C8"/>
    <w:rsid w:val="00AD15B3"/>
    <w:rsid w:val="00AE326B"/>
    <w:rsid w:val="00AF6E49"/>
    <w:rsid w:val="00B02218"/>
    <w:rsid w:val="00B03877"/>
    <w:rsid w:val="00B04A67"/>
    <w:rsid w:val="00B0583C"/>
    <w:rsid w:val="00B24477"/>
    <w:rsid w:val="00B40A81"/>
    <w:rsid w:val="00B44910"/>
    <w:rsid w:val="00B5070E"/>
    <w:rsid w:val="00B611B7"/>
    <w:rsid w:val="00B72267"/>
    <w:rsid w:val="00B74132"/>
    <w:rsid w:val="00B76EB6"/>
    <w:rsid w:val="00B7737B"/>
    <w:rsid w:val="00B824C8"/>
    <w:rsid w:val="00BB037A"/>
    <w:rsid w:val="00BC251A"/>
    <w:rsid w:val="00BD032B"/>
    <w:rsid w:val="00BE2640"/>
    <w:rsid w:val="00BE41FC"/>
    <w:rsid w:val="00BE5E30"/>
    <w:rsid w:val="00C01189"/>
    <w:rsid w:val="00C374DE"/>
    <w:rsid w:val="00C46F8A"/>
    <w:rsid w:val="00C47AD4"/>
    <w:rsid w:val="00C52D81"/>
    <w:rsid w:val="00C55198"/>
    <w:rsid w:val="00C57FA7"/>
    <w:rsid w:val="00C80CA1"/>
    <w:rsid w:val="00CA6393"/>
    <w:rsid w:val="00CB18FF"/>
    <w:rsid w:val="00CD0C08"/>
    <w:rsid w:val="00CD37EC"/>
    <w:rsid w:val="00CE03FB"/>
    <w:rsid w:val="00CE433C"/>
    <w:rsid w:val="00CF33F3"/>
    <w:rsid w:val="00CF6715"/>
    <w:rsid w:val="00D06183"/>
    <w:rsid w:val="00D22C42"/>
    <w:rsid w:val="00D338E0"/>
    <w:rsid w:val="00D65041"/>
    <w:rsid w:val="00D65351"/>
    <w:rsid w:val="00D75F5F"/>
    <w:rsid w:val="00DB384B"/>
    <w:rsid w:val="00E10E80"/>
    <w:rsid w:val="00E124F0"/>
    <w:rsid w:val="00E60F04"/>
    <w:rsid w:val="00E854E4"/>
    <w:rsid w:val="00EB0D6F"/>
    <w:rsid w:val="00EB2232"/>
    <w:rsid w:val="00EB4340"/>
    <w:rsid w:val="00EC0D68"/>
    <w:rsid w:val="00EC5337"/>
    <w:rsid w:val="00F028E2"/>
    <w:rsid w:val="00F2150A"/>
    <w:rsid w:val="00F231D8"/>
    <w:rsid w:val="00F45353"/>
    <w:rsid w:val="00F46C5F"/>
    <w:rsid w:val="00F7583E"/>
    <w:rsid w:val="00F94A63"/>
    <w:rsid w:val="00FA1C28"/>
    <w:rsid w:val="00FA6C14"/>
    <w:rsid w:val="00FB065F"/>
    <w:rsid w:val="00FB1279"/>
    <w:rsid w:val="00FB7596"/>
    <w:rsid w:val="00FD4C0F"/>
    <w:rsid w:val="00FE4077"/>
    <w:rsid w:val="00FE77D2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D19881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qFormat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Artdef">
    <w:name w:val="Art_def"/>
    <w:basedOn w:val="DefaultParagraphFont"/>
    <w:rsid w:val="00A2138C"/>
    <w:rPr>
      <w:rFonts w:ascii="Times New Roman" w:hAnsi="Times New Roman"/>
      <w:b/>
    </w:rPr>
  </w:style>
  <w:style w:type="paragraph" w:styleId="ListParagraph">
    <w:name w:val="List Paragraph"/>
    <w:basedOn w:val="Normal"/>
    <w:uiPriority w:val="34"/>
    <w:qFormat/>
    <w:rsid w:val="00FB065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30F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0FE7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0F409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63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63F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63F3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6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63F3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6-WRC19-C-0337/en" TargetMode="External"/><Relationship Id="rId18" Type="http://schemas.openxmlformats.org/officeDocument/2006/relationships/hyperlink" Target="https://www.itu.int/md/R16-WRC19-C-0190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6-WRC19-C-049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R16-WRC19-C-0337/en" TargetMode="External"/><Relationship Id="rId17" Type="http://schemas.openxmlformats.org/officeDocument/2006/relationships/hyperlink" Target="https://www.itu.int/md/R16-WRC19-C-0325/e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6-WRC19-C-0463/en" TargetMode="External"/><Relationship Id="rId20" Type="http://schemas.openxmlformats.org/officeDocument/2006/relationships/hyperlink" Target="https://www.itu.int/md/R16-WRC19-C-049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6-WRC19-C-0453/en" TargetMode="External"/><Relationship Id="rId23" Type="http://schemas.openxmlformats.org/officeDocument/2006/relationships/hyperlink" Target="https://www.itu.int/md/R16-WRC19-C-0450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R16-WRC19-C-0332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0-CWGFHR11-C-0005/en" TargetMode="External"/><Relationship Id="rId22" Type="http://schemas.openxmlformats.org/officeDocument/2006/relationships/hyperlink" Target="https://www.itu.int/md/R16-WRC19-C-0493/e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8A52-B63F-44D5-B9D0-7BBC17836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55C99-481D-488E-BAED-82DE8C438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3717-A576-4A5D-892D-9B1B3CF0F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99396E-1CAB-4B2F-BBBE-02803DD8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1343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 template</vt:lpstr>
    </vt:vector>
  </TitlesOfParts>
  <Manager>General Secretariat - Pool</Manager>
  <Company>International Telecommunication Union (ITU)</Company>
  <LinksUpToDate>false</LinksUpToDate>
  <CharactersWithSpaces>9807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of WRC-19 with financial implications</dc:title>
  <dc:subject>Council 2018</dc:subject>
  <dc:creator>Brouard, Ricarda</dc:creator>
  <cp:keywords>C2020, C20</cp:keywords>
  <dc:description/>
  <cp:lastModifiedBy>Brouard, Ricarda</cp:lastModifiedBy>
  <cp:revision>3</cp:revision>
  <cp:lastPrinted>2020-02-07T14:13:00Z</cp:lastPrinted>
  <dcterms:created xsi:type="dcterms:W3CDTF">2020-05-25T14:29:00Z</dcterms:created>
  <dcterms:modified xsi:type="dcterms:W3CDTF">2020-05-25T14:32:00Z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0x010100B638F4433E584047A097BE66491F0F20</vt:lpwstr>
  </property>
</Properties>
</file>