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663"/>
        <w:gridCol w:w="2976"/>
      </w:tblGrid>
      <w:tr w:rsidR="00BC7BC0" w:rsidRPr="00A532CC" w14:paraId="4BEF036B" w14:textId="77777777" w:rsidTr="00F850C8">
        <w:trPr>
          <w:cantSplit/>
        </w:trPr>
        <w:tc>
          <w:tcPr>
            <w:tcW w:w="6663" w:type="dxa"/>
          </w:tcPr>
          <w:p w14:paraId="69205ED9" w14:textId="77777777" w:rsidR="00BC7BC0" w:rsidRPr="00A532C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532C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532C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532C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532C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532CC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532CC">
              <w:rPr>
                <w:b/>
                <w:bCs/>
                <w:szCs w:val="22"/>
                <w:lang w:val="ru-RU"/>
              </w:rPr>
              <w:t>9</w:t>
            </w:r>
            <w:r w:rsidR="005B3DEC" w:rsidRPr="00A532CC">
              <w:rPr>
                <w:b/>
                <w:bCs/>
                <w:szCs w:val="22"/>
                <w:lang w:val="ru-RU"/>
              </w:rPr>
              <w:t>–</w:t>
            </w:r>
            <w:r w:rsidR="00442515" w:rsidRPr="00A532CC">
              <w:rPr>
                <w:b/>
                <w:bCs/>
                <w:szCs w:val="22"/>
                <w:lang w:val="ru-RU"/>
              </w:rPr>
              <w:t>19</w:t>
            </w:r>
            <w:r w:rsidR="005B3DEC" w:rsidRPr="00A532C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532CC">
              <w:rPr>
                <w:b/>
                <w:bCs/>
                <w:lang w:val="ru-RU"/>
              </w:rPr>
              <w:t xml:space="preserve"> </w:t>
            </w:r>
            <w:r w:rsidR="00225368" w:rsidRPr="00A532CC">
              <w:rPr>
                <w:b/>
                <w:bCs/>
                <w:lang w:val="ru-RU"/>
              </w:rPr>
              <w:t>20</w:t>
            </w:r>
            <w:r w:rsidR="00442515" w:rsidRPr="00A532CC">
              <w:rPr>
                <w:b/>
                <w:bCs/>
                <w:lang w:val="ru-RU"/>
              </w:rPr>
              <w:t>20</w:t>
            </w:r>
            <w:r w:rsidR="00225368" w:rsidRPr="00A532C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976" w:type="dxa"/>
          </w:tcPr>
          <w:p w14:paraId="19E39C47" w14:textId="77777777" w:rsidR="00BC7BC0" w:rsidRPr="00A532C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532CC">
              <w:rPr>
                <w:noProof/>
                <w:lang w:val="ru-RU" w:eastAsia="zh-CN"/>
              </w:rPr>
              <w:drawing>
                <wp:inline distT="0" distB="0" distL="0" distR="0" wp14:anchorId="659FC59A" wp14:editId="3D6C9E7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532CC" w14:paraId="00DDD45C" w14:textId="77777777" w:rsidTr="00F850C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B62FF7B" w14:textId="77777777" w:rsidR="00BC7BC0" w:rsidRPr="00A532C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0FEFE2D6" w14:textId="77777777" w:rsidR="00BC7BC0" w:rsidRPr="00A532C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532CC" w14:paraId="6DD4F5C1" w14:textId="77777777" w:rsidTr="00F850C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9286BC4" w14:textId="77777777" w:rsidR="00BC7BC0" w:rsidRPr="00A532C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7EBB2DB2" w14:textId="77777777" w:rsidR="00BC7BC0" w:rsidRPr="00A532C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532CC" w14:paraId="60D14D36" w14:textId="77777777" w:rsidTr="00F850C8">
        <w:trPr>
          <w:cantSplit/>
          <w:trHeight w:val="23"/>
        </w:trPr>
        <w:tc>
          <w:tcPr>
            <w:tcW w:w="6663" w:type="dxa"/>
            <w:vMerge w:val="restart"/>
          </w:tcPr>
          <w:p w14:paraId="1DE4E321" w14:textId="1FE972EC" w:rsidR="00BC7BC0" w:rsidRPr="00A532C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532C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532C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A35F1" w:rsidRPr="00A532CC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1240B4" w:rsidRPr="00A532CC">
              <w:rPr>
                <w:b/>
                <w:bCs/>
                <w:caps/>
                <w:szCs w:val="22"/>
                <w:lang w:val="ru-RU"/>
              </w:rPr>
              <w:t>33</w:t>
            </w:r>
          </w:p>
        </w:tc>
        <w:tc>
          <w:tcPr>
            <w:tcW w:w="2976" w:type="dxa"/>
          </w:tcPr>
          <w:p w14:paraId="70EA1FC2" w14:textId="173FED5B" w:rsidR="00BC7BC0" w:rsidRPr="00A532C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532C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532CC">
              <w:rPr>
                <w:b/>
                <w:bCs/>
                <w:szCs w:val="22"/>
                <w:lang w:val="ru-RU"/>
              </w:rPr>
              <w:t>20</w:t>
            </w:r>
            <w:r w:rsidRPr="00A532CC">
              <w:rPr>
                <w:b/>
                <w:bCs/>
                <w:szCs w:val="22"/>
                <w:lang w:val="ru-RU"/>
              </w:rPr>
              <w:t>/</w:t>
            </w:r>
            <w:r w:rsidR="009A35F1" w:rsidRPr="00A532CC">
              <w:rPr>
                <w:b/>
                <w:bCs/>
                <w:szCs w:val="22"/>
                <w:lang w:val="ru-RU"/>
              </w:rPr>
              <w:t>5</w:t>
            </w:r>
            <w:r w:rsidR="001240B4" w:rsidRPr="00A532CC">
              <w:rPr>
                <w:b/>
                <w:bCs/>
                <w:szCs w:val="22"/>
                <w:lang w:val="ru-RU"/>
              </w:rPr>
              <w:t>3</w:t>
            </w:r>
            <w:r w:rsidRPr="00A532C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532CC" w14:paraId="737B44DD" w14:textId="77777777" w:rsidTr="00F850C8">
        <w:trPr>
          <w:cantSplit/>
          <w:trHeight w:val="23"/>
        </w:trPr>
        <w:tc>
          <w:tcPr>
            <w:tcW w:w="6663" w:type="dxa"/>
            <w:vMerge/>
          </w:tcPr>
          <w:p w14:paraId="588BF4A5" w14:textId="77777777" w:rsidR="00BC7BC0" w:rsidRPr="00A532C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76" w:type="dxa"/>
          </w:tcPr>
          <w:p w14:paraId="0C354A97" w14:textId="5CB4B97D" w:rsidR="00BC7BC0" w:rsidRPr="00A532CC" w:rsidRDefault="001240B4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532CC">
              <w:rPr>
                <w:b/>
                <w:bCs/>
                <w:szCs w:val="22"/>
                <w:lang w:val="ru-RU"/>
              </w:rPr>
              <w:t>17 апреля</w:t>
            </w:r>
            <w:r w:rsidR="00EB4FCB" w:rsidRPr="00A532C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532CC">
              <w:rPr>
                <w:b/>
                <w:bCs/>
                <w:szCs w:val="22"/>
                <w:lang w:val="ru-RU"/>
              </w:rPr>
              <w:t>20</w:t>
            </w:r>
            <w:r w:rsidR="00442515" w:rsidRPr="00A532CC">
              <w:rPr>
                <w:b/>
                <w:bCs/>
                <w:szCs w:val="22"/>
                <w:lang w:val="ru-RU"/>
              </w:rPr>
              <w:t>20</w:t>
            </w:r>
            <w:r w:rsidR="00BC7BC0" w:rsidRPr="00A532C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532CC" w14:paraId="1DEB7A99" w14:textId="77777777" w:rsidTr="00F850C8">
        <w:trPr>
          <w:cantSplit/>
          <w:trHeight w:val="23"/>
        </w:trPr>
        <w:tc>
          <w:tcPr>
            <w:tcW w:w="6663" w:type="dxa"/>
            <w:vMerge/>
          </w:tcPr>
          <w:p w14:paraId="5B0DD376" w14:textId="77777777" w:rsidR="00BC7BC0" w:rsidRPr="00A532C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76" w:type="dxa"/>
          </w:tcPr>
          <w:p w14:paraId="3C763567" w14:textId="77777777" w:rsidR="00BC7BC0" w:rsidRPr="00A532C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532C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532CC" w14:paraId="2298618C" w14:textId="77777777" w:rsidTr="00F850C8">
        <w:trPr>
          <w:cantSplit/>
        </w:trPr>
        <w:tc>
          <w:tcPr>
            <w:tcW w:w="9639" w:type="dxa"/>
            <w:gridSpan w:val="2"/>
          </w:tcPr>
          <w:p w14:paraId="6DCB12AD" w14:textId="74299184" w:rsidR="00BC7BC0" w:rsidRPr="00A532CC" w:rsidRDefault="00BC7BC0" w:rsidP="00F022BE">
            <w:pPr>
              <w:pStyle w:val="Source"/>
              <w:spacing w:before="600"/>
              <w:rPr>
                <w:szCs w:val="22"/>
                <w:lang w:val="ru-RU"/>
              </w:rPr>
            </w:pPr>
            <w:bookmarkStart w:id="1" w:name="dtitle2" w:colFirst="0" w:colLast="0"/>
            <w:r w:rsidRPr="00A532CC">
              <w:rPr>
                <w:lang w:val="ru-RU"/>
              </w:rPr>
              <w:t>Отчет Генерального секретаря</w:t>
            </w:r>
          </w:p>
        </w:tc>
      </w:tr>
      <w:tr w:rsidR="00BC7BC0" w:rsidRPr="009E13AE" w14:paraId="0230E877" w14:textId="77777777" w:rsidTr="00F850C8">
        <w:trPr>
          <w:cantSplit/>
        </w:trPr>
        <w:tc>
          <w:tcPr>
            <w:tcW w:w="9639" w:type="dxa"/>
            <w:gridSpan w:val="2"/>
          </w:tcPr>
          <w:p w14:paraId="4AE30483" w14:textId="36E2CB79" w:rsidR="00BC7BC0" w:rsidRPr="00A532CC" w:rsidRDefault="00FA7744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A532CC">
              <w:rPr>
                <w:szCs w:val="22"/>
                <w:lang w:val="ru-RU"/>
              </w:rPr>
              <w:t>обеспечение непрерывности деятельности</w:t>
            </w:r>
            <w:r w:rsidRPr="00A532CC">
              <w:rPr>
                <w:lang w:val="ru-RU"/>
              </w:rPr>
              <w:t xml:space="preserve"> –</w:t>
            </w:r>
            <w:r w:rsidR="001240B4" w:rsidRPr="00A532CC">
              <w:rPr>
                <w:lang w:val="ru-RU"/>
              </w:rPr>
              <w:t xml:space="preserve"> </w:t>
            </w:r>
            <w:r w:rsidR="00854F84" w:rsidRPr="00A532CC">
              <w:rPr>
                <w:lang w:val="ru-RU"/>
              </w:rPr>
              <w:t>управление информацией</w:t>
            </w:r>
            <w:r w:rsidR="001240B4" w:rsidRPr="00A532CC">
              <w:rPr>
                <w:lang w:val="ru-RU"/>
              </w:rPr>
              <w:br/>
            </w:r>
            <w:r w:rsidR="00854F84" w:rsidRPr="00A532CC">
              <w:rPr>
                <w:lang w:val="ru-RU"/>
              </w:rPr>
              <w:t>международный союз электросвязи</w:t>
            </w:r>
          </w:p>
        </w:tc>
      </w:tr>
      <w:bookmarkEnd w:id="2"/>
    </w:tbl>
    <w:p w14:paraId="2952CCA9" w14:textId="77777777" w:rsidR="002D2F57" w:rsidRPr="00A532C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022BE" w14:paraId="29B8FE5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24869" w14:textId="77777777" w:rsidR="002D2F57" w:rsidRPr="00A532CC" w:rsidRDefault="002D2F57">
            <w:pPr>
              <w:pStyle w:val="Headingb"/>
              <w:rPr>
                <w:szCs w:val="22"/>
                <w:lang w:val="ru-RU"/>
              </w:rPr>
            </w:pPr>
            <w:r w:rsidRPr="00A532CC">
              <w:rPr>
                <w:szCs w:val="22"/>
                <w:lang w:val="ru-RU"/>
              </w:rPr>
              <w:t>Резюме</w:t>
            </w:r>
          </w:p>
          <w:p w14:paraId="1AB8E6BC" w14:textId="10AAFC2D" w:rsidR="001240B4" w:rsidRPr="00A532CC" w:rsidRDefault="00117917" w:rsidP="001240B4">
            <w:pPr>
              <w:rPr>
                <w:lang w:val="ru-RU"/>
              </w:rPr>
            </w:pPr>
            <w:r w:rsidRPr="00A532CC">
              <w:rPr>
                <w:lang w:val="ru-RU"/>
              </w:rPr>
              <w:t xml:space="preserve">В настоящем документе </w:t>
            </w:r>
            <w:r w:rsidR="008B7F32" w:rsidRPr="00A532CC">
              <w:rPr>
                <w:lang w:val="ru-RU"/>
              </w:rPr>
              <w:t>определены</w:t>
            </w:r>
            <w:r w:rsidRPr="00A532CC">
              <w:rPr>
                <w:lang w:val="ru-RU"/>
              </w:rPr>
              <w:t xml:space="preserve"> три области инвестиций, необходимых для того что</w:t>
            </w:r>
            <w:r w:rsidR="00C23278" w:rsidRPr="00A532CC">
              <w:rPr>
                <w:lang w:val="ru-RU"/>
              </w:rPr>
              <w:t>бы</w:t>
            </w:r>
            <w:r w:rsidRPr="00A532CC">
              <w:rPr>
                <w:lang w:val="ru-RU"/>
              </w:rPr>
              <w:t xml:space="preserve"> информационная инфраструктура МСЭ по-прежнему </w:t>
            </w:r>
            <w:r w:rsidR="00C23278" w:rsidRPr="00A532CC">
              <w:rPr>
                <w:lang w:val="ru-RU"/>
              </w:rPr>
              <w:t>отвечала</w:t>
            </w:r>
            <w:r w:rsidRPr="00A532CC">
              <w:rPr>
                <w:lang w:val="ru-RU"/>
              </w:rPr>
              <w:t xml:space="preserve"> своему назначению и была безопасной</w:t>
            </w:r>
            <w:r w:rsidR="001240B4" w:rsidRPr="00A532CC">
              <w:rPr>
                <w:lang w:val="ru-RU"/>
              </w:rPr>
              <w:t xml:space="preserve">, </w:t>
            </w:r>
            <w:r w:rsidRPr="00A532CC">
              <w:rPr>
                <w:lang w:val="ru-RU"/>
              </w:rPr>
              <w:t xml:space="preserve">а также </w:t>
            </w:r>
            <w:r w:rsidR="00C23278" w:rsidRPr="00A532CC">
              <w:rPr>
                <w:lang w:val="ru-RU"/>
              </w:rPr>
              <w:t>соответствовала</w:t>
            </w:r>
            <w:r w:rsidRPr="00A532CC">
              <w:rPr>
                <w:lang w:val="ru-RU"/>
              </w:rPr>
              <w:t xml:space="preserve"> потребностям персонала, членов и других заинтересованных сторон </w:t>
            </w:r>
            <w:r w:rsidR="00C23278" w:rsidRPr="00A532CC">
              <w:rPr>
                <w:lang w:val="ru-RU"/>
              </w:rPr>
              <w:t xml:space="preserve">МСЭ </w:t>
            </w:r>
            <w:r w:rsidRPr="00A532CC">
              <w:rPr>
                <w:lang w:val="ru-RU"/>
              </w:rPr>
              <w:t>и обеспечивала непрерывность деятельности</w:t>
            </w:r>
            <w:r w:rsidR="001240B4" w:rsidRPr="00A532CC">
              <w:rPr>
                <w:lang w:val="ru-RU"/>
              </w:rPr>
              <w:t xml:space="preserve">, </w:t>
            </w:r>
            <w:r w:rsidRPr="00A532CC">
              <w:rPr>
                <w:lang w:val="ru-RU"/>
              </w:rPr>
              <w:t>управление рисками и восстановление после бедствий с учетом опыта, накопленного при преодолении нынешнего кризиса</w:t>
            </w:r>
            <w:r w:rsidR="001240B4" w:rsidRPr="00A532CC">
              <w:rPr>
                <w:lang w:val="ru-RU"/>
              </w:rPr>
              <w:t xml:space="preserve">, </w:t>
            </w:r>
            <w:r w:rsidR="00225340" w:rsidRPr="00A532CC">
              <w:rPr>
                <w:lang w:val="ru-RU"/>
              </w:rPr>
              <w:t>и была лучше подготовлена к рабочей среде в новом здании штаб-квартир</w:t>
            </w:r>
            <w:r w:rsidR="005505AC" w:rsidRPr="00A532CC">
              <w:rPr>
                <w:lang w:val="ru-RU"/>
              </w:rPr>
              <w:t>ы</w:t>
            </w:r>
            <w:r w:rsidR="00225340" w:rsidRPr="00A532CC">
              <w:rPr>
                <w:lang w:val="ru-RU"/>
              </w:rPr>
              <w:t xml:space="preserve"> МСЭ</w:t>
            </w:r>
            <w:r w:rsidR="001240B4" w:rsidRPr="00A532CC">
              <w:rPr>
                <w:lang w:val="ru-RU"/>
              </w:rPr>
              <w:t xml:space="preserve">. </w:t>
            </w:r>
            <w:r w:rsidR="00225340" w:rsidRPr="00A532CC">
              <w:rPr>
                <w:lang w:val="ru-RU"/>
              </w:rPr>
              <w:t xml:space="preserve">Это следующие три области: </w:t>
            </w:r>
            <w:r w:rsidR="00C23278" w:rsidRPr="00A532CC">
              <w:rPr>
                <w:lang w:val="ru-RU"/>
              </w:rPr>
              <w:t xml:space="preserve">внутреннее </w:t>
            </w:r>
            <w:r w:rsidR="00225340" w:rsidRPr="00A532CC">
              <w:rPr>
                <w:lang w:val="ru-RU"/>
              </w:rPr>
              <w:t>управление информацией и записями,</w:t>
            </w:r>
            <w:r w:rsidR="001240B4" w:rsidRPr="00A532CC">
              <w:rPr>
                <w:lang w:val="ru-RU"/>
              </w:rPr>
              <w:t xml:space="preserve"> </w:t>
            </w:r>
            <w:r w:rsidR="00225340" w:rsidRPr="00A532CC">
              <w:rPr>
                <w:lang w:val="ru-RU"/>
              </w:rPr>
              <w:t xml:space="preserve">рабочие инструменты на </w:t>
            </w:r>
            <w:r w:rsidR="00C23278" w:rsidRPr="00A532CC">
              <w:rPr>
                <w:lang w:val="ru-RU"/>
              </w:rPr>
              <w:t>базе</w:t>
            </w:r>
            <w:r w:rsidR="00225340" w:rsidRPr="00A532CC">
              <w:rPr>
                <w:lang w:val="ru-RU"/>
              </w:rPr>
              <w:t xml:space="preserve"> информационных технологий и веб-сайт</w:t>
            </w:r>
            <w:r w:rsidR="001240B4" w:rsidRPr="00A532CC">
              <w:rPr>
                <w:lang w:val="ru-RU"/>
              </w:rPr>
              <w:t>.</w:t>
            </w:r>
          </w:p>
          <w:p w14:paraId="226D78A2" w14:textId="05562004" w:rsidR="009A35F1" w:rsidRPr="00A532CC" w:rsidRDefault="00342C31" w:rsidP="001240B4">
            <w:pPr>
              <w:rPr>
                <w:lang w:val="ru-RU"/>
              </w:rPr>
            </w:pPr>
            <w:r w:rsidRPr="00A532CC">
              <w:rPr>
                <w:lang w:val="ru-RU"/>
              </w:rPr>
              <w:t>Для обеспечения этих инвестиций тр</w:t>
            </w:r>
            <w:r w:rsidR="00CB69C9" w:rsidRPr="00A532CC">
              <w:rPr>
                <w:lang w:val="ru-RU"/>
              </w:rPr>
              <w:t xml:space="preserve">ебуется, по оценкам, </w:t>
            </w:r>
            <w:r w:rsidR="001240B4" w:rsidRPr="00A532CC">
              <w:rPr>
                <w:lang w:val="ru-RU"/>
              </w:rPr>
              <w:t>13</w:t>
            </w:r>
            <w:r w:rsidR="00CB69C9" w:rsidRPr="00A532CC">
              <w:rPr>
                <w:lang w:val="ru-RU"/>
              </w:rPr>
              <w:t> </w:t>
            </w:r>
            <w:proofErr w:type="gramStart"/>
            <w:r w:rsidR="00CB69C9" w:rsidRPr="00A532CC">
              <w:rPr>
                <w:lang w:val="ru-RU"/>
              </w:rPr>
              <w:t>млн.</w:t>
            </w:r>
            <w:proofErr w:type="gramEnd"/>
            <w:r w:rsidR="00CB69C9" w:rsidRPr="00A532CC">
              <w:rPr>
                <w:lang w:val="ru-RU"/>
              </w:rPr>
              <w:t xml:space="preserve"> швейцарских франков в течение следующих пяти лет, для чего возможно использовать либо сэкономленные средства, резервный счет</w:t>
            </w:r>
            <w:r w:rsidR="005B4701" w:rsidRPr="00A532CC">
              <w:rPr>
                <w:lang w:val="ru-RU"/>
              </w:rPr>
              <w:t xml:space="preserve"> и</w:t>
            </w:r>
            <w:r w:rsidR="00CB69C9" w:rsidRPr="00A532CC">
              <w:rPr>
                <w:lang w:val="ru-RU"/>
              </w:rPr>
              <w:t xml:space="preserve"> добровольные взносы, либо включить эти средства в </w:t>
            </w:r>
            <w:r w:rsidR="005505AC" w:rsidRPr="00A532CC">
              <w:rPr>
                <w:lang w:val="ru-RU"/>
              </w:rPr>
              <w:t>С</w:t>
            </w:r>
            <w:r w:rsidR="00CB69C9" w:rsidRPr="00A532CC">
              <w:rPr>
                <w:lang w:val="ru-RU"/>
              </w:rPr>
              <w:t xml:space="preserve">тратегический и </w:t>
            </w:r>
            <w:r w:rsidR="005505AC" w:rsidRPr="00A532CC">
              <w:rPr>
                <w:lang w:val="ru-RU"/>
              </w:rPr>
              <w:t>Ф</w:t>
            </w:r>
            <w:r w:rsidR="00CB69C9" w:rsidRPr="00A532CC">
              <w:rPr>
                <w:lang w:val="ru-RU"/>
              </w:rPr>
              <w:t>инансовый план</w:t>
            </w:r>
            <w:r w:rsidR="005C3369" w:rsidRPr="00A532CC">
              <w:rPr>
                <w:lang w:val="ru-RU"/>
              </w:rPr>
              <w:t>ы</w:t>
            </w:r>
            <w:r w:rsidR="00CB69C9" w:rsidRPr="00A532CC">
              <w:rPr>
                <w:lang w:val="ru-RU"/>
              </w:rPr>
              <w:t xml:space="preserve"> на </w:t>
            </w:r>
            <w:r w:rsidR="001240B4" w:rsidRPr="00A532CC">
              <w:rPr>
                <w:lang w:val="ru-RU"/>
              </w:rPr>
              <w:t>2022</w:t>
            </w:r>
            <w:r w:rsidR="00CB69C9" w:rsidRPr="00A532CC">
              <w:rPr>
                <w:lang w:val="ru-RU"/>
              </w:rPr>
              <w:t>–</w:t>
            </w:r>
            <w:r w:rsidR="001240B4" w:rsidRPr="00A532CC">
              <w:rPr>
                <w:lang w:val="ru-RU"/>
              </w:rPr>
              <w:t>2026</w:t>
            </w:r>
            <w:r w:rsidR="00CB69C9" w:rsidRPr="00A532CC">
              <w:rPr>
                <w:lang w:val="ru-RU"/>
              </w:rPr>
              <w:t> годы</w:t>
            </w:r>
            <w:r w:rsidR="001240B4" w:rsidRPr="00A532CC">
              <w:rPr>
                <w:lang w:val="ru-RU"/>
              </w:rPr>
              <w:t>.</w:t>
            </w:r>
          </w:p>
          <w:p w14:paraId="2A61447C" w14:textId="77777777" w:rsidR="002D2F57" w:rsidRPr="00A532CC" w:rsidRDefault="002D2F57" w:rsidP="00F850C8">
            <w:pPr>
              <w:pStyle w:val="Headingb"/>
              <w:rPr>
                <w:lang w:val="ru-RU"/>
              </w:rPr>
            </w:pPr>
            <w:r w:rsidRPr="00A532CC">
              <w:rPr>
                <w:lang w:val="ru-RU"/>
              </w:rPr>
              <w:t xml:space="preserve">Необходимые </w:t>
            </w:r>
            <w:r w:rsidR="00F5225B" w:rsidRPr="00A532CC">
              <w:rPr>
                <w:lang w:val="ru-RU"/>
              </w:rPr>
              <w:t>действия</w:t>
            </w:r>
          </w:p>
          <w:p w14:paraId="5861AB87" w14:textId="71ECC189" w:rsidR="009A35F1" w:rsidRPr="00A532CC" w:rsidRDefault="00CB69C9" w:rsidP="00F850C8">
            <w:pPr>
              <w:rPr>
                <w:lang w:val="ru-RU"/>
              </w:rPr>
            </w:pPr>
            <w:r w:rsidRPr="00A532CC">
              <w:rPr>
                <w:lang w:val="ru-RU"/>
              </w:rPr>
              <w:t xml:space="preserve">Совету предлагается </w:t>
            </w:r>
            <w:r w:rsidRPr="00A532CC">
              <w:rPr>
                <w:b/>
                <w:bCs/>
                <w:lang w:val="ru-RU"/>
              </w:rPr>
              <w:t xml:space="preserve">принять к сведению </w:t>
            </w:r>
            <w:r w:rsidRPr="00A532CC">
              <w:rPr>
                <w:lang w:val="ru-RU"/>
              </w:rPr>
              <w:t xml:space="preserve">настоящий отчет и </w:t>
            </w:r>
            <w:r w:rsidRPr="00A532CC">
              <w:rPr>
                <w:b/>
                <w:bCs/>
                <w:lang w:val="ru-RU"/>
              </w:rPr>
              <w:t>рекомендовать</w:t>
            </w:r>
            <w:r w:rsidRPr="00A532CC">
              <w:rPr>
                <w:lang w:val="ru-RU"/>
              </w:rPr>
              <w:t xml:space="preserve"> порядок дальнейших действий в отношении финансирования</w:t>
            </w:r>
            <w:r w:rsidR="001240B4" w:rsidRPr="00A532CC">
              <w:rPr>
                <w:lang w:val="ru-RU"/>
              </w:rPr>
              <w:t>.</w:t>
            </w:r>
          </w:p>
          <w:p w14:paraId="6F4429DF" w14:textId="77777777" w:rsidR="002D2F57" w:rsidRPr="00A532CC" w:rsidRDefault="002D2F57" w:rsidP="00014BDF">
            <w:pPr>
              <w:jc w:val="center"/>
              <w:rPr>
                <w:caps/>
                <w:szCs w:val="22"/>
                <w:lang w:val="ru-RU"/>
              </w:rPr>
            </w:pPr>
            <w:r w:rsidRPr="00A532CC">
              <w:rPr>
                <w:caps/>
                <w:szCs w:val="22"/>
                <w:lang w:val="ru-RU"/>
              </w:rPr>
              <w:t>____________</w:t>
            </w:r>
          </w:p>
          <w:p w14:paraId="250737F0" w14:textId="77777777" w:rsidR="002D2F57" w:rsidRPr="00A532CC" w:rsidRDefault="002D2F57">
            <w:pPr>
              <w:pStyle w:val="Headingb"/>
              <w:rPr>
                <w:szCs w:val="22"/>
                <w:lang w:val="ru-RU"/>
              </w:rPr>
            </w:pPr>
            <w:r w:rsidRPr="00A532CC">
              <w:rPr>
                <w:szCs w:val="22"/>
                <w:lang w:val="ru-RU"/>
              </w:rPr>
              <w:t>Справочные материалы</w:t>
            </w:r>
          </w:p>
          <w:p w14:paraId="20F9C9A2" w14:textId="5F07F277" w:rsidR="002D2F57" w:rsidRPr="00A532CC" w:rsidRDefault="00F022BE" w:rsidP="009A35F1">
            <w:pPr>
              <w:spacing w:after="120"/>
              <w:rPr>
                <w:i/>
                <w:iCs/>
                <w:lang w:val="ru-RU"/>
              </w:rPr>
            </w:pPr>
            <w:hyperlink r:id="rId11" w:history="1">
              <w:r w:rsidR="001240B4" w:rsidRPr="00A532CC">
                <w:rPr>
                  <w:rStyle w:val="Hyperlink"/>
                  <w:i/>
                  <w:iCs/>
                  <w:lang w:val="ru-RU"/>
                </w:rPr>
                <w:t>JIU/REP/2016/1</w:t>
              </w:r>
            </w:hyperlink>
            <w:r w:rsidR="001240B4" w:rsidRPr="00A532CC">
              <w:rPr>
                <w:i/>
                <w:iCs/>
                <w:lang w:val="ru-RU"/>
              </w:rPr>
              <w:t xml:space="preserve"> (</w:t>
            </w:r>
            <w:r w:rsidR="00CB69C9" w:rsidRPr="00A532CC">
              <w:rPr>
                <w:i/>
                <w:iCs/>
                <w:lang w:val="ru-RU"/>
              </w:rPr>
              <w:t>Управление МСЭ</w:t>
            </w:r>
            <w:r w:rsidR="001240B4" w:rsidRPr="00A532CC">
              <w:rPr>
                <w:i/>
                <w:iCs/>
                <w:lang w:val="ru-RU"/>
              </w:rPr>
              <w:t xml:space="preserve">), </w:t>
            </w:r>
            <w:hyperlink r:id="rId12" w:history="1">
              <w:r w:rsidR="001240B4" w:rsidRPr="00A532CC">
                <w:rPr>
                  <w:rStyle w:val="Hyperlink"/>
                  <w:i/>
                  <w:iCs/>
                  <w:lang w:val="ru-RU"/>
                </w:rPr>
                <w:t>JIU/REP/2019/5</w:t>
              </w:r>
            </w:hyperlink>
            <w:r w:rsidR="001240B4" w:rsidRPr="00A532CC">
              <w:rPr>
                <w:i/>
                <w:iCs/>
                <w:lang w:val="ru-RU"/>
              </w:rPr>
              <w:t xml:space="preserve"> (</w:t>
            </w:r>
            <w:r w:rsidR="005E22A0" w:rsidRPr="00A532CC">
              <w:rPr>
                <w:i/>
                <w:iCs/>
                <w:lang w:val="ru-RU"/>
              </w:rPr>
              <w:t>Облачные вычисления</w:t>
            </w:r>
            <w:r w:rsidR="001240B4" w:rsidRPr="00A532CC">
              <w:rPr>
                <w:i/>
                <w:iCs/>
                <w:lang w:val="ru-RU"/>
              </w:rPr>
              <w:t xml:space="preserve">), </w:t>
            </w:r>
            <w:hyperlink r:id="rId13" w:history="1">
              <w:r w:rsidR="001240B4" w:rsidRPr="00A532CC">
                <w:rPr>
                  <w:rStyle w:val="Hyperlink"/>
                  <w:i/>
                  <w:iCs/>
                  <w:lang w:val="ru-RU"/>
                </w:rPr>
                <w:t>C20/15</w:t>
              </w:r>
            </w:hyperlink>
            <w:r w:rsidR="001240B4" w:rsidRPr="00A532CC">
              <w:rPr>
                <w:i/>
                <w:iCs/>
                <w:lang w:val="ru-RU"/>
              </w:rPr>
              <w:t xml:space="preserve"> (ORMS), </w:t>
            </w:r>
            <w:hyperlink r:id="rId14" w:history="1">
              <w:r w:rsidR="001240B4" w:rsidRPr="00A532CC">
                <w:rPr>
                  <w:rStyle w:val="Hyperlink"/>
                  <w:i/>
                  <w:iCs/>
                  <w:lang w:val="ru-RU"/>
                </w:rPr>
                <w:t>C20/43</w:t>
              </w:r>
            </w:hyperlink>
            <w:r w:rsidR="001240B4" w:rsidRPr="00A532CC">
              <w:rPr>
                <w:i/>
                <w:iCs/>
                <w:lang w:val="ru-RU"/>
              </w:rPr>
              <w:t xml:space="preserve"> (</w:t>
            </w:r>
            <w:r w:rsidR="00CB69C9" w:rsidRPr="00A532CC">
              <w:rPr>
                <w:i/>
                <w:iCs/>
                <w:lang w:val="ru-RU"/>
              </w:rPr>
              <w:t>Подотчетность</w:t>
            </w:r>
            <w:r w:rsidR="001240B4" w:rsidRPr="00A532CC">
              <w:rPr>
                <w:i/>
                <w:iCs/>
                <w:lang w:val="ru-RU"/>
              </w:rPr>
              <w:t>).</w:t>
            </w:r>
          </w:p>
        </w:tc>
      </w:tr>
    </w:tbl>
    <w:p w14:paraId="53000488" w14:textId="73045EC6" w:rsidR="001240B4" w:rsidRPr="00A532CC" w:rsidRDefault="001240B4" w:rsidP="00F022BE">
      <w:pPr>
        <w:pStyle w:val="Heading1"/>
        <w:spacing w:before="600"/>
        <w:rPr>
          <w:lang w:val="ru-RU"/>
        </w:rPr>
      </w:pPr>
      <w:r w:rsidRPr="00A532CC">
        <w:rPr>
          <w:lang w:val="ru-RU"/>
        </w:rPr>
        <w:t>1</w:t>
      </w:r>
      <w:r w:rsidRPr="00A532CC">
        <w:rPr>
          <w:lang w:val="ru-RU"/>
        </w:rPr>
        <w:tab/>
      </w:r>
      <w:r w:rsidR="005E22A0" w:rsidRPr="00A532CC">
        <w:rPr>
          <w:lang w:val="ru-RU"/>
        </w:rPr>
        <w:t>Введение</w:t>
      </w:r>
    </w:p>
    <w:p w14:paraId="42BABAA2" w14:textId="29F75B18" w:rsidR="001240B4" w:rsidRPr="00A532CC" w:rsidRDefault="001240B4" w:rsidP="00014BDF">
      <w:pPr>
        <w:rPr>
          <w:lang w:val="ru-RU"/>
        </w:rPr>
      </w:pPr>
      <w:r w:rsidRPr="00A532CC">
        <w:rPr>
          <w:lang w:val="ru-RU"/>
        </w:rPr>
        <w:t>1.1</w:t>
      </w:r>
      <w:r w:rsidRPr="00A532CC">
        <w:rPr>
          <w:lang w:val="ru-RU"/>
        </w:rPr>
        <w:tab/>
      </w:r>
      <w:r w:rsidR="008853C7" w:rsidRPr="00A532CC">
        <w:rPr>
          <w:lang w:val="ru-RU"/>
        </w:rPr>
        <w:t>Цель настоящего документа</w:t>
      </w:r>
      <w:r w:rsidR="006114F6" w:rsidRPr="00A532CC">
        <w:rPr>
          <w:lang w:val="ru-RU"/>
        </w:rPr>
        <w:t xml:space="preserve"> – предоставить Совету прогноз ожидаемых инвестиций</w:t>
      </w:r>
      <w:r w:rsidR="0086132A" w:rsidRPr="00A532CC">
        <w:rPr>
          <w:lang w:val="ru-RU"/>
        </w:rPr>
        <w:t>, которые требуются для обеспечения непрерывности деятельности МСЭ</w:t>
      </w:r>
      <w:r w:rsidRPr="00A532CC">
        <w:rPr>
          <w:lang w:val="ru-RU"/>
        </w:rPr>
        <w:t>.</w:t>
      </w:r>
    </w:p>
    <w:p w14:paraId="1096C1E7" w14:textId="0E66DABC" w:rsidR="001240B4" w:rsidRPr="00A532CC" w:rsidRDefault="001240B4" w:rsidP="00014BDF">
      <w:pPr>
        <w:rPr>
          <w:spacing w:val="-2"/>
          <w:lang w:val="ru-RU"/>
        </w:rPr>
      </w:pPr>
      <w:r w:rsidRPr="00A532CC">
        <w:rPr>
          <w:lang w:val="ru-RU"/>
        </w:rPr>
        <w:t>1.2</w:t>
      </w:r>
      <w:r w:rsidRPr="00A532CC">
        <w:rPr>
          <w:lang w:val="ru-RU"/>
        </w:rPr>
        <w:tab/>
      </w:r>
      <w:r w:rsidR="0086132A" w:rsidRPr="00A532CC">
        <w:rPr>
          <w:spacing w:val="-2"/>
          <w:lang w:val="ru-RU"/>
        </w:rPr>
        <w:t xml:space="preserve">Совет </w:t>
      </w:r>
      <w:r w:rsidRPr="00A532CC">
        <w:rPr>
          <w:spacing w:val="-2"/>
          <w:lang w:val="ru-RU"/>
        </w:rPr>
        <w:t>2016</w:t>
      </w:r>
      <w:r w:rsidR="0086132A" w:rsidRPr="00A532CC">
        <w:rPr>
          <w:spacing w:val="-2"/>
          <w:lang w:val="ru-RU"/>
        </w:rPr>
        <w:t xml:space="preserve"> года утвердил </w:t>
      </w:r>
      <w:r w:rsidR="006463D1" w:rsidRPr="00A532CC">
        <w:rPr>
          <w:spacing w:val="-2"/>
          <w:lang w:val="ru-RU"/>
        </w:rPr>
        <w:t>с</w:t>
      </w:r>
      <w:r w:rsidR="0086132A" w:rsidRPr="00A532CC">
        <w:rPr>
          <w:spacing w:val="-2"/>
          <w:lang w:val="ru-RU"/>
        </w:rPr>
        <w:t>труктур</w:t>
      </w:r>
      <w:r w:rsidR="006463D1" w:rsidRPr="00A532CC">
        <w:rPr>
          <w:spacing w:val="-2"/>
          <w:lang w:val="ru-RU"/>
        </w:rPr>
        <w:t>у</w:t>
      </w:r>
      <w:r w:rsidR="0086132A" w:rsidRPr="00A532CC">
        <w:rPr>
          <w:spacing w:val="-2"/>
          <w:lang w:val="ru-RU"/>
        </w:rPr>
        <w:t xml:space="preserve"> Системы обеспечения организационной жизнеспособности </w:t>
      </w:r>
      <w:r w:rsidRPr="00A532CC">
        <w:rPr>
          <w:spacing w:val="-2"/>
          <w:lang w:val="ru-RU"/>
        </w:rPr>
        <w:t>(ORMS)</w:t>
      </w:r>
      <w:r w:rsidR="006463D1" w:rsidRPr="00A532CC">
        <w:rPr>
          <w:spacing w:val="-2"/>
          <w:lang w:val="ru-RU"/>
        </w:rPr>
        <w:t xml:space="preserve">, после чего МСЭ создал следующие процессы обеспечения непрерывности деятельности </w:t>
      </w:r>
      <w:r w:rsidRPr="00A532CC">
        <w:rPr>
          <w:spacing w:val="-2"/>
          <w:lang w:val="ru-RU"/>
        </w:rPr>
        <w:t>(</w:t>
      </w:r>
      <w:r w:rsidR="006463D1" w:rsidRPr="00A532CC">
        <w:rPr>
          <w:spacing w:val="-2"/>
          <w:lang w:val="ru-RU"/>
        </w:rPr>
        <w:t>Документ </w:t>
      </w:r>
      <w:r w:rsidRPr="00A532CC">
        <w:rPr>
          <w:spacing w:val="-2"/>
          <w:lang w:val="ru-RU"/>
        </w:rPr>
        <w:t>C20/15):</w:t>
      </w:r>
    </w:p>
    <w:p w14:paraId="029987B9" w14:textId="1D0706A3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−</w:t>
      </w:r>
      <w:r w:rsidRPr="00A532CC">
        <w:rPr>
          <w:lang w:val="ru-RU"/>
        </w:rPr>
        <w:tab/>
      </w:r>
      <w:r w:rsidR="006463D1" w:rsidRPr="00A532CC">
        <w:rPr>
          <w:lang w:val="ru-RU"/>
        </w:rPr>
        <w:t xml:space="preserve">политика в области обеспечения непрерывности деятельности </w:t>
      </w:r>
      <w:r w:rsidR="001240B4" w:rsidRPr="00A532CC">
        <w:rPr>
          <w:lang w:val="ru-RU"/>
        </w:rPr>
        <w:t>(BCP)</w:t>
      </w:r>
      <w:r w:rsidR="006463D1" w:rsidRPr="00A532CC">
        <w:rPr>
          <w:lang w:val="ru-RU"/>
        </w:rPr>
        <w:t>;</w:t>
      </w:r>
    </w:p>
    <w:p w14:paraId="56F87EA6" w14:textId="6B7073A7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−</w:t>
      </w:r>
      <w:r w:rsidRPr="00A532CC">
        <w:rPr>
          <w:lang w:val="ru-RU"/>
        </w:rPr>
        <w:tab/>
      </w:r>
      <w:r w:rsidR="006463D1" w:rsidRPr="00A532CC">
        <w:rPr>
          <w:lang w:val="ru-RU"/>
        </w:rPr>
        <w:t>основа системы управления непрерывностью деятельности</w:t>
      </w:r>
      <w:r w:rsidR="001240B4" w:rsidRPr="00A532CC">
        <w:rPr>
          <w:lang w:val="ru-RU"/>
        </w:rPr>
        <w:t xml:space="preserve"> (BCMS)</w:t>
      </w:r>
      <w:r w:rsidR="006463D1" w:rsidRPr="00A532CC">
        <w:rPr>
          <w:lang w:val="ru-RU"/>
        </w:rPr>
        <w:t>;</w:t>
      </w:r>
    </w:p>
    <w:p w14:paraId="161F9A39" w14:textId="5411B332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lastRenderedPageBreak/>
        <w:t>−</w:t>
      </w:r>
      <w:r w:rsidRPr="00A532CC">
        <w:rPr>
          <w:lang w:val="ru-RU"/>
        </w:rPr>
        <w:tab/>
      </w:r>
      <w:r w:rsidR="006463D1" w:rsidRPr="00A532CC">
        <w:rPr>
          <w:lang w:val="ru-RU"/>
        </w:rPr>
        <w:t xml:space="preserve">оценка деловых рисков </w:t>
      </w:r>
      <w:r w:rsidR="001240B4" w:rsidRPr="00A532CC">
        <w:rPr>
          <w:lang w:val="ru-RU"/>
        </w:rPr>
        <w:t>(BRA)</w:t>
      </w:r>
      <w:r w:rsidR="006463D1" w:rsidRPr="00A532CC">
        <w:rPr>
          <w:lang w:val="ru-RU"/>
        </w:rPr>
        <w:t>;</w:t>
      </w:r>
    </w:p>
    <w:p w14:paraId="556C471C" w14:textId="461463CC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−</w:t>
      </w:r>
      <w:r w:rsidRPr="00A532CC">
        <w:rPr>
          <w:lang w:val="ru-RU"/>
        </w:rPr>
        <w:tab/>
      </w:r>
      <w:r w:rsidR="000206E1" w:rsidRPr="00A532CC">
        <w:rPr>
          <w:lang w:val="ru-RU"/>
        </w:rPr>
        <w:t>виды деятельности и обеспечивающие процессы, а также приоритеты</w:t>
      </w:r>
      <w:r w:rsidR="006463D1" w:rsidRPr="00A532CC">
        <w:rPr>
          <w:lang w:val="ru-RU"/>
        </w:rPr>
        <w:t>;</w:t>
      </w:r>
    </w:p>
    <w:p w14:paraId="35F0E52C" w14:textId="174572C3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−</w:t>
      </w:r>
      <w:r w:rsidRPr="00A532CC">
        <w:rPr>
          <w:lang w:val="ru-RU"/>
        </w:rPr>
        <w:tab/>
      </w:r>
      <w:r w:rsidR="000206E1" w:rsidRPr="00A532CC">
        <w:rPr>
          <w:lang w:val="ru-RU"/>
        </w:rPr>
        <w:t xml:space="preserve">анализ последствий для деятельности </w:t>
      </w:r>
      <w:r w:rsidR="001240B4" w:rsidRPr="00A532CC">
        <w:rPr>
          <w:lang w:val="ru-RU"/>
        </w:rPr>
        <w:t>(BIA)</w:t>
      </w:r>
      <w:r w:rsidR="006463D1" w:rsidRPr="00A532CC">
        <w:rPr>
          <w:lang w:val="ru-RU"/>
        </w:rPr>
        <w:t>;</w:t>
      </w:r>
    </w:p>
    <w:p w14:paraId="7594A751" w14:textId="5E505AA9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−</w:t>
      </w:r>
      <w:r w:rsidRPr="00A532CC">
        <w:rPr>
          <w:lang w:val="ru-RU"/>
        </w:rPr>
        <w:tab/>
      </w:r>
      <w:r w:rsidR="000206E1" w:rsidRPr="00A532CC">
        <w:rPr>
          <w:lang w:val="ru-RU"/>
        </w:rPr>
        <w:t>планы обеспечения непрерывности деятельности</w:t>
      </w:r>
      <w:r w:rsidR="001240B4" w:rsidRPr="00A532CC">
        <w:rPr>
          <w:lang w:val="ru-RU"/>
        </w:rPr>
        <w:t xml:space="preserve"> (BCP)</w:t>
      </w:r>
      <w:r w:rsidR="006463D1" w:rsidRPr="00A532CC">
        <w:rPr>
          <w:lang w:val="ru-RU"/>
        </w:rPr>
        <w:t>.</w:t>
      </w:r>
    </w:p>
    <w:p w14:paraId="62E3C290" w14:textId="625B5C56" w:rsidR="001240B4" w:rsidRPr="00A532CC" w:rsidRDefault="001240B4" w:rsidP="00014BDF">
      <w:pPr>
        <w:rPr>
          <w:lang w:val="ru-RU"/>
        </w:rPr>
      </w:pPr>
      <w:r w:rsidRPr="00A532CC">
        <w:rPr>
          <w:lang w:val="ru-RU"/>
        </w:rPr>
        <w:t>1.3</w:t>
      </w:r>
      <w:r w:rsidRPr="00A532CC">
        <w:rPr>
          <w:lang w:val="ru-RU"/>
        </w:rPr>
        <w:tab/>
      </w:r>
      <w:r w:rsidR="003A58A0" w:rsidRPr="00A532CC">
        <w:rPr>
          <w:lang w:val="ru-RU"/>
        </w:rPr>
        <w:t>Очевидны</w:t>
      </w:r>
      <w:r w:rsidR="0044046C" w:rsidRPr="00A532CC">
        <w:rPr>
          <w:lang w:val="ru-RU"/>
        </w:rPr>
        <w:t>й</w:t>
      </w:r>
      <w:r w:rsidR="003A58A0" w:rsidRPr="00A532CC">
        <w:rPr>
          <w:lang w:val="ru-RU"/>
        </w:rPr>
        <w:t xml:space="preserve"> положительны</w:t>
      </w:r>
      <w:r w:rsidR="0044046C" w:rsidRPr="00A532CC">
        <w:rPr>
          <w:lang w:val="ru-RU"/>
        </w:rPr>
        <w:t>й</w:t>
      </w:r>
      <w:r w:rsidR="003A58A0" w:rsidRPr="00A532CC">
        <w:rPr>
          <w:lang w:val="ru-RU"/>
        </w:rPr>
        <w:t xml:space="preserve"> результат этих действий </w:t>
      </w:r>
      <w:r w:rsidR="0044046C" w:rsidRPr="00A532CC">
        <w:rPr>
          <w:lang w:val="ru-RU"/>
        </w:rPr>
        <w:t>прояв</w:t>
      </w:r>
      <w:r w:rsidR="000D4E15" w:rsidRPr="00A532CC">
        <w:rPr>
          <w:lang w:val="ru-RU"/>
        </w:rPr>
        <w:t>ляется</w:t>
      </w:r>
      <w:r w:rsidR="0044046C" w:rsidRPr="00A532CC">
        <w:rPr>
          <w:lang w:val="ru-RU"/>
        </w:rPr>
        <w:t xml:space="preserve"> в</w:t>
      </w:r>
      <w:r w:rsidR="003A58A0" w:rsidRPr="00A532CC">
        <w:rPr>
          <w:lang w:val="ru-RU"/>
        </w:rPr>
        <w:t xml:space="preserve"> способност</w:t>
      </w:r>
      <w:r w:rsidR="0044046C" w:rsidRPr="00A532CC">
        <w:rPr>
          <w:lang w:val="ru-RU"/>
        </w:rPr>
        <w:t>и</w:t>
      </w:r>
      <w:r w:rsidR="003A58A0" w:rsidRPr="00A532CC">
        <w:rPr>
          <w:lang w:val="ru-RU"/>
        </w:rPr>
        <w:t xml:space="preserve"> МСЭ продолжать свою деятельность в период </w:t>
      </w:r>
      <w:r w:rsidR="0044046C" w:rsidRPr="00A532CC">
        <w:rPr>
          <w:lang w:val="ru-RU"/>
        </w:rPr>
        <w:t>изоляции, обусловленной</w:t>
      </w:r>
      <w:r w:rsidR="003A58A0" w:rsidRPr="00A532CC">
        <w:rPr>
          <w:lang w:val="ru-RU"/>
        </w:rPr>
        <w:t xml:space="preserve"> </w:t>
      </w:r>
      <w:r w:rsidRPr="00A532CC">
        <w:rPr>
          <w:lang w:val="ru-RU"/>
        </w:rPr>
        <w:t>Covid-19.</w:t>
      </w:r>
    </w:p>
    <w:p w14:paraId="56ABFD21" w14:textId="09B4D043" w:rsidR="001240B4" w:rsidRPr="00A532CC" w:rsidRDefault="001240B4" w:rsidP="00014BDF">
      <w:pPr>
        <w:pStyle w:val="Heading1"/>
        <w:rPr>
          <w:lang w:val="ru-RU"/>
        </w:rPr>
      </w:pPr>
      <w:r w:rsidRPr="00A532CC">
        <w:rPr>
          <w:lang w:val="ru-RU"/>
        </w:rPr>
        <w:t>2</w:t>
      </w:r>
      <w:r w:rsidRPr="00A532CC">
        <w:rPr>
          <w:lang w:val="ru-RU"/>
        </w:rPr>
        <w:tab/>
      </w:r>
      <w:r w:rsidR="0044046C" w:rsidRPr="00A532CC">
        <w:rPr>
          <w:lang w:val="ru-RU"/>
        </w:rPr>
        <w:t>Базовая информация</w:t>
      </w:r>
    </w:p>
    <w:p w14:paraId="1F1ACDA2" w14:textId="51B23B54" w:rsidR="001240B4" w:rsidRPr="00A532CC" w:rsidDel="00890407" w:rsidRDefault="001240B4" w:rsidP="00014BDF">
      <w:pPr>
        <w:rPr>
          <w:lang w:val="ru-RU"/>
        </w:rPr>
      </w:pPr>
      <w:r w:rsidRPr="00A532CC">
        <w:rPr>
          <w:lang w:val="ru-RU"/>
        </w:rPr>
        <w:t>2.1</w:t>
      </w:r>
      <w:r w:rsidRPr="00A532CC">
        <w:rPr>
          <w:lang w:val="ru-RU"/>
        </w:rPr>
        <w:tab/>
      </w:r>
      <w:r w:rsidR="0044046C" w:rsidRPr="00A532CC">
        <w:rPr>
          <w:lang w:val="ru-RU"/>
        </w:rPr>
        <w:t xml:space="preserve">Вместе с тем в настоящее время существуют проблемы, связанные с действующими платформами, например устаревшие технологии, </w:t>
      </w:r>
      <w:r w:rsidR="005505AC" w:rsidRPr="00A532CC">
        <w:rPr>
          <w:lang w:val="ru-RU"/>
        </w:rPr>
        <w:t xml:space="preserve">для </w:t>
      </w:r>
      <w:r w:rsidR="0044046C" w:rsidRPr="00A532CC">
        <w:rPr>
          <w:lang w:val="ru-RU"/>
        </w:rPr>
        <w:t>которы</w:t>
      </w:r>
      <w:r w:rsidR="005505AC" w:rsidRPr="00A532CC">
        <w:rPr>
          <w:lang w:val="ru-RU"/>
        </w:rPr>
        <w:t>х</w:t>
      </w:r>
      <w:r w:rsidR="0044046C" w:rsidRPr="00A532CC">
        <w:rPr>
          <w:lang w:val="ru-RU"/>
        </w:rPr>
        <w:t xml:space="preserve"> не осуществля</w:t>
      </w:r>
      <w:r w:rsidR="005505AC" w:rsidRPr="00A532CC">
        <w:rPr>
          <w:lang w:val="ru-RU"/>
        </w:rPr>
        <w:t>ется</w:t>
      </w:r>
      <w:r w:rsidR="0044046C" w:rsidRPr="00A532CC">
        <w:rPr>
          <w:lang w:val="ru-RU"/>
        </w:rPr>
        <w:t xml:space="preserve"> глобальн</w:t>
      </w:r>
      <w:r w:rsidR="005505AC" w:rsidRPr="00A532CC">
        <w:rPr>
          <w:lang w:val="ru-RU"/>
        </w:rPr>
        <w:t>ая</w:t>
      </w:r>
      <w:r w:rsidR="0044046C" w:rsidRPr="00A532CC">
        <w:rPr>
          <w:lang w:val="ru-RU"/>
        </w:rPr>
        <w:t xml:space="preserve"> поддержк</w:t>
      </w:r>
      <w:r w:rsidR="005505AC" w:rsidRPr="00A532CC">
        <w:rPr>
          <w:lang w:val="ru-RU"/>
        </w:rPr>
        <w:t>а</w:t>
      </w:r>
      <w:r w:rsidR="0044046C" w:rsidRPr="00A532CC">
        <w:rPr>
          <w:lang w:val="ru-RU"/>
        </w:rPr>
        <w:t xml:space="preserve"> и </w:t>
      </w:r>
      <w:r w:rsidR="005505AC" w:rsidRPr="00A532CC">
        <w:rPr>
          <w:lang w:val="ru-RU"/>
        </w:rPr>
        <w:t xml:space="preserve">которые </w:t>
      </w:r>
      <w:r w:rsidR="0044046C" w:rsidRPr="00A532CC">
        <w:rPr>
          <w:lang w:val="ru-RU"/>
        </w:rPr>
        <w:t>имеют ограниченный потенциал</w:t>
      </w:r>
      <w:r w:rsidR="005505AC" w:rsidRPr="00A532CC">
        <w:rPr>
          <w:lang w:val="ru-RU"/>
        </w:rPr>
        <w:t xml:space="preserve"> для</w:t>
      </w:r>
      <w:r w:rsidR="0044046C" w:rsidRPr="00A532CC">
        <w:rPr>
          <w:lang w:val="ru-RU"/>
        </w:rPr>
        <w:t xml:space="preserve"> обеспечения непрерывности деятельности и восстановления после бедствий</w:t>
      </w:r>
      <w:r w:rsidRPr="00A532CC">
        <w:rPr>
          <w:lang w:val="ru-RU"/>
        </w:rPr>
        <w:t xml:space="preserve">. </w:t>
      </w:r>
      <w:r w:rsidR="0044046C" w:rsidRPr="00A532CC">
        <w:rPr>
          <w:lang w:val="ru-RU"/>
        </w:rPr>
        <w:t xml:space="preserve">Ограничена возможность использования имеющихся на рынке готовых приложений и инструментов </w:t>
      </w:r>
      <w:r w:rsidR="000D4E15" w:rsidRPr="00A532CC">
        <w:rPr>
          <w:lang w:val="ru-RU"/>
        </w:rPr>
        <w:t>совместно</w:t>
      </w:r>
      <w:r w:rsidR="0075729F" w:rsidRPr="00A532CC">
        <w:rPr>
          <w:lang w:val="ru-RU"/>
        </w:rPr>
        <w:t xml:space="preserve"> </w:t>
      </w:r>
      <w:r w:rsidR="0044046C" w:rsidRPr="00A532CC">
        <w:rPr>
          <w:lang w:val="ru-RU"/>
        </w:rPr>
        <w:t>с существующими у нас устаревшими платформами</w:t>
      </w:r>
      <w:r w:rsidRPr="00A532CC">
        <w:rPr>
          <w:lang w:val="ru-RU"/>
        </w:rPr>
        <w:t xml:space="preserve">. </w:t>
      </w:r>
      <w:r w:rsidR="0044046C" w:rsidRPr="00A532CC">
        <w:rPr>
          <w:lang w:val="ru-RU"/>
        </w:rPr>
        <w:t xml:space="preserve">Кроме того, </w:t>
      </w:r>
      <w:r w:rsidR="0075729F" w:rsidRPr="00A532CC">
        <w:rPr>
          <w:lang w:val="ru-RU"/>
        </w:rPr>
        <w:t xml:space="preserve">имеющиеся </w:t>
      </w:r>
      <w:r w:rsidR="0044046C" w:rsidRPr="00A532CC">
        <w:rPr>
          <w:lang w:val="ru-RU"/>
        </w:rPr>
        <w:t xml:space="preserve">инструменты требуют </w:t>
      </w:r>
      <w:r w:rsidR="007835FE" w:rsidRPr="00A532CC">
        <w:rPr>
          <w:lang w:val="ru-RU"/>
        </w:rPr>
        <w:t xml:space="preserve">участия </w:t>
      </w:r>
      <w:r w:rsidR="0044046C" w:rsidRPr="00A532CC">
        <w:rPr>
          <w:lang w:val="ru-RU"/>
        </w:rPr>
        <w:t>значительных людских ресурсов</w:t>
      </w:r>
      <w:r w:rsidR="007835FE" w:rsidRPr="00A532CC">
        <w:rPr>
          <w:lang w:val="ru-RU"/>
        </w:rPr>
        <w:t xml:space="preserve"> и характеризуются </w:t>
      </w:r>
      <w:r w:rsidR="0075729F" w:rsidRPr="00A532CC">
        <w:rPr>
          <w:lang w:val="ru-RU"/>
        </w:rPr>
        <w:t>невысоким</w:t>
      </w:r>
      <w:r w:rsidR="007835FE" w:rsidRPr="00A532CC">
        <w:rPr>
          <w:lang w:val="ru-RU"/>
        </w:rPr>
        <w:t xml:space="preserve"> уровнем автоматизации</w:t>
      </w:r>
      <w:r w:rsidRPr="00A532CC">
        <w:rPr>
          <w:lang w:val="ru-RU"/>
        </w:rPr>
        <w:t xml:space="preserve"> (</w:t>
      </w:r>
      <w:r w:rsidR="007835FE" w:rsidRPr="00A532CC">
        <w:rPr>
          <w:lang w:val="ru-RU"/>
        </w:rPr>
        <w:t>см. п. </w:t>
      </w:r>
      <w:r w:rsidRPr="00A532CC">
        <w:rPr>
          <w:rFonts w:eastAsia="Calibri"/>
          <w:lang w:val="ru-RU"/>
        </w:rPr>
        <w:t xml:space="preserve">3.1.3, </w:t>
      </w:r>
      <w:r w:rsidR="007835FE" w:rsidRPr="00A532CC">
        <w:rPr>
          <w:rFonts w:eastAsia="Calibri"/>
          <w:lang w:val="ru-RU"/>
        </w:rPr>
        <w:t>ниже</w:t>
      </w:r>
      <w:r w:rsidRPr="00A532CC">
        <w:rPr>
          <w:rFonts w:eastAsia="Calibri"/>
          <w:lang w:val="ru-RU"/>
        </w:rPr>
        <w:t>)</w:t>
      </w:r>
      <w:r w:rsidRPr="00A532CC">
        <w:rPr>
          <w:lang w:val="ru-RU"/>
        </w:rPr>
        <w:t>.</w:t>
      </w:r>
    </w:p>
    <w:p w14:paraId="624F6FE1" w14:textId="65050BDB" w:rsidR="001240B4" w:rsidRPr="00A532CC" w:rsidRDefault="001240B4" w:rsidP="00014BDF">
      <w:pPr>
        <w:rPr>
          <w:lang w:val="ru-RU"/>
        </w:rPr>
      </w:pPr>
      <w:r w:rsidRPr="00A532CC">
        <w:rPr>
          <w:lang w:val="ru-RU"/>
        </w:rPr>
        <w:t>2.2</w:t>
      </w:r>
      <w:r w:rsidRPr="00A532CC">
        <w:rPr>
          <w:lang w:val="ru-RU"/>
        </w:rPr>
        <w:tab/>
      </w:r>
      <w:r w:rsidR="00E419C3" w:rsidRPr="00A532CC">
        <w:rPr>
          <w:lang w:val="ru-RU"/>
        </w:rPr>
        <w:t>Замена платформ</w:t>
      </w:r>
      <w:r w:rsidR="003B666B" w:rsidRPr="00A532CC">
        <w:rPr>
          <w:lang w:val="ru-RU"/>
        </w:rPr>
        <w:t xml:space="preserve"> позволит</w:t>
      </w:r>
      <w:r w:rsidR="00E419C3" w:rsidRPr="00A532CC">
        <w:rPr>
          <w:lang w:val="ru-RU"/>
        </w:rPr>
        <w:t xml:space="preserve"> обеспечит</w:t>
      </w:r>
      <w:r w:rsidR="003B666B" w:rsidRPr="00A532CC">
        <w:rPr>
          <w:lang w:val="ru-RU"/>
        </w:rPr>
        <w:t>ь</w:t>
      </w:r>
      <w:r w:rsidR="00E419C3" w:rsidRPr="00A532CC">
        <w:rPr>
          <w:lang w:val="ru-RU"/>
        </w:rPr>
        <w:t xml:space="preserve"> в рамках всего МСЭ согласован</w:t>
      </w:r>
      <w:r w:rsidR="003B666B" w:rsidRPr="00A532CC">
        <w:rPr>
          <w:lang w:val="ru-RU"/>
        </w:rPr>
        <w:t>ность</w:t>
      </w:r>
      <w:r w:rsidR="00E419C3" w:rsidRPr="00A532CC">
        <w:rPr>
          <w:lang w:val="ru-RU"/>
        </w:rPr>
        <w:t xml:space="preserve"> и соответствие требованиям в отношение языков, которые разработаны с учетом использования</w:t>
      </w:r>
      <w:r w:rsidR="00587532" w:rsidRPr="00A532CC">
        <w:rPr>
          <w:lang w:val="ru-RU"/>
        </w:rPr>
        <w:t xml:space="preserve"> для языков и анализа</w:t>
      </w:r>
      <w:r w:rsidR="00E419C3" w:rsidRPr="00A532CC">
        <w:rPr>
          <w:lang w:val="ru-RU"/>
        </w:rPr>
        <w:t xml:space="preserve"> искусственного интеллекта/машинного обучения</w:t>
      </w:r>
      <w:r w:rsidR="00587532" w:rsidRPr="00A532CC">
        <w:rPr>
          <w:lang w:val="ru-RU"/>
        </w:rPr>
        <w:t>; предлагать членам доступные на рынке инструменты</w:t>
      </w:r>
      <w:r w:rsidRPr="00A532CC">
        <w:rPr>
          <w:lang w:val="ru-RU"/>
        </w:rPr>
        <w:t xml:space="preserve"> </w:t>
      </w:r>
      <w:r w:rsidR="00587532" w:rsidRPr="00A532CC">
        <w:rPr>
          <w:lang w:val="ru-RU"/>
        </w:rPr>
        <w:t>совместной работы</w:t>
      </w:r>
      <w:r w:rsidRPr="00A532CC">
        <w:rPr>
          <w:lang w:val="ru-RU"/>
        </w:rPr>
        <w:t xml:space="preserve">, </w:t>
      </w:r>
      <w:r w:rsidR="00587532" w:rsidRPr="00A532CC">
        <w:rPr>
          <w:lang w:val="ru-RU"/>
        </w:rPr>
        <w:t>обеспечивая инструменты самообслуживания для всех собраний, конференций и мероприятий</w:t>
      </w:r>
      <w:r w:rsidRPr="00A532CC">
        <w:rPr>
          <w:lang w:val="ru-RU"/>
        </w:rPr>
        <w:t xml:space="preserve">; </w:t>
      </w:r>
      <w:r w:rsidR="00587532" w:rsidRPr="00A532CC">
        <w:rPr>
          <w:lang w:val="ru-RU"/>
        </w:rPr>
        <w:t>а также обеспечить надлежащие механизмы непрерывности деятельности и восстановления после бедствий</w:t>
      </w:r>
      <w:r w:rsidRPr="00A532CC">
        <w:rPr>
          <w:lang w:val="ru-RU"/>
        </w:rPr>
        <w:t>.</w:t>
      </w:r>
    </w:p>
    <w:p w14:paraId="1C83F524" w14:textId="596E3048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lang w:val="ru-RU"/>
        </w:rPr>
        <w:t>2.3</w:t>
      </w:r>
      <w:r w:rsidRPr="00A532CC">
        <w:rPr>
          <w:lang w:val="ru-RU"/>
        </w:rPr>
        <w:tab/>
      </w:r>
      <w:r w:rsidR="003B666B" w:rsidRPr="00A532CC">
        <w:rPr>
          <w:lang w:val="ru-RU"/>
        </w:rPr>
        <w:t>В контексте проекта</w:t>
      </w:r>
      <w:r w:rsidRPr="00A532CC">
        <w:rPr>
          <w:lang w:val="ru-RU"/>
        </w:rPr>
        <w:t xml:space="preserve"> ORMS </w:t>
      </w:r>
      <w:r w:rsidR="003B666B" w:rsidRPr="00A532CC">
        <w:rPr>
          <w:lang w:val="ru-RU"/>
        </w:rPr>
        <w:t xml:space="preserve">было признано, что несмотря на проведение оценок деловых рисков и реализацию мер </w:t>
      </w:r>
      <w:r w:rsidR="005505AC" w:rsidRPr="00A532CC">
        <w:rPr>
          <w:lang w:val="ru-RU"/>
        </w:rPr>
        <w:t xml:space="preserve">по </w:t>
      </w:r>
      <w:r w:rsidR="003B666B" w:rsidRPr="00A532CC">
        <w:rPr>
          <w:lang w:val="ru-RU"/>
        </w:rPr>
        <w:t>смягчени</w:t>
      </w:r>
      <w:r w:rsidR="005505AC" w:rsidRPr="00A532CC">
        <w:rPr>
          <w:lang w:val="ru-RU"/>
        </w:rPr>
        <w:t>ю</w:t>
      </w:r>
      <w:r w:rsidR="003B666B" w:rsidRPr="00A532CC">
        <w:rPr>
          <w:lang w:val="ru-RU"/>
        </w:rPr>
        <w:t xml:space="preserve"> последствий</w:t>
      </w:r>
      <w:r w:rsidRPr="00A532CC">
        <w:rPr>
          <w:rFonts w:eastAsia="Calibri"/>
          <w:lang w:val="ru-RU"/>
        </w:rPr>
        <w:t xml:space="preserve">, </w:t>
      </w:r>
      <w:r w:rsidR="003B666B" w:rsidRPr="00A532CC">
        <w:rPr>
          <w:rFonts w:eastAsia="Calibri"/>
          <w:lang w:val="ru-RU"/>
        </w:rPr>
        <w:t xml:space="preserve">по-прежнему могут возникать, на локальном или глобальном уровне, непредвиденные </w:t>
      </w:r>
      <w:r w:rsidR="009B4939" w:rsidRPr="00A532CC">
        <w:rPr>
          <w:rFonts w:eastAsia="Calibri"/>
          <w:lang w:val="ru-RU"/>
        </w:rPr>
        <w:t>значительные сбои в</w:t>
      </w:r>
      <w:r w:rsidR="003B666B" w:rsidRPr="00A532CC">
        <w:rPr>
          <w:rFonts w:eastAsia="Calibri"/>
          <w:lang w:val="ru-RU"/>
        </w:rPr>
        <w:t xml:space="preserve"> предоставлени</w:t>
      </w:r>
      <w:r w:rsidR="009B4939" w:rsidRPr="00A532CC">
        <w:rPr>
          <w:rFonts w:eastAsia="Calibri"/>
          <w:lang w:val="ru-RU"/>
        </w:rPr>
        <w:t>и</w:t>
      </w:r>
      <w:r w:rsidR="003B666B" w:rsidRPr="00A532CC">
        <w:rPr>
          <w:rFonts w:eastAsia="Calibri"/>
          <w:lang w:val="ru-RU"/>
        </w:rPr>
        <w:t xml:space="preserve"> продуктов и услуг (виды деятельности)</w:t>
      </w:r>
      <w:r w:rsidRPr="00A532CC">
        <w:rPr>
          <w:rFonts w:eastAsia="Calibri"/>
          <w:lang w:val="ru-RU"/>
        </w:rPr>
        <w:t xml:space="preserve">. </w:t>
      </w:r>
      <w:r w:rsidR="00B80DD1" w:rsidRPr="00A532CC">
        <w:rPr>
          <w:rFonts w:eastAsia="Calibri"/>
          <w:lang w:val="ru-RU"/>
        </w:rPr>
        <w:t xml:space="preserve">Для эффективного управления </w:t>
      </w:r>
      <w:r w:rsidR="009B4939" w:rsidRPr="00A532CC">
        <w:rPr>
          <w:rFonts w:eastAsia="Calibri"/>
          <w:lang w:val="ru-RU"/>
        </w:rPr>
        <w:t>сбоями</w:t>
      </w:r>
      <w:r w:rsidR="00B80DD1" w:rsidRPr="00A532CC">
        <w:rPr>
          <w:rFonts w:eastAsia="Calibri"/>
          <w:lang w:val="ru-RU"/>
        </w:rPr>
        <w:t xml:space="preserve"> необходима </w:t>
      </w:r>
      <w:r w:rsidR="00B80DD1" w:rsidRPr="00A532CC">
        <w:rPr>
          <w:rFonts w:eastAsia="Calibri"/>
          <w:b/>
          <w:bCs/>
          <w:lang w:val="ru-RU"/>
        </w:rPr>
        <w:t xml:space="preserve">политика в области </w:t>
      </w:r>
      <w:r w:rsidR="00B80DD1" w:rsidRPr="00A532CC">
        <w:rPr>
          <w:b/>
          <w:bCs/>
          <w:lang w:val="ru-RU"/>
        </w:rPr>
        <w:t>обеспечения непрерывности деятельности</w:t>
      </w:r>
      <w:r w:rsidRPr="00A532CC">
        <w:rPr>
          <w:rFonts w:eastAsia="Calibri"/>
          <w:lang w:val="ru-RU"/>
        </w:rPr>
        <w:t>.</w:t>
      </w:r>
    </w:p>
    <w:p w14:paraId="0D6016DC" w14:textId="290E2FE1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lang w:val="ru-RU"/>
        </w:rPr>
        <w:t>2.4</w:t>
      </w:r>
      <w:r w:rsidRPr="00A532CC">
        <w:rPr>
          <w:lang w:val="ru-RU"/>
        </w:rPr>
        <w:tab/>
      </w:r>
      <w:r w:rsidR="00B80DD1" w:rsidRPr="00A532CC">
        <w:rPr>
          <w:lang w:val="ru-RU"/>
        </w:rPr>
        <w:t xml:space="preserve">Вследствие этого в рамках </w:t>
      </w:r>
      <w:r w:rsidRPr="00A532CC">
        <w:rPr>
          <w:lang w:val="ru-RU"/>
        </w:rPr>
        <w:t xml:space="preserve">ORMS </w:t>
      </w:r>
      <w:r w:rsidR="00B80DD1" w:rsidRPr="00A532CC">
        <w:rPr>
          <w:lang w:val="ru-RU"/>
        </w:rPr>
        <w:t>проводились оценки деловых рисков и использовалась общая модель</w:t>
      </w:r>
      <w:r w:rsidR="00DC261C" w:rsidRPr="00A532CC">
        <w:rPr>
          <w:lang w:val="ru-RU"/>
        </w:rPr>
        <w:t>, базирующаяся</w:t>
      </w:r>
      <w:r w:rsidR="00B80DD1" w:rsidRPr="00A532CC">
        <w:rPr>
          <w:lang w:val="ru-RU"/>
        </w:rPr>
        <w:t xml:space="preserve"> на политик</w:t>
      </w:r>
      <w:r w:rsidR="00DC261C" w:rsidRPr="00A532CC">
        <w:rPr>
          <w:lang w:val="ru-RU"/>
        </w:rPr>
        <w:t>е</w:t>
      </w:r>
      <w:r w:rsidR="00B80DD1" w:rsidRPr="00A532CC">
        <w:rPr>
          <w:lang w:val="ru-RU"/>
        </w:rPr>
        <w:t xml:space="preserve"> МСЭ по управлению рисками, для того чтобы обеспечить</w:t>
      </w:r>
      <w:r w:rsidRPr="00A532CC">
        <w:rPr>
          <w:lang w:val="ru-RU"/>
        </w:rPr>
        <w:t xml:space="preserve"> </w:t>
      </w:r>
      <w:r w:rsidR="00B80DD1" w:rsidRPr="00A532CC">
        <w:rPr>
          <w:lang w:val="ru-RU"/>
        </w:rPr>
        <w:t>управление структурными рисками и организационную жизнеспособность</w:t>
      </w:r>
      <w:r w:rsidRPr="00A532CC">
        <w:rPr>
          <w:lang w:val="ru-RU"/>
        </w:rPr>
        <w:t xml:space="preserve">, </w:t>
      </w:r>
      <w:r w:rsidR="00DC261C" w:rsidRPr="00A532CC">
        <w:rPr>
          <w:lang w:val="ru-RU"/>
        </w:rPr>
        <w:t>на основе девяти различных категорий рисков</w:t>
      </w:r>
      <w:r w:rsidRPr="00A532CC">
        <w:rPr>
          <w:lang w:val="ru-RU"/>
        </w:rPr>
        <w:t xml:space="preserve"> (</w:t>
      </w:r>
      <w:r w:rsidR="00295BE7" w:rsidRPr="00A532CC">
        <w:rPr>
          <w:lang w:val="ru-RU"/>
        </w:rPr>
        <w:t>окружающая среда</w:t>
      </w:r>
      <w:r w:rsidR="003E446E" w:rsidRPr="00A532CC">
        <w:rPr>
          <w:lang w:val="ru-RU"/>
        </w:rPr>
        <w:t xml:space="preserve"> – </w:t>
      </w:r>
      <w:r w:rsidR="00EB6D43" w:rsidRPr="00A532CC">
        <w:rPr>
          <w:lang w:val="ru-RU"/>
        </w:rPr>
        <w:t>антропогенный</w:t>
      </w:r>
      <w:r w:rsidR="003E446E" w:rsidRPr="00A532CC">
        <w:rPr>
          <w:lang w:val="ru-RU"/>
        </w:rPr>
        <w:t xml:space="preserve"> фактор</w:t>
      </w:r>
      <w:r w:rsidRPr="00A532CC">
        <w:rPr>
          <w:lang w:val="ru-RU"/>
        </w:rPr>
        <w:t xml:space="preserve">, </w:t>
      </w:r>
      <w:r w:rsidR="003E446E" w:rsidRPr="00A532CC">
        <w:rPr>
          <w:lang w:val="ru-RU"/>
        </w:rPr>
        <w:t>инфраструктура –</w:t>
      </w:r>
      <w:r w:rsidR="00295BE7" w:rsidRPr="00A532CC">
        <w:rPr>
          <w:lang w:val="ru-RU"/>
        </w:rPr>
        <w:t xml:space="preserve"> цифрово</w:t>
      </w:r>
      <w:r w:rsidR="009B4939" w:rsidRPr="00A532CC">
        <w:rPr>
          <w:lang w:val="ru-RU"/>
        </w:rPr>
        <w:t>й сбой</w:t>
      </w:r>
      <w:r w:rsidRPr="00A532CC">
        <w:rPr>
          <w:lang w:val="ru-RU"/>
        </w:rPr>
        <w:t xml:space="preserve">, </w:t>
      </w:r>
      <w:r w:rsidR="00DC261C" w:rsidRPr="00A532CC">
        <w:rPr>
          <w:lang w:val="ru-RU"/>
        </w:rPr>
        <w:t>людские ресурсы</w:t>
      </w:r>
      <w:r w:rsidRPr="00A532CC">
        <w:rPr>
          <w:lang w:val="ru-RU"/>
        </w:rPr>
        <w:t xml:space="preserve">, </w:t>
      </w:r>
      <w:r w:rsidR="003E446E" w:rsidRPr="00A532CC">
        <w:rPr>
          <w:lang w:val="ru-RU"/>
        </w:rPr>
        <w:t>организация – </w:t>
      </w:r>
      <w:r w:rsidR="009B4939" w:rsidRPr="00A532CC">
        <w:rPr>
          <w:lang w:val="ru-RU"/>
        </w:rPr>
        <w:t>сбой в обеспечении</w:t>
      </w:r>
      <w:r w:rsidR="00295BE7" w:rsidRPr="00A532CC">
        <w:rPr>
          <w:lang w:val="ru-RU"/>
        </w:rPr>
        <w:t xml:space="preserve"> мероприяти</w:t>
      </w:r>
      <w:r w:rsidR="003E446E" w:rsidRPr="00A532CC">
        <w:rPr>
          <w:lang w:val="ru-RU"/>
        </w:rPr>
        <w:t>я</w:t>
      </w:r>
      <w:r w:rsidRPr="00A532CC">
        <w:rPr>
          <w:lang w:val="ru-RU"/>
        </w:rPr>
        <w:t xml:space="preserve">, </w:t>
      </w:r>
      <w:r w:rsidR="00DC261C" w:rsidRPr="00A532CC">
        <w:rPr>
          <w:lang w:val="ru-RU"/>
        </w:rPr>
        <w:t>финансы</w:t>
      </w:r>
      <w:r w:rsidRPr="00A532CC">
        <w:rPr>
          <w:lang w:val="ru-RU"/>
        </w:rPr>
        <w:t xml:space="preserve">, </w:t>
      </w:r>
      <w:r w:rsidR="003E446E" w:rsidRPr="00A532CC">
        <w:rPr>
          <w:lang w:val="ru-RU"/>
        </w:rPr>
        <w:t>инфраструктура – физическ</w:t>
      </w:r>
      <w:r w:rsidR="009B4939" w:rsidRPr="00A532CC">
        <w:rPr>
          <w:lang w:val="ru-RU"/>
        </w:rPr>
        <w:t>ий сбой</w:t>
      </w:r>
      <w:r w:rsidR="003E446E" w:rsidRPr="00A532CC">
        <w:rPr>
          <w:lang w:val="ru-RU"/>
        </w:rPr>
        <w:t>,</w:t>
      </w:r>
      <w:r w:rsidRPr="00A532CC">
        <w:rPr>
          <w:lang w:val="ru-RU"/>
        </w:rPr>
        <w:t xml:space="preserve"> </w:t>
      </w:r>
      <w:r w:rsidR="00DC261C" w:rsidRPr="00A532CC">
        <w:rPr>
          <w:lang w:val="ru-RU"/>
        </w:rPr>
        <w:t>заинтересованные стороны/партнеры</w:t>
      </w:r>
      <w:r w:rsidRPr="00A532CC">
        <w:rPr>
          <w:lang w:val="ru-RU"/>
        </w:rPr>
        <w:t xml:space="preserve">, </w:t>
      </w:r>
      <w:r w:rsidR="003E446E" w:rsidRPr="00A532CC">
        <w:rPr>
          <w:lang w:val="ru-RU"/>
        </w:rPr>
        <w:t>организация – служебные помещения и материально-техническое обеспечение</w:t>
      </w:r>
      <w:r w:rsidRPr="00A532CC">
        <w:rPr>
          <w:lang w:val="ru-RU"/>
        </w:rPr>
        <w:t xml:space="preserve">, </w:t>
      </w:r>
      <w:r w:rsidR="00295BE7" w:rsidRPr="00A532CC">
        <w:rPr>
          <w:lang w:val="ru-RU"/>
        </w:rPr>
        <w:t>окружающая среда</w:t>
      </w:r>
      <w:r w:rsidR="003E446E" w:rsidRPr="00A532CC">
        <w:rPr>
          <w:lang w:val="ru-RU"/>
        </w:rPr>
        <w:t xml:space="preserve"> – </w:t>
      </w:r>
      <w:r w:rsidR="00295BE7" w:rsidRPr="00A532CC">
        <w:rPr>
          <w:lang w:val="ru-RU"/>
        </w:rPr>
        <w:t>природный</w:t>
      </w:r>
      <w:r w:rsidR="003E446E" w:rsidRPr="00A532CC">
        <w:rPr>
          <w:lang w:val="ru-RU"/>
        </w:rPr>
        <w:t xml:space="preserve"> фактор</w:t>
      </w:r>
      <w:r w:rsidRPr="00A532CC">
        <w:rPr>
          <w:lang w:val="ru-RU"/>
        </w:rPr>
        <w:t>)</w:t>
      </w:r>
      <w:r w:rsidR="00DC261C" w:rsidRPr="00A532CC">
        <w:rPr>
          <w:lang w:val="ru-RU"/>
        </w:rPr>
        <w:t xml:space="preserve">, которые включают возможные показатели, такие как </w:t>
      </w:r>
      <w:r w:rsidR="009B4939" w:rsidRPr="00A532CC">
        <w:rPr>
          <w:lang w:val="ru-RU"/>
        </w:rPr>
        <w:t>сбой</w:t>
      </w:r>
      <w:r w:rsidR="00DC261C" w:rsidRPr="00A532CC">
        <w:rPr>
          <w:lang w:val="ru-RU"/>
        </w:rPr>
        <w:t>, причина, воздействие и смягчение последствий</w:t>
      </w:r>
      <w:r w:rsidRPr="00A532CC">
        <w:rPr>
          <w:lang w:val="ru-RU"/>
        </w:rPr>
        <w:t xml:space="preserve">. </w:t>
      </w:r>
      <w:r w:rsidR="003E446E" w:rsidRPr="00A532CC">
        <w:rPr>
          <w:lang w:val="ru-RU"/>
        </w:rPr>
        <w:t>С ис</w:t>
      </w:r>
      <w:r w:rsidR="00AE33A9" w:rsidRPr="00A532CC">
        <w:rPr>
          <w:lang w:val="ru-RU"/>
        </w:rPr>
        <w:t>по</w:t>
      </w:r>
      <w:r w:rsidR="003E446E" w:rsidRPr="00A532CC">
        <w:rPr>
          <w:lang w:val="ru-RU"/>
        </w:rPr>
        <w:t xml:space="preserve">льзованием этой методики был проведен стратегический анализ последствий для деятельности </w:t>
      </w:r>
      <w:r w:rsidRPr="00A532CC">
        <w:rPr>
          <w:rFonts w:eastAsia="Calibri"/>
          <w:lang w:val="ru-RU"/>
        </w:rPr>
        <w:t>(SBIA)</w:t>
      </w:r>
      <w:r w:rsidR="003E446E" w:rsidRPr="00A532CC">
        <w:rPr>
          <w:rFonts w:eastAsia="Calibri"/>
          <w:lang w:val="ru-RU"/>
        </w:rPr>
        <w:t xml:space="preserve">, </w:t>
      </w:r>
      <w:r w:rsidR="005E2046" w:rsidRPr="00A532CC">
        <w:rPr>
          <w:rFonts w:eastAsia="Calibri"/>
          <w:lang w:val="ru-RU"/>
        </w:rPr>
        <w:t>с тем</w:t>
      </w:r>
      <w:r w:rsidR="003E446E" w:rsidRPr="00A532CC">
        <w:rPr>
          <w:rFonts w:eastAsia="Calibri"/>
          <w:lang w:val="ru-RU"/>
        </w:rPr>
        <w:t xml:space="preserve"> чтобы проанализировать виды деятельности и </w:t>
      </w:r>
      <w:r w:rsidR="00E844AE" w:rsidRPr="00A532CC">
        <w:rPr>
          <w:rFonts w:eastAsia="Calibri"/>
          <w:lang w:val="ru-RU"/>
        </w:rPr>
        <w:t xml:space="preserve">воздействие, которое может оказать </w:t>
      </w:r>
      <w:r w:rsidR="00DF7F02" w:rsidRPr="00A532CC">
        <w:rPr>
          <w:rFonts w:eastAsia="Calibri"/>
          <w:lang w:val="ru-RU"/>
        </w:rPr>
        <w:t>сбой</w:t>
      </w:r>
      <w:r w:rsidR="00E844AE" w:rsidRPr="00A532CC">
        <w:rPr>
          <w:rFonts w:eastAsia="Calibri"/>
          <w:lang w:val="ru-RU"/>
        </w:rPr>
        <w:t xml:space="preserve"> </w:t>
      </w:r>
      <w:r w:rsidR="005E2046" w:rsidRPr="00A532CC">
        <w:rPr>
          <w:rFonts w:eastAsia="Calibri"/>
          <w:lang w:val="ru-RU"/>
        </w:rPr>
        <w:t xml:space="preserve">в </w:t>
      </w:r>
      <w:r w:rsidR="00E844AE" w:rsidRPr="00A532CC">
        <w:rPr>
          <w:rFonts w:eastAsia="Calibri"/>
          <w:lang w:val="ru-RU"/>
        </w:rPr>
        <w:t>деятельности на организацию, а также время восстановления, необходимое для возобновления нормальной деятельности</w:t>
      </w:r>
      <w:r w:rsidRPr="00A532CC">
        <w:rPr>
          <w:rFonts w:eastAsia="Calibri"/>
          <w:lang w:val="ru-RU"/>
        </w:rPr>
        <w:t>.</w:t>
      </w:r>
    </w:p>
    <w:p w14:paraId="3A59B2EA" w14:textId="78A65767" w:rsidR="001240B4" w:rsidRPr="00A532CC" w:rsidRDefault="001240B4" w:rsidP="00014BDF">
      <w:pPr>
        <w:pStyle w:val="Heading1"/>
        <w:rPr>
          <w:lang w:val="ru-RU"/>
        </w:rPr>
      </w:pPr>
      <w:r w:rsidRPr="00A532CC">
        <w:rPr>
          <w:lang w:val="ru-RU"/>
        </w:rPr>
        <w:t>3</w:t>
      </w:r>
      <w:r w:rsidRPr="00A532CC">
        <w:rPr>
          <w:lang w:val="ru-RU"/>
        </w:rPr>
        <w:tab/>
      </w:r>
      <w:r w:rsidR="00E844AE" w:rsidRPr="00A532CC">
        <w:rPr>
          <w:lang w:val="ru-RU"/>
        </w:rPr>
        <w:t>Области инвестирования</w:t>
      </w:r>
    </w:p>
    <w:p w14:paraId="1E318F4E" w14:textId="5C22AF3E" w:rsidR="001240B4" w:rsidRPr="00A532CC" w:rsidRDefault="001240B4" w:rsidP="00014BDF">
      <w:pPr>
        <w:rPr>
          <w:lang w:val="ru-RU"/>
        </w:rPr>
      </w:pPr>
      <w:r w:rsidRPr="00A532CC">
        <w:rPr>
          <w:lang w:val="ru-RU"/>
        </w:rPr>
        <w:t>3.1</w:t>
      </w:r>
      <w:r w:rsidRPr="00A532CC">
        <w:rPr>
          <w:lang w:val="ru-RU"/>
        </w:rPr>
        <w:tab/>
      </w:r>
      <w:r w:rsidR="00E844AE" w:rsidRPr="00A532CC">
        <w:rPr>
          <w:u w:val="single"/>
          <w:lang w:val="ru-RU"/>
        </w:rPr>
        <w:t>Управление информацией и записями</w:t>
      </w:r>
    </w:p>
    <w:p w14:paraId="6E536412" w14:textId="433A1650" w:rsidR="001240B4" w:rsidRPr="00A532CC" w:rsidRDefault="001240B4" w:rsidP="00014BDF">
      <w:pPr>
        <w:rPr>
          <w:rFonts w:eastAsiaTheme="minorEastAsia"/>
          <w:lang w:val="ru-RU"/>
        </w:rPr>
      </w:pPr>
      <w:r w:rsidRPr="00A532CC">
        <w:rPr>
          <w:rFonts w:eastAsia="Calibri"/>
          <w:lang w:val="ru-RU"/>
        </w:rPr>
        <w:t>3.1.1</w:t>
      </w:r>
      <w:r w:rsidRPr="00A532CC">
        <w:rPr>
          <w:rFonts w:eastAsia="Calibri"/>
          <w:lang w:val="ru-RU"/>
        </w:rPr>
        <w:tab/>
      </w:r>
      <w:r w:rsidR="00E844AE" w:rsidRPr="00A532CC">
        <w:rPr>
          <w:rFonts w:eastAsia="Calibri"/>
          <w:lang w:val="ru-RU"/>
        </w:rPr>
        <w:t>В основе всех видов деятельности МСЭ лежат информация и данные</w:t>
      </w:r>
      <w:r w:rsidRPr="00A532CC">
        <w:rPr>
          <w:rFonts w:eastAsiaTheme="minorEastAsia"/>
          <w:lang w:val="ru-RU"/>
        </w:rPr>
        <w:t xml:space="preserve">. </w:t>
      </w:r>
      <w:r w:rsidR="0001081F" w:rsidRPr="00A532CC">
        <w:rPr>
          <w:rFonts w:eastAsiaTheme="minorEastAsia"/>
          <w:lang w:val="ru-RU"/>
        </w:rPr>
        <w:t xml:space="preserve">МСЭ всегда признавал ценность своей информации и принимал меры </w:t>
      </w:r>
      <w:r w:rsidR="00B809DE" w:rsidRPr="00A532CC">
        <w:rPr>
          <w:rFonts w:eastAsiaTheme="minorEastAsia"/>
          <w:lang w:val="ru-RU"/>
        </w:rPr>
        <w:t>к</w:t>
      </w:r>
      <w:r w:rsidR="0001081F" w:rsidRPr="00A532CC">
        <w:rPr>
          <w:rFonts w:eastAsiaTheme="minorEastAsia"/>
          <w:lang w:val="ru-RU"/>
        </w:rPr>
        <w:t xml:space="preserve"> обеспечени</w:t>
      </w:r>
      <w:r w:rsidR="00B809DE" w:rsidRPr="00A532CC">
        <w:rPr>
          <w:rFonts w:eastAsiaTheme="minorEastAsia"/>
          <w:lang w:val="ru-RU"/>
        </w:rPr>
        <w:t>ю</w:t>
      </w:r>
      <w:r w:rsidR="0001081F" w:rsidRPr="00A532CC">
        <w:rPr>
          <w:rFonts w:eastAsiaTheme="minorEastAsia"/>
          <w:lang w:val="ru-RU"/>
        </w:rPr>
        <w:t xml:space="preserve"> безопасного хранения информации, ее доступности </w:t>
      </w:r>
      <w:r w:rsidR="00B809DE" w:rsidRPr="00A532CC">
        <w:rPr>
          <w:rFonts w:eastAsiaTheme="minorEastAsia"/>
          <w:lang w:val="ru-RU"/>
        </w:rPr>
        <w:t>и полной пригодности для использования</w:t>
      </w:r>
      <w:r w:rsidRPr="00A532CC">
        <w:rPr>
          <w:rFonts w:eastAsiaTheme="minorEastAsia"/>
          <w:lang w:val="ru-RU"/>
        </w:rPr>
        <w:t>.</w:t>
      </w:r>
    </w:p>
    <w:p w14:paraId="10330459" w14:textId="6F645A9A" w:rsidR="001240B4" w:rsidRPr="00A532CC" w:rsidRDefault="001240B4" w:rsidP="00014BDF">
      <w:pPr>
        <w:rPr>
          <w:rFonts w:eastAsia="Calibri"/>
          <w:spacing w:val="-2"/>
          <w:lang w:val="ru-RU"/>
        </w:rPr>
      </w:pPr>
      <w:r w:rsidRPr="00A532CC">
        <w:rPr>
          <w:rFonts w:eastAsia="Calibri"/>
          <w:lang w:val="ru-RU"/>
        </w:rPr>
        <w:t>3.1.2</w:t>
      </w:r>
      <w:r w:rsidRPr="00A532CC">
        <w:rPr>
          <w:rFonts w:eastAsia="Calibri"/>
          <w:lang w:val="ru-RU"/>
        </w:rPr>
        <w:tab/>
      </w:r>
      <w:r w:rsidR="0045132F" w:rsidRPr="00A532CC">
        <w:rPr>
          <w:rFonts w:eastAsia="Calibri"/>
          <w:lang w:val="ru-RU"/>
        </w:rPr>
        <w:t>В настоящее время способность МСЭ продолжать эффективно управлять своей информацией и использовать ее находится под угрозой</w:t>
      </w:r>
      <w:r w:rsidRPr="00A532CC">
        <w:rPr>
          <w:rFonts w:eastAsia="Calibri"/>
          <w:lang w:val="ru-RU"/>
        </w:rPr>
        <w:t xml:space="preserve">, </w:t>
      </w:r>
      <w:r w:rsidR="0045132F" w:rsidRPr="00A532CC">
        <w:rPr>
          <w:rFonts w:eastAsia="Calibri"/>
          <w:lang w:val="ru-RU"/>
        </w:rPr>
        <w:t xml:space="preserve">частично вследствие кризисных ситуаций, подобных </w:t>
      </w:r>
      <w:r w:rsidR="0045132F" w:rsidRPr="00A532CC">
        <w:rPr>
          <w:rFonts w:eastAsia="Calibri"/>
          <w:lang w:val="ru-RU"/>
        </w:rPr>
        <w:lastRenderedPageBreak/>
        <w:t>нынешне</w:t>
      </w:r>
      <w:r w:rsidR="00C76B54" w:rsidRPr="00A532CC">
        <w:rPr>
          <w:rFonts w:eastAsia="Calibri"/>
          <w:lang w:val="ru-RU"/>
        </w:rPr>
        <w:t>й пандемии</w:t>
      </w:r>
      <w:r w:rsidRPr="00A532CC">
        <w:rPr>
          <w:rFonts w:eastAsia="Calibri"/>
          <w:lang w:val="ru-RU"/>
        </w:rPr>
        <w:t xml:space="preserve"> Covid-19</w:t>
      </w:r>
      <w:r w:rsidR="00C76B54" w:rsidRPr="00A532CC">
        <w:rPr>
          <w:rFonts w:eastAsia="Calibri"/>
          <w:lang w:val="ru-RU"/>
        </w:rPr>
        <w:t>, и эта угроза обусловлена одновременными и значительными изменениями деловой среды МСЭ</w:t>
      </w:r>
      <w:r w:rsidRPr="00A532CC">
        <w:rPr>
          <w:rFonts w:eastAsia="Calibri"/>
          <w:lang w:val="ru-RU"/>
        </w:rPr>
        <w:t xml:space="preserve">, </w:t>
      </w:r>
      <w:r w:rsidR="00C76B54" w:rsidRPr="00A532CC">
        <w:rPr>
          <w:rFonts w:eastAsia="Calibri"/>
          <w:lang w:val="ru-RU"/>
        </w:rPr>
        <w:t>потребностей и ожиданий внутренних и внешних пользователей</w:t>
      </w:r>
      <w:r w:rsidRPr="00A532CC">
        <w:rPr>
          <w:rFonts w:eastAsia="Calibri"/>
          <w:lang w:val="ru-RU"/>
        </w:rPr>
        <w:t>,</w:t>
      </w:r>
      <w:r w:rsidR="00C76B54" w:rsidRPr="00A532CC">
        <w:rPr>
          <w:rFonts w:eastAsia="Calibri"/>
          <w:lang w:val="ru-RU"/>
        </w:rPr>
        <w:t xml:space="preserve"> а также стремительным развитием технологий</w:t>
      </w:r>
      <w:r w:rsidRPr="00A532CC">
        <w:rPr>
          <w:rFonts w:eastAsia="Calibri"/>
          <w:lang w:val="ru-RU"/>
        </w:rPr>
        <w:t xml:space="preserve">. </w:t>
      </w:r>
      <w:r w:rsidR="0052315F" w:rsidRPr="00A532CC">
        <w:rPr>
          <w:rFonts w:eastAsia="Calibri"/>
          <w:lang w:val="ru-RU"/>
        </w:rPr>
        <w:t xml:space="preserve">По мере </w:t>
      </w:r>
      <w:r w:rsidR="005E2046" w:rsidRPr="00A532CC">
        <w:rPr>
          <w:rFonts w:eastAsia="Calibri"/>
          <w:lang w:val="ru-RU"/>
        </w:rPr>
        <w:t>перемещения МСЭ в</w:t>
      </w:r>
      <w:r w:rsidR="0052315F" w:rsidRPr="00A532CC">
        <w:rPr>
          <w:rFonts w:eastAsia="Calibri"/>
          <w:lang w:val="ru-RU"/>
        </w:rPr>
        <w:t xml:space="preserve"> ново</w:t>
      </w:r>
      <w:r w:rsidR="005E2046" w:rsidRPr="00A532CC">
        <w:rPr>
          <w:rFonts w:eastAsia="Calibri"/>
          <w:lang w:val="ru-RU"/>
        </w:rPr>
        <w:t>е</w:t>
      </w:r>
      <w:r w:rsidR="0052315F" w:rsidRPr="00A532CC">
        <w:rPr>
          <w:rFonts w:eastAsia="Calibri"/>
          <w:lang w:val="ru-RU"/>
        </w:rPr>
        <w:t xml:space="preserve"> здани</w:t>
      </w:r>
      <w:r w:rsidR="005E2046" w:rsidRPr="00A532CC">
        <w:rPr>
          <w:rFonts w:eastAsia="Calibri"/>
          <w:lang w:val="ru-RU"/>
        </w:rPr>
        <w:t>е</w:t>
      </w:r>
      <w:r w:rsidR="0052315F" w:rsidRPr="00A532CC">
        <w:rPr>
          <w:rFonts w:eastAsia="Calibri"/>
          <w:lang w:val="ru-RU"/>
        </w:rPr>
        <w:t xml:space="preserve"> </w:t>
      </w:r>
      <w:r w:rsidR="000B5667" w:rsidRPr="00A532CC">
        <w:rPr>
          <w:rFonts w:eastAsia="Calibri"/>
          <w:lang w:val="ru-RU"/>
        </w:rPr>
        <w:t xml:space="preserve">все более острой </w:t>
      </w:r>
      <w:r w:rsidR="0052315F" w:rsidRPr="00A532CC">
        <w:rPr>
          <w:rFonts w:eastAsia="Calibri"/>
          <w:lang w:val="ru-RU"/>
        </w:rPr>
        <w:t>становится потребность в гибких и безбумажных рабочих процедурах</w:t>
      </w:r>
      <w:r w:rsidRPr="00A532CC">
        <w:rPr>
          <w:rFonts w:eastAsia="Calibri"/>
          <w:lang w:val="ru-RU"/>
        </w:rPr>
        <w:t xml:space="preserve">, </w:t>
      </w:r>
      <w:r w:rsidR="000B5667" w:rsidRPr="00A532CC">
        <w:rPr>
          <w:rFonts w:eastAsia="Calibri"/>
          <w:lang w:val="ru-RU"/>
        </w:rPr>
        <w:t>но,</w:t>
      </w:r>
      <w:r w:rsidR="0052315F" w:rsidRPr="00A532CC">
        <w:rPr>
          <w:rFonts w:eastAsia="Calibri"/>
          <w:lang w:val="ru-RU"/>
        </w:rPr>
        <w:t xml:space="preserve"> притом что МСЭ внедряет электронные методы работы на протяжении многих лет, большое число процессов, как показал теперешний кризис, </w:t>
      </w:r>
      <w:r w:rsidR="005E2046" w:rsidRPr="00A532CC">
        <w:rPr>
          <w:rFonts w:eastAsia="Calibri"/>
          <w:lang w:val="ru-RU"/>
        </w:rPr>
        <w:t xml:space="preserve">еще </w:t>
      </w:r>
      <w:r w:rsidR="0052315F" w:rsidRPr="00A532CC">
        <w:rPr>
          <w:rFonts w:eastAsia="Calibri"/>
          <w:lang w:val="ru-RU"/>
        </w:rPr>
        <w:t xml:space="preserve">не </w:t>
      </w:r>
      <w:r w:rsidR="005E2046" w:rsidRPr="00A532CC">
        <w:rPr>
          <w:rFonts w:eastAsia="Calibri"/>
          <w:lang w:val="ru-RU"/>
        </w:rPr>
        <w:t>стали</w:t>
      </w:r>
      <w:r w:rsidR="0052315F" w:rsidRPr="00A532CC">
        <w:rPr>
          <w:rFonts w:eastAsia="Calibri"/>
          <w:lang w:val="ru-RU"/>
        </w:rPr>
        <w:t xml:space="preserve"> полностью цифровыми</w:t>
      </w:r>
      <w:r w:rsidRPr="00A532CC">
        <w:rPr>
          <w:rFonts w:eastAsia="Calibri"/>
          <w:lang w:val="ru-RU"/>
        </w:rPr>
        <w:t xml:space="preserve">. </w:t>
      </w:r>
      <w:r w:rsidR="0052315F" w:rsidRPr="00A532CC">
        <w:rPr>
          <w:rFonts w:eastAsia="Calibri"/>
          <w:lang w:val="ru-RU"/>
        </w:rPr>
        <w:t>Необходимо, чтобы персонал, члены и другие заинтересованные стороны МСЭ получали и использовали информацию в онлайновом режиме, из многих источников, в реально</w:t>
      </w:r>
      <w:r w:rsidR="005E2046" w:rsidRPr="00A532CC">
        <w:rPr>
          <w:rFonts w:eastAsia="Calibri"/>
          <w:lang w:val="ru-RU"/>
        </w:rPr>
        <w:t>м</w:t>
      </w:r>
      <w:r w:rsidR="0052315F" w:rsidRPr="00A532CC">
        <w:rPr>
          <w:rFonts w:eastAsia="Calibri"/>
          <w:lang w:val="ru-RU"/>
        </w:rPr>
        <w:t xml:space="preserve"> времени и в любо</w:t>
      </w:r>
      <w:r w:rsidR="000B5667" w:rsidRPr="00A532CC">
        <w:rPr>
          <w:rFonts w:eastAsia="Calibri"/>
          <w:lang w:val="ru-RU"/>
        </w:rPr>
        <w:t>й момент</w:t>
      </w:r>
      <w:r w:rsidR="0052315F" w:rsidRPr="00A532CC">
        <w:rPr>
          <w:rFonts w:eastAsia="Calibri"/>
          <w:lang w:val="ru-RU"/>
        </w:rPr>
        <w:t xml:space="preserve"> (круглосуточно и ежедневно</w:t>
      </w:r>
      <w:r w:rsidRPr="00A532CC">
        <w:rPr>
          <w:rFonts w:eastAsia="Calibri"/>
          <w:lang w:val="ru-RU"/>
        </w:rPr>
        <w:t xml:space="preserve">), </w:t>
      </w:r>
      <w:r w:rsidR="000B5667" w:rsidRPr="00A532CC">
        <w:rPr>
          <w:rFonts w:eastAsia="Calibri"/>
          <w:lang w:val="ru-RU"/>
        </w:rPr>
        <w:t>и наряду с этим растет спрос на дополнительные инструменты совместной работы</w:t>
      </w:r>
      <w:r w:rsidRPr="00A532CC">
        <w:rPr>
          <w:rFonts w:eastAsia="Calibri"/>
          <w:lang w:val="ru-RU"/>
        </w:rPr>
        <w:t xml:space="preserve">. </w:t>
      </w:r>
      <w:r w:rsidR="000B5667" w:rsidRPr="00A532CC">
        <w:rPr>
          <w:rFonts w:eastAsia="Calibri"/>
          <w:lang w:val="ru-RU"/>
        </w:rPr>
        <w:t xml:space="preserve">Происходит также </w:t>
      </w:r>
      <w:r w:rsidR="000B5667" w:rsidRPr="00A532CC">
        <w:rPr>
          <w:rFonts w:eastAsia="Calibri"/>
          <w:spacing w:val="-2"/>
          <w:lang w:val="ru-RU"/>
        </w:rPr>
        <w:t>изменение технологической среды, услуги и системы переходят в облако</w:t>
      </w:r>
      <w:r w:rsidRPr="00A532CC">
        <w:rPr>
          <w:rFonts w:eastAsia="Calibri"/>
          <w:spacing w:val="-2"/>
          <w:lang w:val="ru-RU"/>
        </w:rPr>
        <w:t xml:space="preserve">, </w:t>
      </w:r>
      <w:r w:rsidR="000B5667" w:rsidRPr="00A532CC">
        <w:rPr>
          <w:rFonts w:eastAsia="Calibri"/>
          <w:spacing w:val="-2"/>
          <w:lang w:val="ru-RU"/>
        </w:rPr>
        <w:t>аналитические инструменты, машинное обучение и искусственный интеллект открывают возможности исчерпывающего использования данных и информации</w:t>
      </w:r>
      <w:r w:rsidRPr="00A532CC">
        <w:rPr>
          <w:rFonts w:eastAsia="Calibri"/>
          <w:spacing w:val="-2"/>
          <w:lang w:val="ru-RU"/>
        </w:rPr>
        <w:t>.</w:t>
      </w:r>
    </w:p>
    <w:p w14:paraId="103A7CE9" w14:textId="7443CA5F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3.1.3</w:t>
      </w:r>
      <w:r w:rsidRPr="00A532CC">
        <w:rPr>
          <w:rFonts w:eastAsia="Calibri"/>
          <w:lang w:val="ru-RU"/>
        </w:rPr>
        <w:tab/>
      </w:r>
      <w:r w:rsidR="00902B0F" w:rsidRPr="00A532CC">
        <w:rPr>
          <w:rFonts w:eastAsia="Calibri"/>
          <w:lang w:val="ru-RU"/>
        </w:rPr>
        <w:t>Однако системы и услуги, которые удовлетворительно функционировали в МСЭ на протяжении последних двадцати лет, не приспособлены к этим новым требованиям</w:t>
      </w:r>
      <w:r w:rsidRPr="00A532CC">
        <w:rPr>
          <w:rFonts w:eastAsia="Calibri"/>
          <w:lang w:val="ru-RU"/>
        </w:rPr>
        <w:t xml:space="preserve">. </w:t>
      </w:r>
      <w:r w:rsidR="00902B0F" w:rsidRPr="00A532CC">
        <w:rPr>
          <w:rFonts w:eastAsia="Calibri"/>
          <w:lang w:val="ru-RU"/>
        </w:rPr>
        <w:t>В основном это специализированные или заказные системы, которые не совместимы или не полностью совместимы между собой. Зачастую ограничены функциональные возможности и доступ</w:t>
      </w:r>
      <w:r w:rsidRPr="00A532CC">
        <w:rPr>
          <w:rFonts w:eastAsia="Calibri"/>
          <w:lang w:val="ru-RU"/>
        </w:rPr>
        <w:t xml:space="preserve">. </w:t>
      </w:r>
      <w:r w:rsidR="00902B0F" w:rsidRPr="00A532CC">
        <w:rPr>
          <w:rFonts w:eastAsia="Calibri"/>
          <w:lang w:val="ru-RU"/>
        </w:rPr>
        <w:t>Информация разрознена, вследствие чего сложно ее объединять, обрабатывать или использовать для иных целей. Инструменты поиска</w:t>
      </w:r>
      <w:r w:rsidRPr="00A532CC">
        <w:rPr>
          <w:rFonts w:eastAsia="Calibri"/>
          <w:lang w:val="ru-RU"/>
        </w:rPr>
        <w:t xml:space="preserve"> </w:t>
      </w:r>
      <w:r w:rsidR="00902B0F" w:rsidRPr="00A532CC">
        <w:rPr>
          <w:rFonts w:eastAsia="Calibri"/>
          <w:lang w:val="ru-RU"/>
        </w:rPr>
        <w:t>не охватывают все места хранения информации</w:t>
      </w:r>
      <w:r w:rsidRPr="00A532CC">
        <w:rPr>
          <w:rFonts w:eastAsia="Calibri"/>
          <w:lang w:val="ru-RU"/>
        </w:rPr>
        <w:t xml:space="preserve">. </w:t>
      </w:r>
      <w:r w:rsidR="00902B0F" w:rsidRPr="00A532CC">
        <w:rPr>
          <w:rFonts w:eastAsia="Calibri"/>
          <w:lang w:val="ru-RU"/>
        </w:rPr>
        <w:t>Важ</w:t>
      </w:r>
      <w:r w:rsidR="00FD06DA" w:rsidRPr="00A532CC">
        <w:rPr>
          <w:rFonts w:eastAsia="Calibri"/>
          <w:lang w:val="ru-RU"/>
        </w:rPr>
        <w:t>нейший для деятельности контент находится за пределами крупных структурированных систем управления МСЭ</w:t>
      </w:r>
      <w:r w:rsidRPr="00A532CC">
        <w:rPr>
          <w:rFonts w:eastAsia="Calibri"/>
          <w:lang w:val="ru-RU"/>
        </w:rPr>
        <w:t xml:space="preserve">, </w:t>
      </w:r>
      <w:r w:rsidR="00FD06DA" w:rsidRPr="00A532CC">
        <w:rPr>
          <w:rFonts w:eastAsia="Calibri"/>
          <w:lang w:val="ru-RU"/>
        </w:rPr>
        <w:t>хранится в ящиках электронной почты, личных архивах электронной почты, на локальных жестких дисках и съемных носителях</w:t>
      </w:r>
      <w:r w:rsidRPr="00A532CC">
        <w:rPr>
          <w:rFonts w:eastAsia="Calibri"/>
          <w:lang w:val="ru-RU"/>
        </w:rPr>
        <w:t xml:space="preserve">, </w:t>
      </w:r>
      <w:r w:rsidR="00FD06DA" w:rsidRPr="00A532CC">
        <w:rPr>
          <w:rFonts w:eastAsia="Calibri"/>
          <w:lang w:val="ru-RU"/>
        </w:rPr>
        <w:t>в облаке, на серверах и на неуправляемых сетевых накопителях</w:t>
      </w:r>
      <w:r w:rsidRPr="00A532CC">
        <w:rPr>
          <w:rFonts w:eastAsia="Calibri"/>
          <w:lang w:val="ru-RU"/>
        </w:rPr>
        <w:t>.</w:t>
      </w:r>
    </w:p>
    <w:p w14:paraId="2ED6C16D" w14:textId="17796465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3.1.4</w:t>
      </w:r>
      <w:r w:rsidRPr="00A532CC">
        <w:rPr>
          <w:rFonts w:eastAsia="Calibri"/>
          <w:lang w:val="ru-RU"/>
        </w:rPr>
        <w:tab/>
      </w:r>
      <w:r w:rsidR="00722B87" w:rsidRPr="00A532CC">
        <w:rPr>
          <w:rFonts w:eastAsia="Calibri"/>
          <w:lang w:val="ru-RU"/>
        </w:rPr>
        <w:t xml:space="preserve">Совет на своей сессии </w:t>
      </w:r>
      <w:r w:rsidRPr="00A532CC">
        <w:rPr>
          <w:rFonts w:eastAsia="Calibri"/>
          <w:lang w:val="ru-RU"/>
        </w:rPr>
        <w:t>2019</w:t>
      </w:r>
      <w:r w:rsidR="00722B87" w:rsidRPr="00A532CC">
        <w:rPr>
          <w:rFonts w:eastAsia="Calibri"/>
          <w:lang w:val="ru-RU"/>
        </w:rPr>
        <w:t xml:space="preserve"> года утвердил бюджет, который позволит обеспечить надлежащую защиту и сохранение документов БР </w:t>
      </w:r>
      <w:r w:rsidR="005E2046" w:rsidRPr="00A532CC">
        <w:rPr>
          <w:rFonts w:eastAsia="Calibri"/>
          <w:lang w:val="ru-RU"/>
        </w:rPr>
        <w:t>перед</w:t>
      </w:r>
      <w:r w:rsidR="00722B87" w:rsidRPr="00A532CC">
        <w:rPr>
          <w:rFonts w:eastAsia="Calibri"/>
          <w:lang w:val="ru-RU"/>
        </w:rPr>
        <w:t xml:space="preserve"> снос</w:t>
      </w:r>
      <w:r w:rsidR="005E2046" w:rsidRPr="00A532CC">
        <w:rPr>
          <w:rFonts w:eastAsia="Calibri"/>
          <w:lang w:val="ru-RU"/>
        </w:rPr>
        <w:t>ом</w:t>
      </w:r>
      <w:r w:rsidR="00722B87" w:rsidRPr="00A532CC">
        <w:rPr>
          <w:rFonts w:eastAsia="Calibri"/>
          <w:lang w:val="ru-RU"/>
        </w:rPr>
        <w:t xml:space="preserve"> здани</w:t>
      </w:r>
      <w:r w:rsidR="00BB1125" w:rsidRPr="00A532CC">
        <w:rPr>
          <w:rFonts w:eastAsia="Calibri"/>
          <w:lang w:val="ru-RU"/>
        </w:rPr>
        <w:t>я</w:t>
      </w:r>
      <w:r w:rsidR="00722B87" w:rsidRPr="00A532CC">
        <w:rPr>
          <w:rFonts w:eastAsia="Calibri"/>
          <w:lang w:val="ru-RU"/>
        </w:rPr>
        <w:t xml:space="preserve"> "</w:t>
      </w:r>
      <w:proofErr w:type="spellStart"/>
      <w:r w:rsidR="00722B87" w:rsidRPr="00A532CC">
        <w:rPr>
          <w:rFonts w:eastAsia="Calibri"/>
          <w:lang w:val="ru-RU"/>
        </w:rPr>
        <w:t>Варембе</w:t>
      </w:r>
      <w:proofErr w:type="spellEnd"/>
      <w:r w:rsidR="00722B87" w:rsidRPr="00A532CC">
        <w:rPr>
          <w:rFonts w:eastAsia="Calibri"/>
          <w:lang w:val="ru-RU"/>
        </w:rPr>
        <w:t xml:space="preserve">" и </w:t>
      </w:r>
      <w:r w:rsidR="00BB1125" w:rsidRPr="00A532CC">
        <w:rPr>
          <w:rFonts w:eastAsia="Calibri"/>
          <w:lang w:val="ru-RU"/>
        </w:rPr>
        <w:t>дальнейший доступ к этим документам уполномоченных лиц по мере необходимости</w:t>
      </w:r>
      <w:r w:rsidRPr="00A532CC">
        <w:rPr>
          <w:rFonts w:eastAsia="Calibri"/>
          <w:lang w:val="ru-RU"/>
        </w:rPr>
        <w:t xml:space="preserve">. </w:t>
      </w:r>
      <w:r w:rsidR="00BB1125" w:rsidRPr="00A532CC">
        <w:rPr>
          <w:rFonts w:eastAsia="Calibri"/>
          <w:lang w:val="ru-RU"/>
        </w:rPr>
        <w:t>Следующий шаг заключается в обеспечении персонала МСЭ соответствующими инструментами, инфраструктурой и знаниями, необходимыми для создания и хранения</w:t>
      </w:r>
      <w:r w:rsidRPr="00A532CC">
        <w:rPr>
          <w:rFonts w:eastAsia="Calibri"/>
          <w:lang w:val="ru-RU"/>
        </w:rPr>
        <w:t xml:space="preserve"> </w:t>
      </w:r>
      <w:r w:rsidR="00BB1125" w:rsidRPr="00A532CC">
        <w:rPr>
          <w:rFonts w:eastAsia="Calibri"/>
          <w:lang w:val="ru-RU"/>
        </w:rPr>
        <w:t>информации, управления информацией и получения к ней доступа, для того чтобы продолжать выполнять свою повседневную работу в переходный период строительства и в периоды, когда доступ в здание запрещен или ограничен, как в настоящее время</w:t>
      </w:r>
      <w:r w:rsidRPr="00A532CC">
        <w:rPr>
          <w:rFonts w:eastAsia="Calibri"/>
          <w:lang w:val="ru-RU"/>
        </w:rPr>
        <w:t xml:space="preserve">. </w:t>
      </w:r>
      <w:r w:rsidR="008958B7" w:rsidRPr="00A532CC">
        <w:rPr>
          <w:rFonts w:eastAsia="Calibri"/>
          <w:lang w:val="ru-RU"/>
        </w:rPr>
        <w:t xml:space="preserve">Это требует замены процедур, в которых используется бумага, полностью цифровыми </w:t>
      </w:r>
      <w:r w:rsidR="00CC4101" w:rsidRPr="00A532CC">
        <w:rPr>
          <w:rFonts w:eastAsia="Calibri"/>
          <w:lang w:val="ru-RU"/>
        </w:rPr>
        <w:t xml:space="preserve">рабочими </w:t>
      </w:r>
      <w:r w:rsidR="008958B7" w:rsidRPr="00A532CC">
        <w:rPr>
          <w:rFonts w:eastAsia="Calibri"/>
          <w:lang w:val="ru-RU"/>
        </w:rPr>
        <w:t>процессами</w:t>
      </w:r>
      <w:r w:rsidRPr="00A532CC">
        <w:rPr>
          <w:rFonts w:eastAsia="Calibri"/>
          <w:lang w:val="ru-RU"/>
        </w:rPr>
        <w:t xml:space="preserve">, </w:t>
      </w:r>
      <w:r w:rsidR="00CC4101" w:rsidRPr="00A532CC">
        <w:rPr>
          <w:rFonts w:eastAsia="Calibri"/>
          <w:lang w:val="ru-RU"/>
        </w:rPr>
        <w:t>перехода от устаревших систем на новые решения, которые упрощают сотрудничество, функциональную совместимость и дистанционный доступ</w:t>
      </w:r>
      <w:r w:rsidRPr="00A532CC">
        <w:rPr>
          <w:rFonts w:eastAsia="Calibri"/>
          <w:lang w:val="ru-RU"/>
        </w:rPr>
        <w:t>,</w:t>
      </w:r>
      <w:r w:rsidR="00CC4101" w:rsidRPr="00A532CC">
        <w:rPr>
          <w:rFonts w:eastAsia="Calibri"/>
          <w:lang w:val="ru-RU"/>
        </w:rPr>
        <w:t xml:space="preserve"> а также создания официальных управляемых хранилищ информации, которая в настоящее время рассеяна и зачастую недоступна</w:t>
      </w:r>
      <w:r w:rsidRPr="00A532CC">
        <w:rPr>
          <w:rFonts w:eastAsia="Calibri"/>
          <w:lang w:val="ru-RU"/>
        </w:rPr>
        <w:t>.</w:t>
      </w:r>
    </w:p>
    <w:p w14:paraId="7FC730B6" w14:textId="64585EF1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3.1.5</w:t>
      </w:r>
      <w:r w:rsidRPr="00A532CC">
        <w:rPr>
          <w:rFonts w:eastAsia="Calibri"/>
          <w:lang w:val="ru-RU"/>
        </w:rPr>
        <w:tab/>
      </w:r>
      <w:r w:rsidR="00076729" w:rsidRPr="00A532CC">
        <w:rPr>
          <w:rFonts w:eastAsia="Calibri"/>
          <w:lang w:val="ru-RU"/>
        </w:rPr>
        <w:t>Информационные активы также должны быть защищены от потери, повреждения или несанкционированного раскрытия либо изменения</w:t>
      </w:r>
      <w:r w:rsidRPr="00A532CC">
        <w:rPr>
          <w:rFonts w:eastAsia="Calibri"/>
          <w:lang w:val="ru-RU"/>
        </w:rPr>
        <w:t xml:space="preserve">. </w:t>
      </w:r>
      <w:r w:rsidR="00A03BCC" w:rsidRPr="00A532CC">
        <w:rPr>
          <w:rFonts w:eastAsia="Calibri"/>
          <w:lang w:val="ru-RU"/>
        </w:rPr>
        <w:t>По результатам</w:t>
      </w:r>
      <w:r w:rsidR="00076729" w:rsidRPr="00A532CC">
        <w:rPr>
          <w:rFonts w:eastAsia="Calibri"/>
          <w:lang w:val="ru-RU"/>
        </w:rPr>
        <w:t xml:space="preserve"> недавно завершенного проекта</w:t>
      </w:r>
      <w:r w:rsidRPr="00A532CC">
        <w:rPr>
          <w:rFonts w:eastAsia="Calibri"/>
          <w:lang w:val="ru-RU"/>
        </w:rPr>
        <w:t xml:space="preserve"> ORMS </w:t>
      </w:r>
      <w:r w:rsidR="00076729" w:rsidRPr="00A532CC">
        <w:rPr>
          <w:rFonts w:eastAsia="Calibri"/>
          <w:lang w:val="ru-RU"/>
        </w:rPr>
        <w:t>кибератаки и отказ в обслуживании определены как значительные риски для информации МСЭ и, в частности, для данных, предоставляемых Государствами-Членами</w:t>
      </w:r>
      <w:r w:rsidRPr="00A532CC">
        <w:rPr>
          <w:rFonts w:eastAsia="Calibri"/>
          <w:lang w:val="ru-RU"/>
        </w:rPr>
        <w:t xml:space="preserve">. </w:t>
      </w:r>
      <w:r w:rsidR="00A03BCC" w:rsidRPr="00A532CC">
        <w:rPr>
          <w:rFonts w:eastAsia="Calibri"/>
          <w:lang w:val="ru-RU"/>
        </w:rPr>
        <w:t xml:space="preserve">В рамках проекта </w:t>
      </w:r>
      <w:r w:rsidRPr="00A532CC">
        <w:rPr>
          <w:rFonts w:eastAsia="Calibri"/>
          <w:lang w:val="ru-RU"/>
        </w:rPr>
        <w:t xml:space="preserve">ORMS </w:t>
      </w:r>
      <w:r w:rsidR="00A03BCC" w:rsidRPr="00A532CC">
        <w:rPr>
          <w:rFonts w:eastAsia="Calibri"/>
          <w:lang w:val="ru-RU"/>
        </w:rPr>
        <w:t xml:space="preserve">был проведен </w:t>
      </w:r>
      <w:r w:rsidR="00A03BCC" w:rsidRPr="00A532CC">
        <w:rPr>
          <w:lang w:val="ru-RU"/>
        </w:rPr>
        <w:t xml:space="preserve">стратегический анализ последствий для деятельности, который позволил определить ключевые виды деятельности МСЭ и установить приоритетные виды деятельности, которые </w:t>
      </w:r>
      <w:r w:rsidR="000B5AFF" w:rsidRPr="00A532CC">
        <w:rPr>
          <w:lang w:val="ru-RU"/>
        </w:rPr>
        <w:t xml:space="preserve">в случае значительного сбоя </w:t>
      </w:r>
      <w:r w:rsidR="003117A0" w:rsidRPr="00A532CC">
        <w:rPr>
          <w:lang w:val="ru-RU"/>
        </w:rPr>
        <w:t>подлежат</w:t>
      </w:r>
      <w:r w:rsidR="00A03BCC" w:rsidRPr="00A532CC">
        <w:rPr>
          <w:lang w:val="ru-RU"/>
        </w:rPr>
        <w:t xml:space="preserve"> восстан</w:t>
      </w:r>
      <w:r w:rsidR="003117A0" w:rsidRPr="00A532CC">
        <w:rPr>
          <w:lang w:val="ru-RU"/>
        </w:rPr>
        <w:t>овлению</w:t>
      </w:r>
      <w:r w:rsidR="00A03BCC" w:rsidRPr="00A532CC">
        <w:rPr>
          <w:lang w:val="ru-RU"/>
        </w:rPr>
        <w:t xml:space="preserve"> в первую очередь</w:t>
      </w:r>
      <w:r w:rsidRPr="00A532CC">
        <w:rPr>
          <w:rFonts w:eastAsia="Calibri"/>
          <w:lang w:val="ru-RU"/>
        </w:rPr>
        <w:t xml:space="preserve">. </w:t>
      </w:r>
      <w:r w:rsidR="00A03BCC" w:rsidRPr="00A532CC">
        <w:rPr>
          <w:rFonts w:eastAsia="Calibri"/>
          <w:lang w:val="ru-RU"/>
        </w:rPr>
        <w:t>В большинстве случаев восстановление этих видов деятельности потребует доступа к важнейшей информации</w:t>
      </w:r>
      <w:r w:rsidRPr="00A532CC">
        <w:rPr>
          <w:rFonts w:eastAsia="Calibri"/>
          <w:lang w:val="ru-RU"/>
        </w:rPr>
        <w:t xml:space="preserve">. </w:t>
      </w:r>
      <w:r w:rsidR="003117A0" w:rsidRPr="00A532CC">
        <w:rPr>
          <w:rFonts w:eastAsia="Calibri"/>
          <w:lang w:val="ru-RU"/>
        </w:rPr>
        <w:t>В то же время приоритетное значение приобретают защита данных и конфиденциальность данных, для которых необходимы стратегии, процедуры и системы, обеспечивающие безопасн</w:t>
      </w:r>
      <w:r w:rsidR="00B54452" w:rsidRPr="00A532CC">
        <w:rPr>
          <w:rFonts w:eastAsia="Calibri"/>
          <w:lang w:val="ru-RU"/>
        </w:rPr>
        <w:t>ость процедур</w:t>
      </w:r>
      <w:r w:rsidR="003117A0" w:rsidRPr="00A532CC">
        <w:rPr>
          <w:rFonts w:eastAsia="Calibri"/>
          <w:lang w:val="ru-RU"/>
        </w:rPr>
        <w:t xml:space="preserve"> сбора, хранения и </w:t>
      </w:r>
      <w:r w:rsidR="00B54452" w:rsidRPr="00A532CC">
        <w:rPr>
          <w:rFonts w:eastAsia="Calibri"/>
          <w:lang w:val="ru-RU"/>
        </w:rPr>
        <w:t>обработки информации</w:t>
      </w:r>
      <w:r w:rsidRPr="00A532CC">
        <w:rPr>
          <w:rFonts w:eastAsia="Calibri"/>
          <w:lang w:val="ru-RU"/>
        </w:rPr>
        <w:t xml:space="preserve">. </w:t>
      </w:r>
      <w:r w:rsidR="00B54452" w:rsidRPr="00A532CC">
        <w:rPr>
          <w:rFonts w:eastAsia="Calibri"/>
          <w:lang w:val="ru-RU"/>
        </w:rPr>
        <w:t xml:space="preserve">Для решения этих задач МСЭ необходимо разработать общеорганизационную структуру классификации данных/информации, которая будет включать классификацию информацию на основе как необходимости ее защиты от несанкционированного доступа или раскрытия (конфиденциальность), так и необходимости </w:t>
      </w:r>
      <w:r w:rsidR="00A12F98" w:rsidRPr="00A532CC">
        <w:rPr>
          <w:rFonts w:eastAsia="Calibri"/>
          <w:lang w:val="ru-RU"/>
        </w:rPr>
        <w:t xml:space="preserve">обеспечения </w:t>
      </w:r>
      <w:r w:rsidR="00B54452" w:rsidRPr="00A532CC">
        <w:rPr>
          <w:rFonts w:eastAsia="Calibri"/>
          <w:lang w:val="ru-RU"/>
        </w:rPr>
        <w:t>ее доступности (критичность)</w:t>
      </w:r>
      <w:r w:rsidRPr="00A532CC">
        <w:rPr>
          <w:rFonts w:eastAsia="Calibri"/>
          <w:lang w:val="ru-RU"/>
        </w:rPr>
        <w:t xml:space="preserve">, </w:t>
      </w:r>
      <w:r w:rsidR="00563645" w:rsidRPr="00A532CC">
        <w:rPr>
          <w:rFonts w:eastAsia="Calibri"/>
          <w:lang w:val="ru-RU"/>
        </w:rPr>
        <w:t>а также</w:t>
      </w:r>
      <w:r w:rsidR="00A12F98" w:rsidRPr="00A532CC">
        <w:rPr>
          <w:rFonts w:eastAsia="Calibri"/>
          <w:lang w:val="ru-RU"/>
        </w:rPr>
        <w:t xml:space="preserve"> определение и реализацию требований защиты для каждой категории информации</w:t>
      </w:r>
      <w:r w:rsidRPr="00A532CC">
        <w:rPr>
          <w:rFonts w:eastAsia="Calibri"/>
          <w:lang w:val="ru-RU"/>
        </w:rPr>
        <w:t xml:space="preserve"> (</w:t>
      </w:r>
      <w:r w:rsidR="00A12F98" w:rsidRPr="00A532CC">
        <w:rPr>
          <w:rFonts w:eastAsia="Calibri"/>
          <w:lang w:val="ru-RU"/>
        </w:rPr>
        <w:t>конфиденциальность и критичность</w:t>
      </w:r>
      <w:r w:rsidRPr="00A532CC">
        <w:rPr>
          <w:rFonts w:eastAsia="Calibri"/>
          <w:lang w:val="ru-RU"/>
        </w:rPr>
        <w:t xml:space="preserve">) </w:t>
      </w:r>
      <w:r w:rsidR="00A12F98" w:rsidRPr="00A532CC">
        <w:rPr>
          <w:rFonts w:eastAsia="Calibri"/>
          <w:lang w:val="ru-RU"/>
        </w:rPr>
        <w:t>на протяжении всего жизненного цикла информации</w:t>
      </w:r>
      <w:r w:rsidRPr="00A532CC">
        <w:rPr>
          <w:rFonts w:eastAsia="Calibri"/>
          <w:lang w:val="ru-RU"/>
        </w:rPr>
        <w:t xml:space="preserve"> (</w:t>
      </w:r>
      <w:r w:rsidR="00A12F98" w:rsidRPr="00A532CC">
        <w:rPr>
          <w:rFonts w:eastAsia="Calibri"/>
          <w:lang w:val="ru-RU"/>
        </w:rPr>
        <w:t>создание, хранение, использование и удаление</w:t>
      </w:r>
      <w:r w:rsidRPr="00A532CC">
        <w:rPr>
          <w:rFonts w:eastAsia="Calibri"/>
          <w:lang w:val="ru-RU"/>
        </w:rPr>
        <w:t>).</w:t>
      </w:r>
    </w:p>
    <w:p w14:paraId="17A4A636" w14:textId="2E7E393F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lastRenderedPageBreak/>
        <w:t>3.1.6</w:t>
      </w:r>
      <w:r w:rsidRPr="00A532CC">
        <w:rPr>
          <w:rFonts w:eastAsia="Calibri"/>
          <w:lang w:val="ru-RU"/>
        </w:rPr>
        <w:tab/>
      </w:r>
      <w:r w:rsidR="007652C3" w:rsidRPr="00A532CC">
        <w:rPr>
          <w:rFonts w:eastAsia="Calibri"/>
          <w:lang w:val="ru-RU"/>
        </w:rPr>
        <w:t>Наконец, цифровая трансформация требует электронного архивирования</w:t>
      </w:r>
      <w:r w:rsidRPr="00A532CC">
        <w:rPr>
          <w:rFonts w:eastAsia="Calibri"/>
          <w:lang w:val="ru-RU"/>
        </w:rPr>
        <w:t xml:space="preserve">. </w:t>
      </w:r>
      <w:r w:rsidR="007652C3" w:rsidRPr="00A532CC">
        <w:rPr>
          <w:rFonts w:eastAsia="Calibri"/>
          <w:lang w:val="ru-RU"/>
        </w:rPr>
        <w:t>В отсутствие надлежащего планирования существующая информация может быть легко утрачена навсегда</w:t>
      </w:r>
      <w:r w:rsidRPr="00A532CC">
        <w:rPr>
          <w:rFonts w:eastAsia="Calibri"/>
          <w:lang w:val="ru-RU"/>
        </w:rPr>
        <w:t xml:space="preserve">. </w:t>
      </w:r>
      <w:r w:rsidR="0012490D" w:rsidRPr="00A532CC">
        <w:rPr>
          <w:rFonts w:eastAsia="Calibri"/>
          <w:lang w:val="ru-RU"/>
        </w:rPr>
        <w:t xml:space="preserve">В условиях быстрого развития технологий и их быстрого устаревания МСЭ должен принять </w:t>
      </w:r>
      <w:r w:rsidR="00336BB5" w:rsidRPr="00A532CC">
        <w:rPr>
          <w:rFonts w:eastAsia="Calibri"/>
          <w:lang w:val="ru-RU"/>
        </w:rPr>
        <w:t xml:space="preserve">упреждающие меры для сбора, защиты </w:t>
      </w:r>
      <w:r w:rsidR="00D7314D" w:rsidRPr="00A532CC">
        <w:rPr>
          <w:rFonts w:eastAsia="Calibri"/>
          <w:lang w:val="ru-RU"/>
        </w:rPr>
        <w:t>и длительного хранения</w:t>
      </w:r>
      <w:r w:rsidR="00336BB5" w:rsidRPr="00A532CC">
        <w:rPr>
          <w:rFonts w:eastAsia="Calibri"/>
          <w:lang w:val="ru-RU"/>
        </w:rPr>
        <w:t xml:space="preserve"> информации, представленной членами, а также решени</w:t>
      </w:r>
      <w:r w:rsidR="00563645" w:rsidRPr="00A532CC">
        <w:rPr>
          <w:rFonts w:eastAsia="Calibri"/>
          <w:lang w:val="ru-RU"/>
        </w:rPr>
        <w:t>й</w:t>
      </w:r>
      <w:r w:rsidR="00336BB5" w:rsidRPr="00A532CC">
        <w:rPr>
          <w:rFonts w:eastAsia="Calibri"/>
          <w:lang w:val="ru-RU"/>
        </w:rPr>
        <w:t xml:space="preserve"> относительно распределения частот, координации спутников, разработки регламентарных положений и стандартов</w:t>
      </w:r>
      <w:r w:rsidR="00D7314D" w:rsidRPr="00A532CC">
        <w:rPr>
          <w:rFonts w:eastAsia="Calibri"/>
          <w:lang w:val="ru-RU"/>
        </w:rPr>
        <w:t>. МСЭ должен также выполнять другие действи</w:t>
      </w:r>
      <w:r w:rsidR="00563645" w:rsidRPr="00A532CC">
        <w:rPr>
          <w:rFonts w:eastAsia="Calibri"/>
          <w:lang w:val="ru-RU"/>
        </w:rPr>
        <w:t>я</w:t>
      </w:r>
      <w:r w:rsidR="00D7314D" w:rsidRPr="00A532CC">
        <w:rPr>
          <w:rFonts w:eastAsia="Calibri"/>
          <w:lang w:val="ru-RU"/>
        </w:rPr>
        <w:t xml:space="preserve"> и распределять обязанности, для того чтобы этот контент оставался доступным и используемым в течение длительного времени</w:t>
      </w:r>
      <w:r w:rsidRPr="00A532CC">
        <w:rPr>
          <w:rFonts w:eastAsia="Calibri"/>
          <w:lang w:val="ru-RU"/>
        </w:rPr>
        <w:t>.</w:t>
      </w:r>
    </w:p>
    <w:p w14:paraId="22893545" w14:textId="1B822D4C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3.1.7</w:t>
      </w:r>
      <w:r w:rsidRPr="00A532CC">
        <w:rPr>
          <w:rFonts w:eastAsia="Calibri"/>
          <w:lang w:val="ru-RU"/>
        </w:rPr>
        <w:tab/>
      </w:r>
      <w:r w:rsidR="00472CE7" w:rsidRPr="00A532CC">
        <w:rPr>
          <w:rFonts w:eastAsia="Calibri"/>
          <w:lang w:val="ru-RU"/>
        </w:rPr>
        <w:t>МСЭ необходимо безотлагательно инвестировать в развитие цифровых рабочих процессов</w:t>
      </w:r>
      <w:r w:rsidR="00907C41" w:rsidRPr="00A532CC">
        <w:rPr>
          <w:rFonts w:eastAsia="Calibri"/>
          <w:lang w:val="ru-RU"/>
        </w:rPr>
        <w:t>, реализацию системы классификации данных/информации</w:t>
      </w:r>
      <w:r w:rsidR="00472CE7" w:rsidRPr="00A532CC">
        <w:rPr>
          <w:rFonts w:eastAsia="Calibri"/>
          <w:lang w:val="ru-RU"/>
        </w:rPr>
        <w:t xml:space="preserve"> </w:t>
      </w:r>
      <w:r w:rsidR="00907C41" w:rsidRPr="00A532CC">
        <w:rPr>
          <w:rFonts w:eastAsia="Calibri"/>
          <w:lang w:val="ru-RU"/>
        </w:rPr>
        <w:t>в аспекте безопасности и внедрения электронного архивирования</w:t>
      </w:r>
      <w:r w:rsidRPr="00A532CC">
        <w:rPr>
          <w:rFonts w:eastAsia="Calibri"/>
          <w:lang w:val="ru-RU"/>
        </w:rPr>
        <w:t xml:space="preserve">. </w:t>
      </w:r>
      <w:r w:rsidR="00907C41" w:rsidRPr="00A532CC">
        <w:rPr>
          <w:rFonts w:eastAsia="Calibri"/>
          <w:lang w:val="ru-RU"/>
        </w:rPr>
        <w:t>Проект, рассчитанный на пять лет, может включать следующие виды деятельности</w:t>
      </w:r>
      <w:r w:rsidRPr="00A532CC">
        <w:rPr>
          <w:rFonts w:eastAsia="Calibri"/>
          <w:lang w:val="ru-RU"/>
        </w:rPr>
        <w:t>:</w:t>
      </w:r>
    </w:p>
    <w:p w14:paraId="04CD4EC5" w14:textId="64A618AC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907C41" w:rsidRPr="00A532CC">
        <w:rPr>
          <w:lang w:val="ru-RU"/>
        </w:rPr>
        <w:t>установление приоритетов;</w:t>
      </w:r>
    </w:p>
    <w:p w14:paraId="53537F9B" w14:textId="4321ACE4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907C41" w:rsidRPr="00A532CC">
        <w:rPr>
          <w:lang w:val="ru-RU"/>
        </w:rPr>
        <w:t>упрощение рабочих процессов, в которых используется бумага, и преобразование их в полностью цифровые;</w:t>
      </w:r>
    </w:p>
    <w:p w14:paraId="4553454F" w14:textId="7DF28A1B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907C41" w:rsidRPr="00A532CC">
        <w:rPr>
          <w:lang w:val="ru-RU"/>
        </w:rPr>
        <w:t>определение типов информации</w:t>
      </w:r>
      <w:r w:rsidR="00EE139B" w:rsidRPr="00A532CC">
        <w:rPr>
          <w:lang w:val="ru-RU"/>
        </w:rPr>
        <w:t>, для которых следует обеспечить безопасность, защиту и сохранность;</w:t>
      </w:r>
    </w:p>
    <w:p w14:paraId="2696C609" w14:textId="5CA9217F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EE139B" w:rsidRPr="00A532CC">
        <w:rPr>
          <w:lang w:val="ru-RU"/>
        </w:rPr>
        <w:t>разработка стратегий и планов проекта;</w:t>
      </w:r>
    </w:p>
    <w:p w14:paraId="0138150D" w14:textId="5F76F05C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EE139B" w:rsidRPr="00A532CC">
        <w:rPr>
          <w:lang w:val="ru-RU"/>
        </w:rPr>
        <w:t>создание официальных управляемых хранилищ для критического бизнес-контента;</w:t>
      </w:r>
    </w:p>
    <w:p w14:paraId="5F8C35AA" w14:textId="70EFD07C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EE139B" w:rsidRPr="00A532CC">
        <w:rPr>
          <w:lang w:val="ru-RU"/>
        </w:rPr>
        <w:t>определение и анализ угроз, рисков и требований защиты для информации МСЭ</w:t>
      </w:r>
      <w:r w:rsidR="001240B4" w:rsidRPr="00A532CC">
        <w:rPr>
          <w:lang w:val="ru-RU"/>
        </w:rPr>
        <w:t xml:space="preserve">, </w:t>
      </w:r>
      <w:r w:rsidR="00EE139B" w:rsidRPr="00A532CC">
        <w:rPr>
          <w:lang w:val="ru-RU"/>
        </w:rPr>
        <w:t>определение типов информации, имеющих критический характер для видов деятельности МСЭ, а также разработка схемы классификации на основе конфиденциальности и определение категорий критических записей;</w:t>
      </w:r>
    </w:p>
    <w:p w14:paraId="20F39F77" w14:textId="3B1E27CC" w:rsidR="001240B4" w:rsidRPr="00A532CC" w:rsidRDefault="00014BDF" w:rsidP="00014BDF">
      <w:pPr>
        <w:pStyle w:val="enumlev1"/>
        <w:rPr>
          <w:spacing w:val="-2"/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EE139B" w:rsidRPr="00A532CC">
        <w:rPr>
          <w:spacing w:val="-2"/>
          <w:lang w:val="ru-RU"/>
        </w:rPr>
        <w:t>определение и выбор решений для электронного архивирования информации МСЭ</w:t>
      </w:r>
      <w:r w:rsidR="001240B4" w:rsidRPr="00A532CC">
        <w:rPr>
          <w:spacing w:val="-2"/>
          <w:lang w:val="ru-RU"/>
        </w:rPr>
        <w:t xml:space="preserve"> </w:t>
      </w:r>
      <w:r w:rsidR="00EE139B" w:rsidRPr="00A532CC">
        <w:rPr>
          <w:spacing w:val="-2"/>
          <w:lang w:val="ru-RU"/>
        </w:rPr>
        <w:t xml:space="preserve">во всех форматах </w:t>
      </w:r>
      <w:r w:rsidR="001240B4" w:rsidRPr="00A532CC">
        <w:rPr>
          <w:spacing w:val="-2"/>
          <w:lang w:val="ru-RU"/>
        </w:rPr>
        <w:t>(</w:t>
      </w:r>
      <w:r w:rsidR="00EE139B" w:rsidRPr="00A532CC">
        <w:rPr>
          <w:spacing w:val="-2"/>
          <w:lang w:val="ru-RU"/>
        </w:rPr>
        <w:t xml:space="preserve">документы, видео, изображения, данные, </w:t>
      </w:r>
      <w:r w:rsidR="00AF61AB" w:rsidRPr="00A532CC">
        <w:rPr>
          <w:spacing w:val="-2"/>
          <w:lang w:val="ru-RU"/>
        </w:rPr>
        <w:t>веб-контент, социальные сети и т. д.</w:t>
      </w:r>
      <w:r w:rsidR="001240B4" w:rsidRPr="00A532CC">
        <w:rPr>
          <w:spacing w:val="-2"/>
          <w:lang w:val="ru-RU"/>
        </w:rPr>
        <w:t>)</w:t>
      </w:r>
      <w:r w:rsidR="00AF61AB" w:rsidRPr="00A532CC">
        <w:rPr>
          <w:spacing w:val="-2"/>
          <w:lang w:val="ru-RU"/>
        </w:rPr>
        <w:t>;</w:t>
      </w:r>
    </w:p>
    <w:p w14:paraId="3D395BF7" w14:textId="0EE9959A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•</w:t>
      </w:r>
      <w:r w:rsidRPr="00A532CC">
        <w:rPr>
          <w:lang w:val="ru-RU"/>
        </w:rPr>
        <w:tab/>
      </w:r>
      <w:r w:rsidR="00AF61AB" w:rsidRPr="00A532CC">
        <w:rPr>
          <w:lang w:val="ru-RU"/>
        </w:rPr>
        <w:t>обучение персонала.</w:t>
      </w:r>
    </w:p>
    <w:p w14:paraId="5C89F45C" w14:textId="349F0972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3.1.8</w:t>
      </w:r>
      <w:r w:rsidRPr="00A532CC">
        <w:rPr>
          <w:rFonts w:eastAsia="Calibri"/>
          <w:lang w:val="ru-RU"/>
        </w:rPr>
        <w:tab/>
      </w:r>
      <w:r w:rsidR="00516B76" w:rsidRPr="00A532CC">
        <w:rPr>
          <w:rFonts w:eastAsia="Calibri"/>
          <w:lang w:val="ru-RU"/>
        </w:rPr>
        <w:t>Необходимо, чтобы секретариат нанял специалистов по цифровой трансформации, классификации данных и электронному архивированию на посты на основе срочных контрактов</w:t>
      </w:r>
      <w:r w:rsidRPr="00A532CC">
        <w:rPr>
          <w:rFonts w:eastAsia="Calibri"/>
          <w:lang w:val="ru-RU"/>
        </w:rPr>
        <w:t xml:space="preserve">. </w:t>
      </w:r>
      <w:r w:rsidR="00516B76" w:rsidRPr="00A532CC">
        <w:rPr>
          <w:rFonts w:eastAsia="Calibri"/>
          <w:lang w:val="ru-RU"/>
        </w:rPr>
        <w:t>Дополнительные расходы включают приобретение систем и перенос информации на новые средства</w:t>
      </w:r>
      <w:r w:rsidRPr="00A532CC">
        <w:rPr>
          <w:rFonts w:eastAsia="Calibri"/>
          <w:lang w:val="ru-RU"/>
        </w:rPr>
        <w:t xml:space="preserve">. </w:t>
      </w:r>
      <w:r w:rsidR="00516B76" w:rsidRPr="00A532CC">
        <w:rPr>
          <w:rFonts w:eastAsia="Calibri"/>
          <w:lang w:val="ru-RU"/>
        </w:rPr>
        <w:t xml:space="preserve">Первоначальная </w:t>
      </w:r>
      <w:r w:rsidR="00F22D58" w:rsidRPr="00A532CC">
        <w:rPr>
          <w:rFonts w:eastAsia="Calibri"/>
          <w:lang w:val="ru-RU"/>
        </w:rPr>
        <w:t>оценка стоимости</w:t>
      </w:r>
      <w:r w:rsidR="00516B76" w:rsidRPr="00A532CC">
        <w:rPr>
          <w:rFonts w:eastAsia="Calibri"/>
          <w:lang w:val="ru-RU"/>
        </w:rPr>
        <w:t xml:space="preserve"> данного проекта составляет </w:t>
      </w:r>
      <w:r w:rsidRPr="00A532CC">
        <w:rPr>
          <w:rFonts w:eastAsia="Calibri"/>
          <w:lang w:val="ru-RU"/>
        </w:rPr>
        <w:t>8</w:t>
      </w:r>
      <w:r w:rsidR="00516B76" w:rsidRPr="00A532CC">
        <w:rPr>
          <w:rFonts w:eastAsia="Calibri"/>
          <w:lang w:val="ru-RU"/>
        </w:rPr>
        <w:t> </w:t>
      </w:r>
      <w:proofErr w:type="gramStart"/>
      <w:r w:rsidR="00516B76" w:rsidRPr="00A532CC">
        <w:rPr>
          <w:rFonts w:eastAsia="Calibri"/>
          <w:lang w:val="ru-RU"/>
        </w:rPr>
        <w:t>млн.</w:t>
      </w:r>
      <w:proofErr w:type="gramEnd"/>
      <w:r w:rsidR="00516B76" w:rsidRPr="00A532CC">
        <w:rPr>
          <w:rFonts w:eastAsia="Calibri"/>
          <w:lang w:val="ru-RU"/>
        </w:rPr>
        <w:t xml:space="preserve"> швейцарских франков на пятилетний период</w:t>
      </w:r>
      <w:r w:rsidRPr="00A532CC">
        <w:rPr>
          <w:rFonts w:eastAsia="Calibri"/>
          <w:lang w:val="ru-RU"/>
        </w:rPr>
        <w:t>.</w:t>
      </w:r>
    </w:p>
    <w:p w14:paraId="33706143" w14:textId="1A17A9E1" w:rsidR="001240B4" w:rsidRPr="00A532CC" w:rsidRDefault="001240B4" w:rsidP="00014BDF">
      <w:pPr>
        <w:rPr>
          <w:u w:val="single"/>
          <w:lang w:val="ru-RU"/>
        </w:rPr>
      </w:pPr>
      <w:r w:rsidRPr="00A532CC">
        <w:rPr>
          <w:lang w:val="ru-RU"/>
        </w:rPr>
        <w:t>3.2</w:t>
      </w:r>
      <w:r w:rsidRPr="00A532CC">
        <w:rPr>
          <w:lang w:val="ru-RU"/>
        </w:rPr>
        <w:tab/>
      </w:r>
      <w:r w:rsidR="002C0F57" w:rsidRPr="00A532CC">
        <w:rPr>
          <w:u w:val="single"/>
          <w:lang w:val="ru-RU"/>
        </w:rPr>
        <w:t>Рабочие инструменты Союза на базе информационных технологий (ИТ</w:t>
      </w:r>
      <w:r w:rsidR="002C0F57" w:rsidRPr="00A532CC">
        <w:rPr>
          <w:lang w:val="ru-RU"/>
        </w:rPr>
        <w:t>)</w:t>
      </w:r>
    </w:p>
    <w:p w14:paraId="79501A22" w14:textId="1C619FB2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3.2.1</w:t>
      </w:r>
      <w:r w:rsidRPr="00A532CC">
        <w:rPr>
          <w:rFonts w:eastAsia="Calibri"/>
          <w:lang w:val="ru-RU"/>
        </w:rPr>
        <w:tab/>
      </w:r>
      <w:r w:rsidR="002C0F57" w:rsidRPr="00A532CC">
        <w:rPr>
          <w:rFonts w:eastAsia="Calibri"/>
          <w:lang w:val="ru-RU"/>
        </w:rPr>
        <w:t>В течение последних нескольких десятков лет используемые в МСЭ платформы</w:t>
      </w:r>
      <w:r w:rsidR="005D138B" w:rsidRPr="00A532CC">
        <w:rPr>
          <w:rFonts w:eastAsia="Calibri"/>
          <w:lang w:val="ru-RU"/>
        </w:rPr>
        <w:t xml:space="preserve"> планирования ресурсов предприятия (ERP)</w:t>
      </w:r>
      <w:r w:rsidRPr="00A532CC">
        <w:rPr>
          <w:rFonts w:eastAsia="Calibri"/>
          <w:lang w:val="ru-RU"/>
        </w:rPr>
        <w:t xml:space="preserve"> </w:t>
      </w:r>
      <w:r w:rsidR="002C0F57" w:rsidRPr="00A532CC">
        <w:rPr>
          <w:rFonts w:eastAsia="Calibri"/>
          <w:lang w:val="ru-RU"/>
        </w:rPr>
        <w:t>и</w:t>
      </w:r>
      <w:r w:rsidR="005D138B" w:rsidRPr="00A532CC">
        <w:rPr>
          <w:lang w:val="ru-RU"/>
        </w:rPr>
        <w:t xml:space="preserve"> </w:t>
      </w:r>
      <w:r w:rsidR="005D138B" w:rsidRPr="00A532CC">
        <w:rPr>
          <w:rFonts w:eastAsia="Calibri"/>
          <w:lang w:val="ru-RU"/>
        </w:rPr>
        <w:t>управления отношениями с клиентами (CRM)</w:t>
      </w:r>
      <w:r w:rsidR="002C0F57" w:rsidRPr="00A532CC">
        <w:rPr>
          <w:rFonts w:eastAsia="Calibri"/>
          <w:lang w:val="ru-RU"/>
        </w:rPr>
        <w:t xml:space="preserve">, которые работают с базами данных </w:t>
      </w:r>
      <w:r w:rsidRPr="00A532CC">
        <w:rPr>
          <w:rFonts w:eastAsia="Calibri"/>
          <w:lang w:val="ru-RU"/>
        </w:rPr>
        <w:t xml:space="preserve">SQL </w:t>
      </w:r>
      <w:r w:rsidR="002C0F57" w:rsidRPr="00A532CC">
        <w:rPr>
          <w:rFonts w:eastAsia="Calibri"/>
          <w:lang w:val="ru-RU"/>
        </w:rPr>
        <w:t>на ресурсах организации</w:t>
      </w:r>
      <w:r w:rsidRPr="00A532CC">
        <w:rPr>
          <w:rFonts w:eastAsia="Calibri"/>
          <w:lang w:val="ru-RU"/>
        </w:rPr>
        <w:t>,</w:t>
      </w:r>
      <w:r w:rsidR="002C0F57" w:rsidRPr="00A532CC">
        <w:rPr>
          <w:rFonts w:eastAsia="Calibri"/>
          <w:lang w:val="ru-RU"/>
        </w:rPr>
        <w:t xml:space="preserve"> неоднократно проходили модернизацию, что позволило МСЭ и его делегатам воспользоваться </w:t>
      </w:r>
      <w:r w:rsidR="00D86675" w:rsidRPr="00A532CC">
        <w:rPr>
          <w:rFonts w:eastAsia="Calibri"/>
          <w:lang w:val="ru-RU"/>
        </w:rPr>
        <w:t>преимуществами новых функциональных возможностей и технологий</w:t>
      </w:r>
      <w:r w:rsidRPr="00A532CC">
        <w:rPr>
          <w:rFonts w:eastAsia="Calibri"/>
          <w:lang w:val="ru-RU"/>
        </w:rPr>
        <w:t xml:space="preserve">. </w:t>
      </w:r>
    </w:p>
    <w:p w14:paraId="11077F8B" w14:textId="5D485B4E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3.2.2</w:t>
      </w:r>
      <w:r w:rsidRPr="00A532CC">
        <w:rPr>
          <w:rFonts w:eastAsia="Calibri"/>
          <w:lang w:val="ru-RU"/>
        </w:rPr>
        <w:tab/>
      </w:r>
      <w:r w:rsidR="00735CB3" w:rsidRPr="00A532CC">
        <w:rPr>
          <w:rFonts w:eastAsia="Calibri"/>
          <w:lang w:val="ru-RU"/>
        </w:rPr>
        <w:t>К</w:t>
      </w:r>
      <w:r w:rsidR="005B2526" w:rsidRPr="00A532CC">
        <w:rPr>
          <w:rFonts w:eastAsia="Calibri"/>
          <w:lang w:val="ru-RU"/>
        </w:rPr>
        <w:t xml:space="preserve"> настояще</w:t>
      </w:r>
      <w:r w:rsidR="00735CB3" w:rsidRPr="00A532CC">
        <w:rPr>
          <w:rFonts w:eastAsia="Calibri"/>
          <w:lang w:val="ru-RU"/>
        </w:rPr>
        <w:t>му</w:t>
      </w:r>
      <w:r w:rsidR="005B2526" w:rsidRPr="00A532CC">
        <w:rPr>
          <w:rFonts w:eastAsia="Calibri"/>
          <w:lang w:val="ru-RU"/>
        </w:rPr>
        <w:t xml:space="preserve"> время компания </w:t>
      </w:r>
      <w:r w:rsidRPr="00A532CC">
        <w:rPr>
          <w:rFonts w:eastAsia="Calibri"/>
          <w:lang w:val="ru-RU"/>
        </w:rPr>
        <w:t xml:space="preserve">SAP </w:t>
      </w:r>
      <w:r w:rsidR="00735CB3" w:rsidRPr="00A532CC">
        <w:rPr>
          <w:rFonts w:eastAsia="Calibri"/>
          <w:lang w:val="ru-RU"/>
        </w:rPr>
        <w:t xml:space="preserve">перепроектировала все предлагаемое ею программное обеспечение </w:t>
      </w:r>
      <w:r w:rsidRPr="00A532CC">
        <w:rPr>
          <w:rFonts w:eastAsia="Calibri"/>
          <w:lang w:val="ru-RU"/>
        </w:rPr>
        <w:t xml:space="preserve">(ERP, </w:t>
      </w:r>
      <w:r w:rsidR="005D138B" w:rsidRPr="00A532CC">
        <w:rPr>
          <w:rFonts w:eastAsia="Calibri"/>
          <w:lang w:val="ru-RU"/>
        </w:rPr>
        <w:t>управление отношениями с поставщиками (</w:t>
      </w:r>
      <w:r w:rsidRPr="00A532CC">
        <w:rPr>
          <w:rFonts w:eastAsia="Calibri"/>
          <w:lang w:val="ru-RU"/>
        </w:rPr>
        <w:t>SRM</w:t>
      </w:r>
      <w:r w:rsidR="005D138B" w:rsidRPr="00A532CC">
        <w:rPr>
          <w:rFonts w:eastAsia="Calibri"/>
          <w:lang w:val="ru-RU"/>
        </w:rPr>
        <w:t>)</w:t>
      </w:r>
      <w:r w:rsidRPr="00A532CC">
        <w:rPr>
          <w:rFonts w:eastAsia="Calibri"/>
          <w:lang w:val="ru-RU"/>
        </w:rPr>
        <w:t>, CRM</w:t>
      </w:r>
      <w:r w:rsidR="00735CB3" w:rsidRPr="00A532CC">
        <w:rPr>
          <w:rFonts w:eastAsia="Calibri"/>
          <w:lang w:val="ru-RU"/>
        </w:rPr>
        <w:t> и т. д.</w:t>
      </w:r>
      <w:r w:rsidRPr="00A532CC">
        <w:rPr>
          <w:rFonts w:eastAsia="Calibri"/>
          <w:lang w:val="ru-RU"/>
        </w:rPr>
        <w:t>)</w:t>
      </w:r>
      <w:r w:rsidR="00735CB3" w:rsidRPr="00A532CC">
        <w:rPr>
          <w:rFonts w:eastAsia="Calibri"/>
          <w:lang w:val="ru-RU"/>
        </w:rPr>
        <w:t>, для того чтобы оно работало</w:t>
      </w:r>
      <w:r w:rsidRPr="00A532CC">
        <w:rPr>
          <w:rFonts w:eastAsia="Calibri"/>
          <w:lang w:val="ru-RU"/>
        </w:rPr>
        <w:t xml:space="preserve"> </w:t>
      </w:r>
      <w:r w:rsidR="00735CB3" w:rsidRPr="00A532CC">
        <w:rPr>
          <w:rFonts w:eastAsia="Calibri"/>
          <w:lang w:val="ru-RU"/>
        </w:rPr>
        <w:t>на платформе</w:t>
      </w:r>
      <w:r w:rsidRPr="00A532CC">
        <w:rPr>
          <w:rFonts w:eastAsia="Calibri"/>
          <w:lang w:val="ru-RU"/>
        </w:rPr>
        <w:t xml:space="preserve"> HANA</w:t>
      </w:r>
      <w:r w:rsidR="002A1E59" w:rsidRPr="00A532CC">
        <w:rPr>
          <w:rFonts w:eastAsia="Calibri"/>
          <w:lang w:val="ru-RU"/>
        </w:rPr>
        <w:t> –</w:t>
      </w:r>
      <w:r w:rsidRPr="00A532CC">
        <w:rPr>
          <w:rFonts w:eastAsia="Calibri"/>
          <w:lang w:val="ru-RU"/>
        </w:rPr>
        <w:t xml:space="preserve"> </w:t>
      </w:r>
      <w:r w:rsidR="00735CB3" w:rsidRPr="00A532CC">
        <w:rPr>
          <w:rFonts w:eastAsia="Calibri"/>
          <w:lang w:val="ru-RU"/>
        </w:rPr>
        <w:t xml:space="preserve">базе данных </w:t>
      </w:r>
      <w:r w:rsidR="002A1E59" w:rsidRPr="00A532CC">
        <w:rPr>
          <w:rFonts w:eastAsia="Calibri"/>
          <w:lang w:val="ru-RU"/>
        </w:rPr>
        <w:t xml:space="preserve">SAP </w:t>
      </w:r>
      <w:r w:rsidR="00735CB3" w:rsidRPr="00A532CC">
        <w:rPr>
          <w:rFonts w:eastAsia="Calibri"/>
          <w:lang w:val="ru-RU"/>
        </w:rPr>
        <w:t>в оперативной памяти</w:t>
      </w:r>
      <w:r w:rsidR="002A1E59" w:rsidRPr="00A532CC">
        <w:rPr>
          <w:rFonts w:eastAsia="Calibri"/>
          <w:lang w:val="ru-RU"/>
        </w:rPr>
        <w:t>,</w:t>
      </w:r>
      <w:r w:rsidR="00735CB3" w:rsidRPr="00A532CC">
        <w:rPr>
          <w:rFonts w:eastAsia="Calibri"/>
          <w:lang w:val="ru-RU"/>
        </w:rPr>
        <w:t xml:space="preserve"> предпочтительно в облаке</w:t>
      </w:r>
      <w:r w:rsidRPr="00A532CC">
        <w:rPr>
          <w:rFonts w:eastAsia="Calibri"/>
          <w:lang w:val="ru-RU"/>
        </w:rPr>
        <w:t xml:space="preserve">. </w:t>
      </w:r>
      <w:r w:rsidR="00735CB3" w:rsidRPr="00A532CC">
        <w:rPr>
          <w:rFonts w:eastAsia="Calibri"/>
          <w:lang w:val="ru-RU"/>
        </w:rPr>
        <w:t xml:space="preserve">Вследствие этого </w:t>
      </w:r>
      <w:r w:rsidRPr="00A532CC">
        <w:rPr>
          <w:rFonts w:eastAsia="Calibri"/>
          <w:lang w:val="ru-RU"/>
        </w:rPr>
        <w:t xml:space="preserve">SAP </w:t>
      </w:r>
      <w:r w:rsidR="00735CB3" w:rsidRPr="00A532CC">
        <w:rPr>
          <w:rFonts w:eastAsia="Calibri"/>
          <w:lang w:val="ru-RU"/>
        </w:rPr>
        <w:t xml:space="preserve">объявила, что к </w:t>
      </w:r>
      <w:r w:rsidRPr="00A532CC">
        <w:rPr>
          <w:rFonts w:eastAsia="Calibri"/>
          <w:lang w:val="ru-RU"/>
        </w:rPr>
        <w:t>2025</w:t>
      </w:r>
      <w:r w:rsidR="00735CB3" w:rsidRPr="00A532CC">
        <w:rPr>
          <w:rFonts w:eastAsia="Calibri"/>
          <w:lang w:val="ru-RU"/>
        </w:rPr>
        <w:t> году</w:t>
      </w:r>
      <w:r w:rsidRPr="00A532CC">
        <w:rPr>
          <w:rFonts w:eastAsia="Calibri"/>
          <w:lang w:val="ru-RU"/>
        </w:rPr>
        <w:t xml:space="preserve"> (</w:t>
      </w:r>
      <w:r w:rsidR="00735CB3" w:rsidRPr="00A532CC">
        <w:rPr>
          <w:rFonts w:eastAsia="Calibri"/>
          <w:lang w:val="ru-RU"/>
        </w:rPr>
        <w:t xml:space="preserve">возможно продление этого срока до </w:t>
      </w:r>
      <w:r w:rsidRPr="00A532CC">
        <w:rPr>
          <w:rFonts w:eastAsia="Calibri"/>
          <w:lang w:val="ru-RU"/>
        </w:rPr>
        <w:t>2027</w:t>
      </w:r>
      <w:r w:rsidR="00735CB3" w:rsidRPr="00A532CC">
        <w:rPr>
          <w:rFonts w:eastAsia="Calibri"/>
          <w:lang w:val="ru-RU"/>
        </w:rPr>
        <w:t> г.</w:t>
      </w:r>
      <w:r w:rsidRPr="00A532CC">
        <w:rPr>
          <w:rFonts w:eastAsia="Calibri"/>
          <w:lang w:val="ru-RU"/>
        </w:rPr>
        <w:t xml:space="preserve">) </w:t>
      </w:r>
      <w:r w:rsidR="00735CB3" w:rsidRPr="00A532CC">
        <w:rPr>
          <w:rFonts w:eastAsia="Calibri"/>
          <w:lang w:val="ru-RU"/>
        </w:rPr>
        <w:t>все действующие решения</w:t>
      </w:r>
      <w:r w:rsidRPr="00A532CC">
        <w:rPr>
          <w:rFonts w:eastAsia="Calibri"/>
          <w:lang w:val="ru-RU"/>
        </w:rPr>
        <w:t xml:space="preserve"> SAP ERP, SRM </w:t>
      </w:r>
      <w:r w:rsidR="00735CB3" w:rsidRPr="00A532CC">
        <w:rPr>
          <w:rFonts w:eastAsia="Calibri"/>
          <w:lang w:val="ru-RU"/>
        </w:rPr>
        <w:t>и</w:t>
      </w:r>
      <w:r w:rsidRPr="00A532CC">
        <w:rPr>
          <w:rFonts w:eastAsia="Calibri"/>
          <w:lang w:val="ru-RU"/>
        </w:rPr>
        <w:t xml:space="preserve"> CRM </w:t>
      </w:r>
      <w:r w:rsidR="002A1E59" w:rsidRPr="00A532CC">
        <w:rPr>
          <w:rFonts w:eastAsia="Calibri"/>
          <w:lang w:val="ru-RU"/>
        </w:rPr>
        <w:t xml:space="preserve">должны быть переведены на </w:t>
      </w:r>
      <w:r w:rsidRPr="00A532CC">
        <w:rPr>
          <w:rFonts w:eastAsia="Calibri"/>
          <w:lang w:val="ru-RU"/>
        </w:rPr>
        <w:t>S/4HANA</w:t>
      </w:r>
      <w:r w:rsidR="00F22D58" w:rsidRPr="00A532CC">
        <w:rPr>
          <w:rFonts w:eastAsia="Calibri"/>
          <w:lang w:val="ru-RU"/>
        </w:rPr>
        <w:t> –</w:t>
      </w:r>
      <w:r w:rsidRPr="00A532CC">
        <w:rPr>
          <w:rFonts w:eastAsia="Calibri"/>
          <w:lang w:val="ru-RU"/>
        </w:rPr>
        <w:t xml:space="preserve"> </w:t>
      </w:r>
      <w:r w:rsidR="002A1E59" w:rsidRPr="00A532CC">
        <w:rPr>
          <w:rFonts w:eastAsia="Calibri"/>
          <w:lang w:val="ru-RU"/>
        </w:rPr>
        <w:t>набор программных приложений SAP следующего поколения для предприятий</w:t>
      </w:r>
      <w:r w:rsidRPr="00A532CC">
        <w:rPr>
          <w:rFonts w:eastAsia="Calibri"/>
          <w:lang w:val="ru-RU"/>
        </w:rPr>
        <w:t xml:space="preserve">. </w:t>
      </w:r>
      <w:r w:rsidR="002A1E59" w:rsidRPr="00A532CC">
        <w:rPr>
          <w:rFonts w:eastAsia="Calibri"/>
          <w:lang w:val="ru-RU"/>
        </w:rPr>
        <w:t>Кроме того, необходимо перевести к началу 2021 года платформу электронной коммерции МСЭ на C/4HANA</w:t>
      </w:r>
      <w:r w:rsidRPr="00A532CC">
        <w:rPr>
          <w:rFonts w:eastAsia="Calibri"/>
          <w:lang w:val="ru-RU"/>
        </w:rPr>
        <w:t>.</w:t>
      </w:r>
    </w:p>
    <w:p w14:paraId="67B4AE44" w14:textId="733F0FA6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t>3.2.3</w:t>
      </w:r>
      <w:r w:rsidRPr="00A532CC">
        <w:rPr>
          <w:rFonts w:eastAsia="Calibri"/>
          <w:lang w:val="ru-RU"/>
        </w:rPr>
        <w:tab/>
      </w:r>
      <w:r w:rsidR="003764B6" w:rsidRPr="00A532CC">
        <w:rPr>
          <w:rFonts w:eastAsia="Calibri"/>
          <w:lang w:val="ru-RU"/>
        </w:rPr>
        <w:t>МСЭ предпринял различные шаги в рамках подготовки к этим широкомасштабным действиям</w:t>
      </w:r>
      <w:r w:rsidRPr="00A532CC">
        <w:rPr>
          <w:rFonts w:eastAsia="Calibri"/>
          <w:lang w:val="ru-RU"/>
        </w:rPr>
        <w:t xml:space="preserve">. </w:t>
      </w:r>
      <w:r w:rsidR="003764B6" w:rsidRPr="00A532CC">
        <w:rPr>
          <w:rFonts w:eastAsia="Calibri"/>
          <w:lang w:val="ru-RU"/>
        </w:rPr>
        <w:t>Первый этап этого проекта перевода – перевод платформы электронной коммерции МСЭ на C/4HANA в облаке – начнется в середине</w:t>
      </w:r>
      <w:r w:rsidRPr="00A532CC">
        <w:rPr>
          <w:rFonts w:eastAsia="Calibri"/>
          <w:lang w:val="ru-RU"/>
        </w:rPr>
        <w:t xml:space="preserve"> 2020</w:t>
      </w:r>
      <w:r w:rsidR="003764B6" w:rsidRPr="00A532CC">
        <w:rPr>
          <w:rFonts w:eastAsia="Calibri"/>
          <w:lang w:val="ru-RU"/>
        </w:rPr>
        <w:t> года</w:t>
      </w:r>
      <w:r w:rsidRPr="00A532CC">
        <w:rPr>
          <w:rFonts w:eastAsia="Calibri"/>
          <w:lang w:val="ru-RU"/>
        </w:rPr>
        <w:t xml:space="preserve">. </w:t>
      </w:r>
      <w:r w:rsidR="003764B6" w:rsidRPr="00A532CC">
        <w:rPr>
          <w:rFonts w:eastAsia="Calibri"/>
          <w:lang w:val="ru-RU"/>
        </w:rPr>
        <w:t xml:space="preserve">Следующим крупным этапом станет перевод на </w:t>
      </w:r>
      <w:r w:rsidRPr="00A532CC">
        <w:rPr>
          <w:rFonts w:eastAsia="Calibri"/>
          <w:lang w:val="ru-RU"/>
        </w:rPr>
        <w:t xml:space="preserve">S/4HANA. </w:t>
      </w:r>
      <w:r w:rsidR="003764B6" w:rsidRPr="00A532CC">
        <w:rPr>
          <w:rFonts w:eastAsia="Calibri"/>
          <w:lang w:val="ru-RU"/>
        </w:rPr>
        <w:t>Плановый срок выполнения – декабрь</w:t>
      </w:r>
      <w:r w:rsidRPr="00A532CC">
        <w:rPr>
          <w:rFonts w:eastAsia="Calibri"/>
          <w:lang w:val="ru-RU"/>
        </w:rPr>
        <w:t xml:space="preserve"> 2025</w:t>
      </w:r>
      <w:r w:rsidR="003764B6" w:rsidRPr="00A532CC">
        <w:rPr>
          <w:rFonts w:eastAsia="Calibri"/>
          <w:lang w:val="ru-RU"/>
        </w:rPr>
        <w:t> года</w:t>
      </w:r>
      <w:r w:rsidRPr="00A532CC">
        <w:rPr>
          <w:rFonts w:eastAsia="Calibri"/>
          <w:lang w:val="ru-RU"/>
        </w:rPr>
        <w:t>.</w:t>
      </w:r>
    </w:p>
    <w:p w14:paraId="198E5E71" w14:textId="6E95CF1D" w:rsidR="001240B4" w:rsidRPr="00A532CC" w:rsidRDefault="001240B4" w:rsidP="00014BDF">
      <w:pPr>
        <w:rPr>
          <w:rFonts w:eastAsia="Calibri"/>
          <w:lang w:val="ru-RU"/>
        </w:rPr>
      </w:pPr>
      <w:r w:rsidRPr="00A532CC">
        <w:rPr>
          <w:rFonts w:eastAsia="Calibri"/>
          <w:lang w:val="ru-RU"/>
        </w:rPr>
        <w:lastRenderedPageBreak/>
        <w:t>3.2.4</w:t>
      </w:r>
      <w:r w:rsidRPr="00A532CC">
        <w:rPr>
          <w:rFonts w:eastAsia="Calibri"/>
          <w:lang w:val="ru-RU"/>
        </w:rPr>
        <w:tab/>
      </w:r>
      <w:r w:rsidR="003764B6" w:rsidRPr="00A532CC">
        <w:rPr>
          <w:rFonts w:eastAsia="Calibri"/>
          <w:lang w:val="ru-RU"/>
        </w:rPr>
        <w:t xml:space="preserve">Оценочная стоимость перевода всей совокупности систем </w:t>
      </w:r>
      <w:r w:rsidRPr="00A532CC">
        <w:rPr>
          <w:rFonts w:eastAsia="Calibri"/>
          <w:lang w:val="ru-RU"/>
        </w:rPr>
        <w:t xml:space="preserve">SAP </w:t>
      </w:r>
      <w:r w:rsidR="003764B6" w:rsidRPr="00A532CC">
        <w:rPr>
          <w:rFonts w:eastAsia="Calibri"/>
          <w:lang w:val="ru-RU"/>
        </w:rPr>
        <w:t>МСЭ на</w:t>
      </w:r>
      <w:r w:rsidRPr="00A532CC">
        <w:rPr>
          <w:rFonts w:eastAsia="Calibri"/>
          <w:lang w:val="ru-RU"/>
        </w:rPr>
        <w:t xml:space="preserve"> C/4HANA </w:t>
      </w:r>
      <w:r w:rsidR="003764B6" w:rsidRPr="00A532CC">
        <w:rPr>
          <w:rFonts w:eastAsia="Calibri"/>
          <w:lang w:val="ru-RU"/>
        </w:rPr>
        <w:t>и</w:t>
      </w:r>
      <w:r w:rsidRPr="00A532CC">
        <w:rPr>
          <w:rFonts w:eastAsia="Calibri"/>
          <w:lang w:val="ru-RU"/>
        </w:rPr>
        <w:t xml:space="preserve"> S/4HANA </w:t>
      </w:r>
      <w:r w:rsidR="003764B6" w:rsidRPr="00A532CC">
        <w:rPr>
          <w:rFonts w:eastAsia="Calibri"/>
          <w:lang w:val="ru-RU"/>
        </w:rPr>
        <w:t xml:space="preserve">составляет примерно </w:t>
      </w:r>
      <w:r w:rsidRPr="00A532CC">
        <w:rPr>
          <w:rFonts w:eastAsia="Calibri"/>
          <w:lang w:val="ru-RU"/>
        </w:rPr>
        <w:t>5</w:t>
      </w:r>
      <w:r w:rsidR="003764B6" w:rsidRPr="00A532CC">
        <w:rPr>
          <w:rFonts w:eastAsia="Calibri"/>
          <w:lang w:val="ru-RU"/>
        </w:rPr>
        <w:t> </w:t>
      </w:r>
      <w:proofErr w:type="gramStart"/>
      <w:r w:rsidR="003764B6" w:rsidRPr="00A532CC">
        <w:rPr>
          <w:rFonts w:eastAsia="Calibri"/>
          <w:lang w:val="ru-RU"/>
        </w:rPr>
        <w:t>млн.</w:t>
      </w:r>
      <w:proofErr w:type="gramEnd"/>
      <w:r w:rsidR="003764B6" w:rsidRPr="00A532CC">
        <w:rPr>
          <w:rFonts w:eastAsia="Calibri"/>
          <w:lang w:val="ru-RU"/>
        </w:rPr>
        <w:t xml:space="preserve"> швейцарских франков</w:t>
      </w:r>
      <w:r w:rsidRPr="00A532CC">
        <w:rPr>
          <w:rFonts w:eastAsia="Calibri"/>
          <w:lang w:val="ru-RU"/>
        </w:rPr>
        <w:t xml:space="preserve">. </w:t>
      </w:r>
      <w:r w:rsidR="00BF3E96" w:rsidRPr="00A532CC">
        <w:rPr>
          <w:rFonts w:eastAsia="Calibri"/>
          <w:lang w:val="ru-RU"/>
        </w:rPr>
        <w:t>Совет уже утвердил часть ресурсов, которые необходимы для осуществления перевода системы ERP, с финансированием из бюджета на</w:t>
      </w:r>
      <w:r w:rsidRPr="00A532CC">
        <w:rPr>
          <w:rFonts w:eastAsia="Calibri"/>
          <w:lang w:val="ru-RU"/>
        </w:rPr>
        <w:t xml:space="preserve"> 2020</w:t>
      </w:r>
      <w:r w:rsidR="003B7DB5" w:rsidRPr="00A532CC">
        <w:rPr>
          <w:rFonts w:eastAsia="Calibri"/>
          <w:lang w:val="ru-RU"/>
        </w:rPr>
        <w:t>−</w:t>
      </w:r>
      <w:r w:rsidRPr="00A532CC">
        <w:rPr>
          <w:rFonts w:eastAsia="Calibri"/>
          <w:lang w:val="ru-RU"/>
        </w:rPr>
        <w:t>2021</w:t>
      </w:r>
      <w:r w:rsidR="00BF3E96" w:rsidRPr="00A532CC">
        <w:rPr>
          <w:rFonts w:eastAsia="Calibri"/>
          <w:lang w:val="ru-RU"/>
        </w:rPr>
        <w:t> годы</w:t>
      </w:r>
      <w:r w:rsidRPr="00A532CC">
        <w:rPr>
          <w:rFonts w:eastAsia="Calibri"/>
          <w:lang w:val="ru-RU"/>
        </w:rPr>
        <w:t xml:space="preserve"> (2 </w:t>
      </w:r>
      <w:proofErr w:type="gramStart"/>
      <w:r w:rsidR="00BF3E96" w:rsidRPr="00A532CC">
        <w:rPr>
          <w:rFonts w:eastAsia="Calibri"/>
          <w:lang w:val="ru-RU"/>
        </w:rPr>
        <w:t>млн.</w:t>
      </w:r>
      <w:proofErr w:type="gramEnd"/>
      <w:r w:rsidR="00BF3E96" w:rsidRPr="00A532CC">
        <w:rPr>
          <w:rFonts w:eastAsia="Calibri"/>
          <w:lang w:val="ru-RU"/>
        </w:rPr>
        <w:t> шв. фр.</w:t>
      </w:r>
      <w:r w:rsidRPr="00A532CC">
        <w:rPr>
          <w:rFonts w:eastAsia="Calibri"/>
          <w:lang w:val="ru-RU"/>
        </w:rPr>
        <w:t xml:space="preserve">) </w:t>
      </w:r>
      <w:r w:rsidR="00BF3E96" w:rsidRPr="00A532CC">
        <w:rPr>
          <w:rFonts w:eastAsia="Calibri"/>
          <w:lang w:val="ru-RU"/>
        </w:rPr>
        <w:t>и из средств, сэкономленных за предыдущие годы</w:t>
      </w:r>
      <w:r w:rsidRPr="00A532CC">
        <w:rPr>
          <w:rFonts w:eastAsia="Calibri"/>
          <w:lang w:val="ru-RU"/>
        </w:rPr>
        <w:t xml:space="preserve"> </w:t>
      </w:r>
      <w:r w:rsidR="00BF3E96" w:rsidRPr="00A532CC">
        <w:rPr>
          <w:rFonts w:eastAsia="Calibri"/>
          <w:lang w:val="ru-RU"/>
        </w:rPr>
        <w:t>(1 млн. шв. фр.).</w:t>
      </w:r>
      <w:r w:rsidRPr="00A532CC">
        <w:rPr>
          <w:rFonts w:eastAsia="Calibri"/>
          <w:lang w:val="ru-RU"/>
        </w:rPr>
        <w:t xml:space="preserve"> </w:t>
      </w:r>
      <w:r w:rsidR="00BF3E96" w:rsidRPr="00A532CC">
        <w:rPr>
          <w:rFonts w:eastAsia="Calibri"/>
          <w:lang w:val="ru-RU"/>
        </w:rPr>
        <w:t xml:space="preserve">Оставшаяся сумма в </w:t>
      </w:r>
      <w:r w:rsidRPr="00A532CC">
        <w:rPr>
          <w:rFonts w:eastAsia="Calibri"/>
          <w:lang w:val="ru-RU"/>
        </w:rPr>
        <w:t>2</w:t>
      </w:r>
      <w:r w:rsidR="00BF3E96" w:rsidRPr="00A532CC">
        <w:rPr>
          <w:rFonts w:eastAsia="Calibri"/>
          <w:lang w:val="ru-RU"/>
        </w:rPr>
        <w:t> </w:t>
      </w:r>
      <w:proofErr w:type="gramStart"/>
      <w:r w:rsidR="00BF3E96" w:rsidRPr="00A532CC">
        <w:rPr>
          <w:rFonts w:eastAsia="Calibri"/>
          <w:lang w:val="ru-RU"/>
        </w:rPr>
        <w:t>млн.</w:t>
      </w:r>
      <w:proofErr w:type="gramEnd"/>
      <w:r w:rsidR="00BF3E96" w:rsidRPr="00A532CC">
        <w:rPr>
          <w:rFonts w:eastAsia="Calibri"/>
          <w:lang w:val="ru-RU"/>
        </w:rPr>
        <w:t xml:space="preserve"> швейцарских франков</w:t>
      </w:r>
      <w:r w:rsidR="00A3606B" w:rsidRPr="00A532CC">
        <w:rPr>
          <w:rFonts w:eastAsia="Calibri"/>
          <w:lang w:val="ru-RU"/>
        </w:rPr>
        <w:t>, необходимая</w:t>
      </w:r>
      <w:r w:rsidR="00BF3E96" w:rsidRPr="00A532CC">
        <w:rPr>
          <w:rFonts w:eastAsia="Calibri"/>
          <w:lang w:val="ru-RU"/>
        </w:rPr>
        <w:t xml:space="preserve"> для модернизации </w:t>
      </w:r>
      <w:r w:rsidRPr="00A532CC">
        <w:rPr>
          <w:rFonts w:eastAsia="Calibri"/>
          <w:lang w:val="ru-RU"/>
        </w:rPr>
        <w:t>ERP/CRM</w:t>
      </w:r>
      <w:r w:rsidR="00A3606B" w:rsidRPr="00A532CC">
        <w:rPr>
          <w:rFonts w:eastAsia="Calibri"/>
          <w:lang w:val="ru-RU"/>
        </w:rPr>
        <w:t>,</w:t>
      </w:r>
      <w:r w:rsidRPr="00A532CC">
        <w:rPr>
          <w:rFonts w:eastAsia="Calibri"/>
          <w:lang w:val="ru-RU"/>
        </w:rPr>
        <w:t xml:space="preserve"> </w:t>
      </w:r>
      <w:r w:rsidR="00BF3E96" w:rsidRPr="00A532CC">
        <w:rPr>
          <w:rFonts w:eastAsia="Calibri"/>
          <w:lang w:val="ru-RU"/>
        </w:rPr>
        <w:t xml:space="preserve">будет включена в </w:t>
      </w:r>
      <w:r w:rsidR="00F22D58" w:rsidRPr="00A532CC">
        <w:rPr>
          <w:rFonts w:eastAsia="Calibri"/>
          <w:lang w:val="ru-RU"/>
        </w:rPr>
        <w:t>С</w:t>
      </w:r>
      <w:r w:rsidR="00BF3E96" w:rsidRPr="00A532CC">
        <w:rPr>
          <w:rFonts w:eastAsia="Calibri"/>
          <w:lang w:val="ru-RU"/>
        </w:rPr>
        <w:t xml:space="preserve">тратегический и </w:t>
      </w:r>
      <w:r w:rsidR="00F22D58" w:rsidRPr="00A532CC">
        <w:rPr>
          <w:rFonts w:eastAsia="Calibri"/>
          <w:lang w:val="ru-RU"/>
        </w:rPr>
        <w:t>Ф</w:t>
      </w:r>
      <w:r w:rsidR="00BF3E96" w:rsidRPr="00A532CC">
        <w:rPr>
          <w:rFonts w:eastAsia="Calibri"/>
          <w:lang w:val="ru-RU"/>
        </w:rPr>
        <w:t>инансовый план</w:t>
      </w:r>
      <w:r w:rsidR="00A3606B" w:rsidRPr="00A532CC">
        <w:rPr>
          <w:rFonts w:eastAsia="Calibri"/>
          <w:lang w:val="ru-RU"/>
        </w:rPr>
        <w:t>ы</w:t>
      </w:r>
      <w:r w:rsidR="00BF3E96" w:rsidRPr="00A532CC">
        <w:rPr>
          <w:rFonts w:eastAsia="Calibri"/>
          <w:lang w:val="ru-RU"/>
        </w:rPr>
        <w:t xml:space="preserve"> на </w:t>
      </w:r>
      <w:r w:rsidRPr="00A532CC">
        <w:rPr>
          <w:rFonts w:eastAsia="Calibri"/>
          <w:lang w:val="ru-RU"/>
        </w:rPr>
        <w:t>2022</w:t>
      </w:r>
      <w:r w:rsidR="00BF3E96" w:rsidRPr="00A532CC">
        <w:rPr>
          <w:rFonts w:eastAsia="Calibri"/>
          <w:lang w:val="ru-RU"/>
        </w:rPr>
        <w:t>–</w:t>
      </w:r>
      <w:r w:rsidRPr="00A532CC">
        <w:rPr>
          <w:rFonts w:eastAsia="Calibri"/>
          <w:lang w:val="ru-RU"/>
        </w:rPr>
        <w:t>2025</w:t>
      </w:r>
      <w:r w:rsidR="00BF3E96" w:rsidRPr="00A532CC">
        <w:rPr>
          <w:rFonts w:eastAsia="Calibri"/>
          <w:lang w:val="ru-RU"/>
        </w:rPr>
        <w:t> годы</w:t>
      </w:r>
      <w:r w:rsidRPr="00A532CC">
        <w:rPr>
          <w:rFonts w:eastAsia="Calibri"/>
          <w:lang w:val="ru-RU"/>
        </w:rPr>
        <w:t>.</w:t>
      </w:r>
    </w:p>
    <w:p w14:paraId="05C9D292" w14:textId="4439D6C7" w:rsidR="001240B4" w:rsidRPr="00A532CC" w:rsidRDefault="001240B4" w:rsidP="00014BDF">
      <w:pPr>
        <w:rPr>
          <w:lang w:val="ru-RU"/>
        </w:rPr>
      </w:pPr>
      <w:r w:rsidRPr="00A532CC">
        <w:rPr>
          <w:rFonts w:eastAsia="Calibri"/>
          <w:lang w:val="ru-RU"/>
        </w:rPr>
        <w:t>3.3</w:t>
      </w:r>
      <w:r w:rsidRPr="00A532CC">
        <w:rPr>
          <w:rFonts w:eastAsia="Calibri"/>
          <w:lang w:val="ru-RU"/>
        </w:rPr>
        <w:tab/>
      </w:r>
      <w:r w:rsidR="00F71592" w:rsidRPr="00A532CC">
        <w:rPr>
          <w:rFonts w:eastAsia="Calibri"/>
          <w:u w:val="single"/>
          <w:lang w:val="ru-RU"/>
        </w:rPr>
        <w:t>Веб-сайт МСЭ</w:t>
      </w:r>
    </w:p>
    <w:p w14:paraId="2A9FE363" w14:textId="3BE39C66" w:rsidR="001240B4" w:rsidRPr="00A532CC" w:rsidRDefault="001240B4" w:rsidP="00014BDF">
      <w:pPr>
        <w:rPr>
          <w:rFonts w:eastAsiaTheme="minorEastAsia"/>
          <w:lang w:val="ru-RU"/>
        </w:rPr>
      </w:pPr>
      <w:r w:rsidRPr="00A532CC">
        <w:rPr>
          <w:rFonts w:eastAsiaTheme="minorEastAsia"/>
          <w:lang w:val="ru-RU"/>
        </w:rPr>
        <w:t>3.3.1</w:t>
      </w:r>
      <w:r w:rsidRPr="00A532CC">
        <w:rPr>
          <w:rFonts w:eastAsiaTheme="minorEastAsia"/>
          <w:lang w:val="ru-RU"/>
        </w:rPr>
        <w:tab/>
      </w:r>
      <w:r w:rsidR="00651AAB" w:rsidRPr="00A532CC">
        <w:rPr>
          <w:rFonts w:eastAsiaTheme="minorEastAsia"/>
          <w:lang w:val="ru-RU"/>
        </w:rPr>
        <w:t xml:space="preserve">Действующий веб-сайт МСЭ начал функционировать в </w:t>
      </w:r>
      <w:r w:rsidRPr="00A532CC">
        <w:rPr>
          <w:rFonts w:eastAsiaTheme="minorEastAsia"/>
          <w:lang w:val="ru-RU"/>
        </w:rPr>
        <w:t>2012</w:t>
      </w:r>
      <w:r w:rsidR="00651AAB" w:rsidRPr="00A532CC">
        <w:rPr>
          <w:rFonts w:eastAsiaTheme="minorEastAsia"/>
          <w:lang w:val="ru-RU"/>
        </w:rPr>
        <w:t> году и с тех пор естественным образом развивается</w:t>
      </w:r>
      <w:r w:rsidRPr="00A532CC">
        <w:rPr>
          <w:rFonts w:eastAsiaTheme="minorEastAsia"/>
          <w:lang w:val="ru-RU"/>
        </w:rPr>
        <w:t xml:space="preserve">. </w:t>
      </w:r>
      <w:r w:rsidR="00651AAB" w:rsidRPr="00A532CC">
        <w:rPr>
          <w:rFonts w:eastAsiaTheme="minorEastAsia"/>
          <w:lang w:val="ru-RU"/>
        </w:rPr>
        <w:t xml:space="preserve">Ежегодно веб-сайт посещают около </w:t>
      </w:r>
      <w:r w:rsidRPr="00A532CC">
        <w:rPr>
          <w:rFonts w:eastAsiaTheme="minorEastAsia"/>
          <w:lang w:val="ru-RU"/>
        </w:rPr>
        <w:t>2 </w:t>
      </w:r>
      <w:proofErr w:type="gramStart"/>
      <w:r w:rsidR="00651AAB" w:rsidRPr="00A532CC">
        <w:rPr>
          <w:rFonts w:eastAsiaTheme="minorEastAsia"/>
          <w:lang w:val="ru-RU"/>
        </w:rPr>
        <w:t>млн.</w:t>
      </w:r>
      <w:proofErr w:type="gramEnd"/>
      <w:r w:rsidR="00651AAB" w:rsidRPr="00A532CC">
        <w:rPr>
          <w:rFonts w:eastAsiaTheme="minorEastAsia"/>
          <w:lang w:val="ru-RU"/>
        </w:rPr>
        <w:t xml:space="preserve"> пользователей</w:t>
      </w:r>
      <w:r w:rsidRPr="00A532CC">
        <w:rPr>
          <w:rFonts w:eastAsiaTheme="minorEastAsia"/>
          <w:lang w:val="ru-RU"/>
        </w:rPr>
        <w:t xml:space="preserve">. </w:t>
      </w:r>
      <w:r w:rsidR="00651AAB" w:rsidRPr="00A532CC">
        <w:rPr>
          <w:rFonts w:eastAsiaTheme="minorEastAsia"/>
          <w:lang w:val="ru-RU"/>
        </w:rPr>
        <w:t>В 2018</w:t>
      </w:r>
      <w:r w:rsidR="00F22D58" w:rsidRPr="00A532CC">
        <w:rPr>
          <w:rFonts w:eastAsiaTheme="minorEastAsia"/>
          <w:lang w:val="ru-RU"/>
        </w:rPr>
        <w:t> </w:t>
      </w:r>
      <w:r w:rsidR="00651AAB" w:rsidRPr="00A532CC">
        <w:rPr>
          <w:rFonts w:eastAsiaTheme="minorEastAsia"/>
          <w:lang w:val="ru-RU"/>
        </w:rPr>
        <w:t>году поставщик действующей платформы МСЭ объявил о прекращении в ближайшие годы предоставления своей платформы и ее постоянной поддержки</w:t>
      </w:r>
      <w:r w:rsidRPr="00A532CC">
        <w:rPr>
          <w:rFonts w:eastAsiaTheme="minorEastAsia"/>
          <w:lang w:val="ru-RU"/>
        </w:rPr>
        <w:t xml:space="preserve">. </w:t>
      </w:r>
      <w:r w:rsidR="00651AAB" w:rsidRPr="00A532CC">
        <w:rPr>
          <w:rFonts w:eastAsiaTheme="minorEastAsia"/>
          <w:lang w:val="ru-RU"/>
        </w:rPr>
        <w:t>Работа в отсутствие платформы, поддерживаемой поставщиком, обусловливает значительный риск для непрерывности и безопасности деятельности</w:t>
      </w:r>
      <w:r w:rsidRPr="00A532CC">
        <w:rPr>
          <w:rFonts w:eastAsiaTheme="minorEastAsia"/>
          <w:lang w:val="ru-RU"/>
        </w:rPr>
        <w:t xml:space="preserve">. </w:t>
      </w:r>
      <w:r w:rsidR="005227DF" w:rsidRPr="00A532CC">
        <w:rPr>
          <w:rFonts w:eastAsiaTheme="minorEastAsia"/>
          <w:lang w:val="ru-RU"/>
        </w:rPr>
        <w:t>Прекращение развития существующей платформы ограничивает возможности МСЭ использовать доступные на рынке инновационные решения</w:t>
      </w:r>
      <w:r w:rsidRPr="00A532CC">
        <w:rPr>
          <w:rFonts w:eastAsiaTheme="minorEastAsia"/>
          <w:lang w:val="ru-RU"/>
        </w:rPr>
        <w:t xml:space="preserve"> (</w:t>
      </w:r>
      <w:r w:rsidR="005227DF" w:rsidRPr="00A532CC">
        <w:rPr>
          <w:rFonts w:eastAsiaTheme="minorEastAsia"/>
          <w:lang w:val="ru-RU"/>
        </w:rPr>
        <w:t>например,</w:t>
      </w:r>
      <w:r w:rsidRPr="00A532CC">
        <w:rPr>
          <w:rFonts w:eastAsiaTheme="minorEastAsia"/>
          <w:lang w:val="ru-RU"/>
        </w:rPr>
        <w:t xml:space="preserve"> </w:t>
      </w:r>
      <w:r w:rsidR="005227DF" w:rsidRPr="00A532CC">
        <w:rPr>
          <w:rFonts w:eastAsiaTheme="minorEastAsia"/>
          <w:lang w:val="ru-RU"/>
        </w:rPr>
        <w:t>в области машинного обучения и искусственного интеллекта</w:t>
      </w:r>
      <w:r w:rsidRPr="00A532CC">
        <w:rPr>
          <w:rFonts w:eastAsiaTheme="minorEastAsia"/>
          <w:lang w:val="ru-RU"/>
        </w:rPr>
        <w:t xml:space="preserve">), </w:t>
      </w:r>
      <w:r w:rsidR="005227DF" w:rsidRPr="00A532CC">
        <w:rPr>
          <w:rFonts w:eastAsiaTheme="minorEastAsia"/>
          <w:lang w:val="ru-RU"/>
        </w:rPr>
        <w:t>в том числе новые инструменты для согласования веб-сайта и поддержки машинного перевода на шесть языков</w:t>
      </w:r>
      <w:r w:rsidRPr="00A532CC">
        <w:rPr>
          <w:rFonts w:eastAsiaTheme="minorEastAsia"/>
          <w:lang w:val="ru-RU"/>
        </w:rPr>
        <w:t xml:space="preserve">. </w:t>
      </w:r>
      <w:r w:rsidR="005227DF" w:rsidRPr="00A532CC">
        <w:rPr>
          <w:rFonts w:eastAsiaTheme="minorEastAsia"/>
          <w:lang w:val="ru-RU"/>
        </w:rPr>
        <w:t>В связи с этим делается ссылка на документ Рабочей группы Совета по языкам</w:t>
      </w:r>
      <w:r w:rsidR="005D138B" w:rsidRPr="00A532CC">
        <w:rPr>
          <w:rFonts w:eastAsiaTheme="minorEastAsia"/>
          <w:lang w:val="ru-RU"/>
        </w:rPr>
        <w:t xml:space="preserve"> </w:t>
      </w:r>
      <w:r w:rsidR="005227DF" w:rsidRPr="00A532CC">
        <w:rPr>
          <w:rFonts w:eastAsiaTheme="minorEastAsia"/>
          <w:lang w:val="ru-RU"/>
        </w:rPr>
        <w:t>(</w:t>
      </w:r>
      <w:hyperlink r:id="rId15" w:history="1">
        <w:r w:rsidR="005227DF" w:rsidRPr="00A532CC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CWG-LANG/10/2</w:t>
        </w:r>
      </w:hyperlink>
      <w:r w:rsidR="005227DF" w:rsidRPr="00A532CC">
        <w:rPr>
          <w:rFonts w:eastAsiaTheme="minorEastAsia"/>
          <w:lang w:val="ru-RU"/>
        </w:rPr>
        <w:t xml:space="preserve">), </w:t>
      </w:r>
      <w:r w:rsidR="00B018EA" w:rsidRPr="00A532CC">
        <w:rPr>
          <w:rFonts w:eastAsiaTheme="minorEastAsia"/>
          <w:lang w:val="ru-RU"/>
        </w:rPr>
        <w:t xml:space="preserve">представленный на ее </w:t>
      </w:r>
      <w:r w:rsidR="002A5D06" w:rsidRPr="00A532CC">
        <w:rPr>
          <w:rFonts w:eastAsiaTheme="minorEastAsia"/>
          <w:lang w:val="ru-RU"/>
        </w:rPr>
        <w:t>собрани</w:t>
      </w:r>
      <w:r w:rsidR="00B018EA" w:rsidRPr="00A532CC">
        <w:rPr>
          <w:rFonts w:eastAsiaTheme="minorEastAsia"/>
          <w:lang w:val="ru-RU"/>
        </w:rPr>
        <w:t>и</w:t>
      </w:r>
      <w:r w:rsidR="00675EDE" w:rsidRPr="00A532CC">
        <w:rPr>
          <w:rFonts w:eastAsiaTheme="minorEastAsia"/>
          <w:lang w:val="ru-RU"/>
        </w:rPr>
        <w:t xml:space="preserve"> </w:t>
      </w:r>
      <w:r w:rsidR="005227DF" w:rsidRPr="00A532CC">
        <w:rPr>
          <w:rFonts w:eastAsiaTheme="minorEastAsia"/>
          <w:lang w:val="ru-RU"/>
        </w:rPr>
        <w:t>в феврале</w:t>
      </w:r>
      <w:r w:rsidRPr="00A532CC">
        <w:rPr>
          <w:rFonts w:eastAsiaTheme="minorEastAsia"/>
          <w:lang w:val="ru-RU"/>
        </w:rPr>
        <w:t xml:space="preserve"> 2020</w:t>
      </w:r>
      <w:r w:rsidR="005227DF" w:rsidRPr="00A532CC">
        <w:rPr>
          <w:rFonts w:eastAsiaTheme="minorEastAsia"/>
          <w:lang w:val="ru-RU"/>
        </w:rPr>
        <w:t> года</w:t>
      </w:r>
      <w:r w:rsidRPr="00A532CC">
        <w:rPr>
          <w:rFonts w:eastAsiaTheme="minorEastAsia"/>
          <w:lang w:val="ru-RU"/>
        </w:rPr>
        <w:t>.</w:t>
      </w:r>
    </w:p>
    <w:p w14:paraId="52E31738" w14:textId="4E8A17FE" w:rsidR="001240B4" w:rsidRPr="00A532CC" w:rsidRDefault="001240B4" w:rsidP="00014BDF">
      <w:pPr>
        <w:rPr>
          <w:rFonts w:eastAsiaTheme="minorEastAsia"/>
          <w:lang w:val="ru-RU"/>
        </w:rPr>
      </w:pPr>
      <w:r w:rsidRPr="00A532CC">
        <w:rPr>
          <w:rFonts w:eastAsiaTheme="minorEastAsia"/>
          <w:lang w:val="ru-RU"/>
        </w:rPr>
        <w:t>3.3.2</w:t>
      </w:r>
      <w:r w:rsidRPr="00A532CC">
        <w:rPr>
          <w:rFonts w:eastAsiaTheme="minorEastAsia"/>
          <w:lang w:val="ru-RU"/>
        </w:rPr>
        <w:tab/>
      </w:r>
      <w:r w:rsidR="00347EE3" w:rsidRPr="00A532CC">
        <w:rPr>
          <w:rFonts w:eastAsiaTheme="minorEastAsia"/>
          <w:lang w:val="ru-RU"/>
        </w:rPr>
        <w:t xml:space="preserve">Для смягчения этих рисков и поддержки инноваций, в том числе </w:t>
      </w:r>
      <w:r w:rsidR="00FF0074" w:rsidRPr="00A532CC">
        <w:rPr>
          <w:rFonts w:eastAsiaTheme="minorEastAsia"/>
          <w:lang w:val="ru-RU"/>
        </w:rPr>
        <w:t xml:space="preserve">для </w:t>
      </w:r>
      <w:r w:rsidR="00347EE3" w:rsidRPr="00A532CC">
        <w:rPr>
          <w:rFonts w:eastAsiaTheme="minorEastAsia"/>
          <w:lang w:val="ru-RU"/>
        </w:rPr>
        <w:t>улучш</w:t>
      </w:r>
      <w:r w:rsidR="00FF0074" w:rsidRPr="00A532CC">
        <w:rPr>
          <w:rFonts w:eastAsiaTheme="minorEastAsia"/>
          <w:lang w:val="ru-RU"/>
        </w:rPr>
        <w:t>ения</w:t>
      </w:r>
      <w:r w:rsidR="00347EE3" w:rsidRPr="00A532CC">
        <w:rPr>
          <w:rFonts w:eastAsiaTheme="minorEastAsia"/>
          <w:lang w:val="ru-RU"/>
        </w:rPr>
        <w:t xml:space="preserve"> доступ</w:t>
      </w:r>
      <w:r w:rsidR="00FF0074" w:rsidRPr="00A532CC">
        <w:rPr>
          <w:rFonts w:eastAsiaTheme="minorEastAsia"/>
          <w:lang w:val="ru-RU"/>
        </w:rPr>
        <w:t>а</w:t>
      </w:r>
      <w:r w:rsidR="00347EE3" w:rsidRPr="00A532CC">
        <w:rPr>
          <w:rFonts w:eastAsiaTheme="minorEastAsia"/>
          <w:lang w:val="ru-RU"/>
        </w:rPr>
        <w:t xml:space="preserve"> с мобильных устройств</w:t>
      </w:r>
      <w:r w:rsidRPr="00A532CC">
        <w:rPr>
          <w:rFonts w:eastAsiaTheme="minorEastAsia"/>
          <w:lang w:val="ru-RU"/>
        </w:rPr>
        <w:t xml:space="preserve">, </w:t>
      </w:r>
      <w:r w:rsidR="00347EE3" w:rsidRPr="00A532CC">
        <w:rPr>
          <w:rFonts w:eastAsiaTheme="minorEastAsia"/>
          <w:lang w:val="ru-RU"/>
        </w:rPr>
        <w:t>МСЭ необходимо перейти на современную платформу веб-сайта</w:t>
      </w:r>
      <w:r w:rsidRPr="00A532CC">
        <w:rPr>
          <w:rFonts w:eastAsiaTheme="minorEastAsia"/>
          <w:lang w:val="ru-RU"/>
        </w:rPr>
        <w:t xml:space="preserve">. </w:t>
      </w:r>
      <w:r w:rsidR="00347EE3" w:rsidRPr="00A532CC">
        <w:rPr>
          <w:rFonts w:eastAsiaTheme="minorEastAsia"/>
          <w:lang w:val="ru-RU"/>
        </w:rPr>
        <w:t>Современные платформы упрощают согласование и стандартизацию структур</w:t>
      </w:r>
      <w:r w:rsidR="00FF0074" w:rsidRPr="00A532CC">
        <w:rPr>
          <w:rFonts w:eastAsiaTheme="minorEastAsia"/>
          <w:lang w:val="ru-RU"/>
        </w:rPr>
        <w:t>ы</w:t>
      </w:r>
      <w:r w:rsidR="00347EE3" w:rsidRPr="00A532CC">
        <w:rPr>
          <w:rFonts w:eastAsiaTheme="minorEastAsia"/>
          <w:lang w:val="ru-RU"/>
        </w:rPr>
        <w:t xml:space="preserve"> и функциональных возможностей, и их сопровождение может осуществлять нетехнический персонал</w:t>
      </w:r>
      <w:r w:rsidRPr="00A532CC">
        <w:rPr>
          <w:rFonts w:eastAsiaTheme="minorEastAsia"/>
          <w:lang w:val="ru-RU"/>
        </w:rPr>
        <w:t xml:space="preserve">, </w:t>
      </w:r>
      <w:r w:rsidR="00347EE3" w:rsidRPr="00A532CC">
        <w:rPr>
          <w:rFonts w:eastAsiaTheme="minorEastAsia"/>
          <w:lang w:val="ru-RU"/>
        </w:rPr>
        <w:t xml:space="preserve">что </w:t>
      </w:r>
      <w:r w:rsidR="00FF0074" w:rsidRPr="00A532CC">
        <w:rPr>
          <w:rFonts w:eastAsiaTheme="minorEastAsia"/>
          <w:lang w:val="ru-RU"/>
        </w:rPr>
        <w:t>откроет новые возможности</w:t>
      </w:r>
      <w:r w:rsidR="00347EE3" w:rsidRPr="00A532CC">
        <w:rPr>
          <w:rFonts w:eastAsiaTheme="minorEastAsia"/>
          <w:lang w:val="ru-RU"/>
        </w:rPr>
        <w:t xml:space="preserve"> эффективно</w:t>
      </w:r>
      <w:r w:rsidR="00FF0074" w:rsidRPr="00A532CC">
        <w:rPr>
          <w:rFonts w:eastAsiaTheme="minorEastAsia"/>
          <w:lang w:val="ru-RU"/>
        </w:rPr>
        <w:t>го</w:t>
      </w:r>
      <w:r w:rsidR="00347EE3" w:rsidRPr="00A532CC">
        <w:rPr>
          <w:rFonts w:eastAsiaTheme="minorEastAsia"/>
          <w:lang w:val="ru-RU"/>
        </w:rPr>
        <w:t xml:space="preserve"> использования </w:t>
      </w:r>
      <w:r w:rsidR="00FF0074" w:rsidRPr="00A532CC">
        <w:rPr>
          <w:rFonts w:eastAsiaTheme="minorEastAsia"/>
          <w:lang w:val="ru-RU"/>
        </w:rPr>
        <w:t>работников</w:t>
      </w:r>
      <w:r w:rsidRPr="00A532CC">
        <w:rPr>
          <w:rFonts w:eastAsiaTheme="minorEastAsia"/>
          <w:lang w:val="ru-RU"/>
        </w:rPr>
        <w:t xml:space="preserve">. </w:t>
      </w:r>
      <w:r w:rsidR="00347EE3" w:rsidRPr="00A532CC">
        <w:rPr>
          <w:rFonts w:eastAsiaTheme="minorEastAsia"/>
          <w:lang w:val="ru-RU"/>
        </w:rPr>
        <w:t>Новая платформа позволит также предоставлять услуги, отвечающие отраслевым стандартам, для удовлетворения растущих ожиданий членов и других заинтересованных сторон</w:t>
      </w:r>
      <w:r w:rsidRPr="00A532CC">
        <w:rPr>
          <w:rFonts w:eastAsiaTheme="minorEastAsia"/>
          <w:lang w:val="ru-RU"/>
        </w:rPr>
        <w:t>.</w:t>
      </w:r>
    </w:p>
    <w:p w14:paraId="6CFE9968" w14:textId="24A81266" w:rsidR="001240B4" w:rsidRPr="00A532CC" w:rsidRDefault="001240B4" w:rsidP="00014BDF">
      <w:pPr>
        <w:rPr>
          <w:rFonts w:eastAsiaTheme="minorEastAsia"/>
          <w:lang w:val="ru-RU"/>
        </w:rPr>
      </w:pPr>
      <w:r w:rsidRPr="00A532CC">
        <w:rPr>
          <w:rFonts w:eastAsiaTheme="minorEastAsia"/>
          <w:lang w:val="ru-RU"/>
        </w:rPr>
        <w:t>3.3.3</w:t>
      </w:r>
      <w:r w:rsidRPr="00A532CC">
        <w:rPr>
          <w:rFonts w:eastAsiaTheme="minorEastAsia"/>
          <w:lang w:val="ru-RU"/>
        </w:rPr>
        <w:tab/>
      </w:r>
      <w:r w:rsidR="00CF46C1" w:rsidRPr="00A532CC">
        <w:rPr>
          <w:rFonts w:eastAsiaTheme="minorEastAsia"/>
          <w:lang w:val="ru-RU"/>
        </w:rPr>
        <w:t xml:space="preserve">Согласно первоначальной </w:t>
      </w:r>
      <w:r w:rsidR="00F22D58" w:rsidRPr="00A532CC">
        <w:rPr>
          <w:rFonts w:eastAsiaTheme="minorEastAsia"/>
          <w:lang w:val="ru-RU"/>
        </w:rPr>
        <w:t>оценке,</w:t>
      </w:r>
      <w:r w:rsidR="00CF46C1" w:rsidRPr="00A532CC">
        <w:rPr>
          <w:rFonts w:eastAsiaTheme="minorEastAsia"/>
          <w:lang w:val="ru-RU"/>
        </w:rPr>
        <w:t xml:space="preserve"> перевод на новую платформу потребуют 2 </w:t>
      </w:r>
      <w:proofErr w:type="gramStart"/>
      <w:r w:rsidR="00CF46C1" w:rsidRPr="00A532CC">
        <w:rPr>
          <w:rFonts w:eastAsiaTheme="minorEastAsia"/>
          <w:lang w:val="ru-RU"/>
        </w:rPr>
        <w:t>млн.</w:t>
      </w:r>
      <w:proofErr w:type="gramEnd"/>
      <w:r w:rsidR="00A532CC" w:rsidRPr="00A532CC">
        <w:rPr>
          <w:rFonts w:eastAsiaTheme="minorEastAsia"/>
          <w:lang w:val="ru-RU"/>
        </w:rPr>
        <w:t> </w:t>
      </w:r>
      <w:r w:rsidR="00CF46C1" w:rsidRPr="00A532CC">
        <w:rPr>
          <w:rFonts w:eastAsiaTheme="minorEastAsia"/>
          <w:lang w:val="ru-RU"/>
        </w:rPr>
        <w:t>швейцарских франков в течение трехлетнего периода</w:t>
      </w:r>
      <w:r w:rsidRPr="00A532CC">
        <w:rPr>
          <w:rFonts w:eastAsiaTheme="minorEastAsia"/>
          <w:lang w:val="ru-RU"/>
        </w:rPr>
        <w:t>.</w:t>
      </w:r>
    </w:p>
    <w:p w14:paraId="7E50115B" w14:textId="20740C0C" w:rsidR="001240B4" w:rsidRPr="00A532CC" w:rsidRDefault="001240B4" w:rsidP="00014BDF">
      <w:pPr>
        <w:pStyle w:val="Heading1"/>
        <w:rPr>
          <w:lang w:val="ru-RU"/>
        </w:rPr>
      </w:pPr>
      <w:r w:rsidRPr="00A532CC">
        <w:rPr>
          <w:lang w:val="ru-RU"/>
        </w:rPr>
        <w:t>4</w:t>
      </w:r>
      <w:r w:rsidRPr="00A532CC">
        <w:rPr>
          <w:lang w:val="ru-RU"/>
        </w:rPr>
        <w:tab/>
      </w:r>
      <w:r w:rsidR="00F71592" w:rsidRPr="00A532CC">
        <w:rPr>
          <w:lang w:val="ru-RU"/>
        </w:rPr>
        <w:t>Заключение</w:t>
      </w:r>
    </w:p>
    <w:p w14:paraId="60B6C385" w14:textId="13A32CC0" w:rsidR="001240B4" w:rsidRPr="00A532CC" w:rsidRDefault="00A443FE" w:rsidP="00014BDF">
      <w:pPr>
        <w:rPr>
          <w:lang w:val="ru-RU"/>
        </w:rPr>
      </w:pPr>
      <w:r w:rsidRPr="00A532CC">
        <w:rPr>
          <w:lang w:val="ru-RU"/>
        </w:rPr>
        <w:t>Требуется безотлагательная модернизация информационной инфраструктур</w:t>
      </w:r>
      <w:r w:rsidR="00F22D58" w:rsidRPr="00A532CC">
        <w:rPr>
          <w:lang w:val="ru-RU"/>
        </w:rPr>
        <w:t>ы</w:t>
      </w:r>
      <w:r w:rsidRPr="00A532CC">
        <w:rPr>
          <w:lang w:val="ru-RU"/>
        </w:rPr>
        <w:t xml:space="preserve"> МСЭ и инвестиции, для того чтобы </w:t>
      </w:r>
      <w:r w:rsidR="00B96962" w:rsidRPr="00A532CC">
        <w:rPr>
          <w:lang w:val="ru-RU"/>
        </w:rPr>
        <w:t>информационная инфраструктура по-прежнему</w:t>
      </w:r>
      <w:r w:rsidRPr="00A532CC">
        <w:rPr>
          <w:lang w:val="ru-RU"/>
        </w:rPr>
        <w:t xml:space="preserve"> отвечала своему назначению и была безопасной, соответствовала возрастающим потребностям персонала, членов и других заинтересованных сторон МСЭ,</w:t>
      </w:r>
      <w:r w:rsidR="00B96962" w:rsidRPr="00A532CC">
        <w:rPr>
          <w:lang w:val="ru-RU"/>
        </w:rPr>
        <w:t xml:space="preserve"> лучше была приспособлена для удовлетворения будущих потребностей</w:t>
      </w:r>
      <w:r w:rsidR="00F22D58" w:rsidRPr="00A532CC">
        <w:rPr>
          <w:lang w:val="ru-RU"/>
        </w:rPr>
        <w:t>, связанных с</w:t>
      </w:r>
      <w:r w:rsidR="00B96962" w:rsidRPr="00A532CC">
        <w:rPr>
          <w:lang w:val="ru-RU"/>
        </w:rPr>
        <w:t xml:space="preserve"> непрерывност</w:t>
      </w:r>
      <w:r w:rsidR="00F22D58" w:rsidRPr="00A532CC">
        <w:rPr>
          <w:lang w:val="ru-RU"/>
        </w:rPr>
        <w:t>ью</w:t>
      </w:r>
      <w:r w:rsidR="00B96962" w:rsidRPr="00A532CC">
        <w:rPr>
          <w:lang w:val="ru-RU"/>
        </w:rPr>
        <w:t xml:space="preserve"> деятельности и восстановлени</w:t>
      </w:r>
      <w:r w:rsidR="00F22D58" w:rsidRPr="00A532CC">
        <w:rPr>
          <w:lang w:val="ru-RU"/>
        </w:rPr>
        <w:t>ем</w:t>
      </w:r>
      <w:r w:rsidR="00B96962" w:rsidRPr="00A532CC">
        <w:rPr>
          <w:lang w:val="ru-RU"/>
        </w:rPr>
        <w:t xml:space="preserve"> после бедстви</w:t>
      </w:r>
      <w:r w:rsidR="00C23278" w:rsidRPr="00A532CC">
        <w:rPr>
          <w:lang w:val="ru-RU"/>
        </w:rPr>
        <w:t>й</w:t>
      </w:r>
      <w:r w:rsidR="00F22D58" w:rsidRPr="00A532CC">
        <w:rPr>
          <w:lang w:val="ru-RU"/>
        </w:rPr>
        <w:t>,</w:t>
      </w:r>
      <w:r w:rsidR="00B96962" w:rsidRPr="00A532CC">
        <w:rPr>
          <w:lang w:val="ru-RU"/>
        </w:rPr>
        <w:t xml:space="preserve"> и была подготовлена к новой рабочей среде в будущем здании штаб-квартиры МСЭ</w:t>
      </w:r>
      <w:r w:rsidR="001240B4" w:rsidRPr="00A532CC">
        <w:rPr>
          <w:lang w:val="ru-RU"/>
        </w:rPr>
        <w:t>.</w:t>
      </w:r>
    </w:p>
    <w:p w14:paraId="5E77C212" w14:textId="4E6B856E" w:rsidR="001240B4" w:rsidRPr="00A532CC" w:rsidRDefault="008A1F76" w:rsidP="00014BDF">
      <w:pPr>
        <w:rPr>
          <w:lang w:val="ru-RU"/>
        </w:rPr>
      </w:pPr>
      <w:r w:rsidRPr="00A532CC">
        <w:rPr>
          <w:lang w:val="ru-RU"/>
        </w:rPr>
        <w:t xml:space="preserve">Совету предлагает принять к сведению настоящий отчет, содержащиеся в нем </w:t>
      </w:r>
      <w:r w:rsidR="009C16D2" w:rsidRPr="00A532CC">
        <w:rPr>
          <w:lang w:val="ru-RU"/>
        </w:rPr>
        <w:t>запросы</w:t>
      </w:r>
      <w:r w:rsidRPr="00A532CC">
        <w:rPr>
          <w:lang w:val="ru-RU"/>
        </w:rPr>
        <w:t xml:space="preserve"> на инвестиции и </w:t>
      </w:r>
      <w:r w:rsidR="00F748E2" w:rsidRPr="00A532CC">
        <w:rPr>
          <w:lang w:val="ru-RU"/>
        </w:rPr>
        <w:t xml:space="preserve">рекомендовать </w:t>
      </w:r>
      <w:r w:rsidR="005C3369" w:rsidRPr="00A532CC">
        <w:rPr>
          <w:lang w:val="ru-RU"/>
        </w:rPr>
        <w:t xml:space="preserve">порядок дальнейших действий </w:t>
      </w:r>
      <w:r w:rsidR="00F748E2" w:rsidRPr="00A532CC">
        <w:rPr>
          <w:lang w:val="ru-RU"/>
        </w:rPr>
        <w:t xml:space="preserve">в </w:t>
      </w:r>
      <w:r w:rsidR="00C23278" w:rsidRPr="00A532CC">
        <w:rPr>
          <w:lang w:val="ru-RU"/>
        </w:rPr>
        <w:t>отношении</w:t>
      </w:r>
      <w:r w:rsidR="00F748E2" w:rsidRPr="00A532CC">
        <w:rPr>
          <w:lang w:val="ru-RU"/>
        </w:rPr>
        <w:t xml:space="preserve"> финансирования</w:t>
      </w:r>
      <w:r w:rsidR="001240B4" w:rsidRPr="00A532CC">
        <w:rPr>
          <w:lang w:val="ru-RU"/>
        </w:rPr>
        <w:t>.</w:t>
      </w:r>
    </w:p>
    <w:p w14:paraId="335D16F0" w14:textId="366900B9" w:rsidR="001240B4" w:rsidRPr="00A532CC" w:rsidRDefault="00C23278" w:rsidP="00014BDF">
      <w:pPr>
        <w:rPr>
          <w:lang w:val="ru-RU"/>
        </w:rPr>
      </w:pPr>
      <w:r w:rsidRPr="00A532CC">
        <w:rPr>
          <w:lang w:val="ru-RU"/>
        </w:rPr>
        <w:t>Сметные з</w:t>
      </w:r>
      <w:r w:rsidR="009C16D2" w:rsidRPr="00A532CC">
        <w:rPr>
          <w:lang w:val="ru-RU"/>
        </w:rPr>
        <w:t>аявки на финансирование инвестиций составляют 13 </w:t>
      </w:r>
      <w:proofErr w:type="gramStart"/>
      <w:r w:rsidR="009C16D2" w:rsidRPr="00A532CC">
        <w:rPr>
          <w:lang w:val="ru-RU"/>
        </w:rPr>
        <w:t>млн.</w:t>
      </w:r>
      <w:proofErr w:type="gramEnd"/>
      <w:r w:rsidR="009C16D2" w:rsidRPr="00A532CC">
        <w:rPr>
          <w:lang w:val="ru-RU"/>
        </w:rPr>
        <w:t xml:space="preserve"> швейцарских франков в течение следующих пяти лет и распределяются следующим образом</w:t>
      </w:r>
      <w:r w:rsidR="001240B4" w:rsidRPr="00A532CC">
        <w:rPr>
          <w:lang w:val="ru-RU"/>
        </w:rPr>
        <w:t>:</w:t>
      </w:r>
    </w:p>
    <w:p w14:paraId="1545CC55" w14:textId="1A34E4F2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1)</w:t>
      </w:r>
      <w:r w:rsidRPr="00A532CC">
        <w:rPr>
          <w:lang w:val="ru-RU"/>
        </w:rPr>
        <w:tab/>
      </w:r>
      <w:r w:rsidR="009C16D2" w:rsidRPr="00A532CC">
        <w:rPr>
          <w:lang w:val="ru-RU"/>
        </w:rPr>
        <w:t>управление информацией и записями – по оценкам, 8 </w:t>
      </w:r>
      <w:proofErr w:type="gramStart"/>
      <w:r w:rsidR="009C16D2" w:rsidRPr="00A532CC">
        <w:rPr>
          <w:lang w:val="ru-RU"/>
        </w:rPr>
        <w:t>млн.</w:t>
      </w:r>
      <w:proofErr w:type="gramEnd"/>
      <w:r w:rsidR="009C16D2" w:rsidRPr="00A532CC">
        <w:rPr>
          <w:lang w:val="ru-RU"/>
        </w:rPr>
        <w:t xml:space="preserve"> швейцарских франков в течение следующих пяти лет;</w:t>
      </w:r>
    </w:p>
    <w:p w14:paraId="31BC95DF" w14:textId="5F795244" w:rsidR="001240B4" w:rsidRPr="00A532CC" w:rsidRDefault="00014BDF" w:rsidP="00014BDF">
      <w:pPr>
        <w:pStyle w:val="enumlev1"/>
        <w:rPr>
          <w:lang w:val="ru-RU"/>
        </w:rPr>
      </w:pPr>
      <w:r w:rsidRPr="00A532CC">
        <w:rPr>
          <w:lang w:val="ru-RU"/>
        </w:rPr>
        <w:t>2)</w:t>
      </w:r>
      <w:r w:rsidRPr="00A532CC">
        <w:rPr>
          <w:lang w:val="ru-RU"/>
        </w:rPr>
        <w:tab/>
      </w:r>
      <w:r w:rsidR="009C16D2" w:rsidRPr="00A532CC">
        <w:rPr>
          <w:lang w:val="ru-RU"/>
        </w:rPr>
        <w:t xml:space="preserve">рабочие инструменты Союза на базе информационных технологий (ИТ) – по оценкам, </w:t>
      </w:r>
      <w:r w:rsidR="001240B4" w:rsidRPr="00A532CC">
        <w:rPr>
          <w:lang w:val="ru-RU"/>
        </w:rPr>
        <w:t>3 </w:t>
      </w:r>
      <w:proofErr w:type="gramStart"/>
      <w:r w:rsidR="00E60DA7" w:rsidRPr="00A532CC">
        <w:rPr>
          <w:lang w:val="ru-RU"/>
        </w:rPr>
        <w:t>млн.</w:t>
      </w:r>
      <w:proofErr w:type="gramEnd"/>
      <w:r w:rsidRPr="00A532CC">
        <w:rPr>
          <w:lang w:val="ru-RU"/>
        </w:rPr>
        <w:t> </w:t>
      </w:r>
      <w:r w:rsidR="00E60DA7" w:rsidRPr="00A532CC">
        <w:rPr>
          <w:lang w:val="ru-RU"/>
        </w:rPr>
        <w:t xml:space="preserve">швейцарских франков </w:t>
      </w:r>
      <w:r w:rsidR="001240B4" w:rsidRPr="00A532CC">
        <w:rPr>
          <w:lang w:val="ru-RU"/>
        </w:rPr>
        <w:t>(</w:t>
      </w:r>
      <w:r w:rsidR="00E60DA7" w:rsidRPr="00A532CC">
        <w:rPr>
          <w:lang w:val="ru-RU"/>
        </w:rPr>
        <w:t xml:space="preserve">включая </w:t>
      </w:r>
      <w:r w:rsidR="001240B4" w:rsidRPr="00A532CC">
        <w:rPr>
          <w:lang w:val="ru-RU"/>
        </w:rPr>
        <w:t>2 </w:t>
      </w:r>
      <w:r w:rsidR="00E60DA7" w:rsidRPr="00A532CC">
        <w:rPr>
          <w:lang w:val="ru-RU"/>
        </w:rPr>
        <w:t>млн., ожидаемых для</w:t>
      </w:r>
      <w:r w:rsidR="001240B4" w:rsidRPr="00A532CC">
        <w:rPr>
          <w:lang w:val="ru-RU"/>
        </w:rPr>
        <w:t xml:space="preserve"> ERP/CRM) </w:t>
      </w:r>
      <w:r w:rsidR="00E60DA7" w:rsidRPr="00A532CC">
        <w:rPr>
          <w:lang w:val="ru-RU"/>
        </w:rPr>
        <w:t>в течение следующих четырех лет;</w:t>
      </w:r>
    </w:p>
    <w:p w14:paraId="2ACE604F" w14:textId="588E8502" w:rsidR="001240B4" w:rsidRPr="00A532CC" w:rsidRDefault="00014BDF" w:rsidP="00014BDF">
      <w:pPr>
        <w:pStyle w:val="enumlev1"/>
        <w:rPr>
          <w:rFonts w:eastAsia="Calibri"/>
          <w:lang w:val="ru-RU"/>
        </w:rPr>
      </w:pPr>
      <w:r w:rsidRPr="00A532CC">
        <w:rPr>
          <w:lang w:val="ru-RU"/>
        </w:rPr>
        <w:t>3)</w:t>
      </w:r>
      <w:r w:rsidRPr="00A532CC">
        <w:rPr>
          <w:lang w:val="ru-RU"/>
        </w:rPr>
        <w:tab/>
      </w:r>
      <w:r w:rsidR="00E60DA7" w:rsidRPr="00A532CC">
        <w:rPr>
          <w:lang w:val="ru-RU"/>
        </w:rPr>
        <w:t xml:space="preserve">связь/новая </w:t>
      </w:r>
      <w:r w:rsidR="00C23278" w:rsidRPr="00A532CC">
        <w:rPr>
          <w:lang w:val="ru-RU"/>
        </w:rPr>
        <w:t>веб-</w:t>
      </w:r>
      <w:r w:rsidR="00E60DA7" w:rsidRPr="00A532CC">
        <w:rPr>
          <w:lang w:val="ru-RU"/>
        </w:rPr>
        <w:t>платформа – по оценкам, 2 </w:t>
      </w:r>
      <w:proofErr w:type="gramStart"/>
      <w:r w:rsidR="00E60DA7" w:rsidRPr="00A532CC">
        <w:rPr>
          <w:lang w:val="ru-RU"/>
        </w:rPr>
        <w:t>млн.</w:t>
      </w:r>
      <w:proofErr w:type="gramEnd"/>
      <w:r w:rsidR="00E60DA7" w:rsidRPr="00A532CC">
        <w:rPr>
          <w:lang w:val="ru-RU"/>
        </w:rPr>
        <w:t xml:space="preserve"> швейцарских франков в течение трех лет</w:t>
      </w:r>
      <w:r w:rsidR="001240B4" w:rsidRPr="00A532CC">
        <w:rPr>
          <w:rFonts w:eastAsia="Arial"/>
          <w:lang w:val="ru-RU"/>
        </w:rPr>
        <w:t>.</w:t>
      </w:r>
    </w:p>
    <w:p w14:paraId="33A8E261" w14:textId="77777777" w:rsidR="00014BDF" w:rsidRPr="00A532CC" w:rsidRDefault="00014BDF" w:rsidP="00A532CC">
      <w:pPr>
        <w:spacing w:before="360"/>
        <w:jc w:val="center"/>
        <w:rPr>
          <w:lang w:val="ru-RU"/>
        </w:rPr>
      </w:pPr>
      <w:r w:rsidRPr="00A532CC">
        <w:rPr>
          <w:lang w:val="ru-RU"/>
        </w:rPr>
        <w:t>______________</w:t>
      </w:r>
    </w:p>
    <w:sectPr w:rsidR="00014BDF" w:rsidRPr="00A532CC" w:rsidSect="00A532CC"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3B49" w14:textId="77777777" w:rsidR="00335CBD" w:rsidRDefault="00335CBD">
      <w:r>
        <w:separator/>
      </w:r>
    </w:p>
  </w:endnote>
  <w:endnote w:type="continuationSeparator" w:id="0">
    <w:p w14:paraId="34E73735" w14:textId="77777777" w:rsidR="00335CBD" w:rsidRDefault="003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F11B" w14:textId="6EDA7F12" w:rsidR="00335CBD" w:rsidRPr="00F022BE" w:rsidRDefault="00335CBD" w:rsidP="009A35F1">
    <w:pPr>
      <w:pStyle w:val="Footer"/>
      <w:rPr>
        <w:color w:val="D9D9D9" w:themeColor="background1" w:themeShade="D9"/>
      </w:rPr>
    </w:pPr>
    <w:r w:rsidRPr="00F022BE">
      <w:rPr>
        <w:color w:val="D9D9D9" w:themeColor="background1" w:themeShade="D9"/>
        <w:lang w:val="en-US"/>
      </w:rPr>
      <w:fldChar w:fldCharType="begin"/>
    </w:r>
    <w:r w:rsidRPr="00F022BE">
      <w:rPr>
        <w:color w:val="D9D9D9" w:themeColor="background1" w:themeShade="D9"/>
      </w:rPr>
      <w:instrText xml:space="preserve"> FILENAME \p  \* MERGEFORMAT </w:instrText>
    </w:r>
    <w:r w:rsidRPr="00F022BE">
      <w:rPr>
        <w:color w:val="D9D9D9" w:themeColor="background1" w:themeShade="D9"/>
        <w:lang w:val="en-US"/>
      </w:rPr>
      <w:fldChar w:fldCharType="separate"/>
    </w:r>
    <w:r w:rsidR="00A532CC" w:rsidRPr="00F022BE">
      <w:rPr>
        <w:color w:val="D9D9D9" w:themeColor="background1" w:themeShade="D9"/>
      </w:rPr>
      <w:t>P:\RUS\SG\CONSEIL\C20\000\053R.docx</w:t>
    </w:r>
    <w:r w:rsidRPr="00F022BE">
      <w:rPr>
        <w:color w:val="D9D9D9" w:themeColor="background1" w:themeShade="D9"/>
        <w:lang w:val="en-US"/>
      </w:rPr>
      <w:fldChar w:fldCharType="end"/>
    </w:r>
    <w:r w:rsidRPr="00F022BE">
      <w:rPr>
        <w:color w:val="D9D9D9" w:themeColor="background1" w:themeShade="D9"/>
      </w:rPr>
      <w:t xml:space="preserve"> (46</w:t>
    </w:r>
    <w:r w:rsidR="001240B4" w:rsidRPr="00F022BE">
      <w:rPr>
        <w:color w:val="D9D9D9" w:themeColor="background1" w:themeShade="D9"/>
      </w:rPr>
      <w:t>7365</w:t>
    </w:r>
    <w:r w:rsidRPr="00F022BE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B560" w14:textId="6E25E8B6" w:rsidR="00335CBD" w:rsidRPr="009A35F1" w:rsidRDefault="00335CBD" w:rsidP="00F022B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E7570" w14:textId="77777777" w:rsidR="00335CBD" w:rsidRDefault="00335CBD">
      <w:r>
        <w:t>____________________</w:t>
      </w:r>
    </w:p>
  </w:footnote>
  <w:footnote w:type="continuationSeparator" w:id="0">
    <w:p w14:paraId="764E8CE1" w14:textId="77777777" w:rsidR="00335CBD" w:rsidRDefault="0033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FDF1D" w14:textId="77777777" w:rsidR="00335CBD" w:rsidRDefault="00335CBD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C2F4B68" w14:textId="1215560C" w:rsidR="00335CBD" w:rsidRDefault="00335CBD" w:rsidP="00014BDF">
    <w:pPr>
      <w:pStyle w:val="Header"/>
    </w:pPr>
    <w:r>
      <w:t>C20/5</w:t>
    </w:r>
    <w:r w:rsidR="001240B4">
      <w:rPr>
        <w:lang w:val="ru-RU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6368"/>
        </w:tabs>
        <w:ind w:left="6368" w:hanging="360"/>
      </w:pPr>
      <w:rPr>
        <w:rFonts w:ascii="Symbol" w:hAnsi="Symbol" w:hint="default"/>
      </w:rPr>
    </w:lvl>
  </w:abstractNum>
  <w:abstractNum w:abstractNumId="1" w15:restartNumberingAfterBreak="0">
    <w:nsid w:val="06DF551E"/>
    <w:multiLevelType w:val="hybridMultilevel"/>
    <w:tmpl w:val="FFFFFFFF"/>
    <w:lvl w:ilvl="0" w:tplc="40207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0A4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B66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40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4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62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0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44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17A"/>
    <w:multiLevelType w:val="hybridMultilevel"/>
    <w:tmpl w:val="99F4BD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92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E2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A2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8B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9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0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C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88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357D"/>
    <w:multiLevelType w:val="hybridMultilevel"/>
    <w:tmpl w:val="06F09C7E"/>
    <w:lvl w:ilvl="0" w:tplc="54DE3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08520" w:tentative="1">
      <w:start w:val="1"/>
      <w:numFmt w:val="lowerLetter"/>
      <w:lvlText w:val="%2."/>
      <w:lvlJc w:val="left"/>
      <w:pPr>
        <w:ind w:left="1440" w:hanging="360"/>
      </w:pPr>
    </w:lvl>
    <w:lvl w:ilvl="2" w:tplc="BE58D9E4" w:tentative="1">
      <w:start w:val="1"/>
      <w:numFmt w:val="lowerRoman"/>
      <w:lvlText w:val="%3."/>
      <w:lvlJc w:val="right"/>
      <w:pPr>
        <w:ind w:left="2160" w:hanging="180"/>
      </w:pPr>
    </w:lvl>
    <w:lvl w:ilvl="3" w:tplc="C08AF50E" w:tentative="1">
      <w:start w:val="1"/>
      <w:numFmt w:val="decimal"/>
      <w:lvlText w:val="%4."/>
      <w:lvlJc w:val="left"/>
      <w:pPr>
        <w:ind w:left="2880" w:hanging="360"/>
      </w:pPr>
    </w:lvl>
    <w:lvl w:ilvl="4" w:tplc="AB2C6B3E" w:tentative="1">
      <w:start w:val="1"/>
      <w:numFmt w:val="lowerLetter"/>
      <w:lvlText w:val="%5."/>
      <w:lvlJc w:val="left"/>
      <w:pPr>
        <w:ind w:left="3600" w:hanging="360"/>
      </w:pPr>
    </w:lvl>
    <w:lvl w:ilvl="5" w:tplc="A930462E" w:tentative="1">
      <w:start w:val="1"/>
      <w:numFmt w:val="lowerRoman"/>
      <w:lvlText w:val="%6."/>
      <w:lvlJc w:val="right"/>
      <w:pPr>
        <w:ind w:left="4320" w:hanging="180"/>
      </w:pPr>
    </w:lvl>
    <w:lvl w:ilvl="6" w:tplc="B17081A2" w:tentative="1">
      <w:start w:val="1"/>
      <w:numFmt w:val="decimal"/>
      <w:lvlText w:val="%7."/>
      <w:lvlJc w:val="left"/>
      <w:pPr>
        <w:ind w:left="5040" w:hanging="360"/>
      </w:pPr>
    </w:lvl>
    <w:lvl w:ilvl="7" w:tplc="880CDEC4" w:tentative="1">
      <w:start w:val="1"/>
      <w:numFmt w:val="lowerLetter"/>
      <w:lvlText w:val="%8."/>
      <w:lvlJc w:val="left"/>
      <w:pPr>
        <w:ind w:left="5760" w:hanging="360"/>
      </w:pPr>
    </w:lvl>
    <w:lvl w:ilvl="8" w:tplc="C17C3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3F12"/>
    <w:multiLevelType w:val="hybridMultilevel"/>
    <w:tmpl w:val="983EF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75A2"/>
    <w:multiLevelType w:val="hybridMultilevel"/>
    <w:tmpl w:val="3FD899C2"/>
    <w:lvl w:ilvl="0" w:tplc="E6B0B3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B260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9035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203A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6415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B20A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0074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A080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7E5B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3208C1"/>
    <w:multiLevelType w:val="hybridMultilevel"/>
    <w:tmpl w:val="215E58FC"/>
    <w:lvl w:ilvl="0" w:tplc="FFFFFFFF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5"/>
    <w:rsid w:val="0001081F"/>
    <w:rsid w:val="00014BDF"/>
    <w:rsid w:val="000206E1"/>
    <w:rsid w:val="0002183E"/>
    <w:rsid w:val="00025C7A"/>
    <w:rsid w:val="000569B4"/>
    <w:rsid w:val="00076729"/>
    <w:rsid w:val="00080E82"/>
    <w:rsid w:val="000A6FD4"/>
    <w:rsid w:val="000B5667"/>
    <w:rsid w:val="000B5AFF"/>
    <w:rsid w:val="000D4E15"/>
    <w:rsid w:val="000E568E"/>
    <w:rsid w:val="001000FF"/>
    <w:rsid w:val="001103F4"/>
    <w:rsid w:val="00117917"/>
    <w:rsid w:val="001240B4"/>
    <w:rsid w:val="0012490D"/>
    <w:rsid w:val="0014734F"/>
    <w:rsid w:val="0015710D"/>
    <w:rsid w:val="00163A32"/>
    <w:rsid w:val="0018092B"/>
    <w:rsid w:val="00192B41"/>
    <w:rsid w:val="001B7B09"/>
    <w:rsid w:val="001D684B"/>
    <w:rsid w:val="001E6719"/>
    <w:rsid w:val="0020188E"/>
    <w:rsid w:val="00223278"/>
    <w:rsid w:val="00225340"/>
    <w:rsid w:val="00225368"/>
    <w:rsid w:val="00227FF0"/>
    <w:rsid w:val="00291EB6"/>
    <w:rsid w:val="00292C6F"/>
    <w:rsid w:val="00295BE7"/>
    <w:rsid w:val="002A1E59"/>
    <w:rsid w:val="002A448F"/>
    <w:rsid w:val="002A5D06"/>
    <w:rsid w:val="002C0F57"/>
    <w:rsid w:val="002D2F57"/>
    <w:rsid w:val="002D48C5"/>
    <w:rsid w:val="003117A0"/>
    <w:rsid w:val="00312CF2"/>
    <w:rsid w:val="00335CBD"/>
    <w:rsid w:val="00336BB5"/>
    <w:rsid w:val="00342C31"/>
    <w:rsid w:val="00347EE3"/>
    <w:rsid w:val="003764B6"/>
    <w:rsid w:val="00382DB1"/>
    <w:rsid w:val="00384CA0"/>
    <w:rsid w:val="003A58A0"/>
    <w:rsid w:val="003B666B"/>
    <w:rsid w:val="003B7DB5"/>
    <w:rsid w:val="003C21A2"/>
    <w:rsid w:val="003E446E"/>
    <w:rsid w:val="003F00A9"/>
    <w:rsid w:val="003F099E"/>
    <w:rsid w:val="003F235E"/>
    <w:rsid w:val="003F5637"/>
    <w:rsid w:val="004023E0"/>
    <w:rsid w:val="00403DD8"/>
    <w:rsid w:val="00414003"/>
    <w:rsid w:val="0044046C"/>
    <w:rsid w:val="00442515"/>
    <w:rsid w:val="0045132F"/>
    <w:rsid w:val="0045686C"/>
    <w:rsid w:val="00472CE7"/>
    <w:rsid w:val="004918C4"/>
    <w:rsid w:val="00497703"/>
    <w:rsid w:val="004A0374"/>
    <w:rsid w:val="004A45B5"/>
    <w:rsid w:val="004D0129"/>
    <w:rsid w:val="004F2C2C"/>
    <w:rsid w:val="004F5486"/>
    <w:rsid w:val="00516B76"/>
    <w:rsid w:val="005227DF"/>
    <w:rsid w:val="0052315F"/>
    <w:rsid w:val="005505AC"/>
    <w:rsid w:val="00563645"/>
    <w:rsid w:val="0056405F"/>
    <w:rsid w:val="005730DD"/>
    <w:rsid w:val="00587532"/>
    <w:rsid w:val="005A64D5"/>
    <w:rsid w:val="005B1F81"/>
    <w:rsid w:val="005B2526"/>
    <w:rsid w:val="005B3DEC"/>
    <w:rsid w:val="005B4701"/>
    <w:rsid w:val="005C3369"/>
    <w:rsid w:val="005D138B"/>
    <w:rsid w:val="005E2046"/>
    <w:rsid w:val="005E22A0"/>
    <w:rsid w:val="005F7880"/>
    <w:rsid w:val="00601994"/>
    <w:rsid w:val="006114F6"/>
    <w:rsid w:val="006463D1"/>
    <w:rsid w:val="00651AAB"/>
    <w:rsid w:val="00675EDE"/>
    <w:rsid w:val="006E2D42"/>
    <w:rsid w:val="006E7655"/>
    <w:rsid w:val="00703676"/>
    <w:rsid w:val="007039C0"/>
    <w:rsid w:val="00707304"/>
    <w:rsid w:val="0071005A"/>
    <w:rsid w:val="00722B87"/>
    <w:rsid w:val="00732269"/>
    <w:rsid w:val="00735CB3"/>
    <w:rsid w:val="0075729F"/>
    <w:rsid w:val="007652C3"/>
    <w:rsid w:val="007835FE"/>
    <w:rsid w:val="00785ABD"/>
    <w:rsid w:val="00791542"/>
    <w:rsid w:val="00793F3A"/>
    <w:rsid w:val="007A2DD4"/>
    <w:rsid w:val="007B40DC"/>
    <w:rsid w:val="007D38B5"/>
    <w:rsid w:val="007E7EA0"/>
    <w:rsid w:val="00807255"/>
    <w:rsid w:val="0081023E"/>
    <w:rsid w:val="008173AA"/>
    <w:rsid w:val="008401AC"/>
    <w:rsid w:val="00840A14"/>
    <w:rsid w:val="0085142A"/>
    <w:rsid w:val="00854F84"/>
    <w:rsid w:val="0086132A"/>
    <w:rsid w:val="00863E4D"/>
    <w:rsid w:val="008705AB"/>
    <w:rsid w:val="008853C7"/>
    <w:rsid w:val="008958B7"/>
    <w:rsid w:val="008A1F76"/>
    <w:rsid w:val="008B62B4"/>
    <w:rsid w:val="008B7F32"/>
    <w:rsid w:val="008D2D7B"/>
    <w:rsid w:val="008E0737"/>
    <w:rsid w:val="008F7C2C"/>
    <w:rsid w:val="00902B0F"/>
    <w:rsid w:val="00907C41"/>
    <w:rsid w:val="0092242C"/>
    <w:rsid w:val="00940E96"/>
    <w:rsid w:val="009A35F1"/>
    <w:rsid w:val="009B0BAE"/>
    <w:rsid w:val="009B4939"/>
    <w:rsid w:val="009C16D2"/>
    <w:rsid w:val="009C1C89"/>
    <w:rsid w:val="009E13AE"/>
    <w:rsid w:val="009F3448"/>
    <w:rsid w:val="00A01CF9"/>
    <w:rsid w:val="00A03BCC"/>
    <w:rsid w:val="00A12F98"/>
    <w:rsid w:val="00A3606B"/>
    <w:rsid w:val="00A443FE"/>
    <w:rsid w:val="00A532CC"/>
    <w:rsid w:val="00A71773"/>
    <w:rsid w:val="00AE2C85"/>
    <w:rsid w:val="00AE33A9"/>
    <w:rsid w:val="00AF61AB"/>
    <w:rsid w:val="00B018EA"/>
    <w:rsid w:val="00B12A37"/>
    <w:rsid w:val="00B412F6"/>
    <w:rsid w:val="00B54452"/>
    <w:rsid w:val="00B63EF2"/>
    <w:rsid w:val="00B809DE"/>
    <w:rsid w:val="00B80DD1"/>
    <w:rsid w:val="00B96962"/>
    <w:rsid w:val="00BA7D89"/>
    <w:rsid w:val="00BB1125"/>
    <w:rsid w:val="00BC0D39"/>
    <w:rsid w:val="00BC7BC0"/>
    <w:rsid w:val="00BD57B7"/>
    <w:rsid w:val="00BE63E2"/>
    <w:rsid w:val="00BF3E96"/>
    <w:rsid w:val="00C23278"/>
    <w:rsid w:val="00C27A6D"/>
    <w:rsid w:val="00C443C1"/>
    <w:rsid w:val="00C76B54"/>
    <w:rsid w:val="00C8187C"/>
    <w:rsid w:val="00C94C55"/>
    <w:rsid w:val="00CB69C9"/>
    <w:rsid w:val="00CC4101"/>
    <w:rsid w:val="00CD2009"/>
    <w:rsid w:val="00CD3ADF"/>
    <w:rsid w:val="00CF46C1"/>
    <w:rsid w:val="00CF629C"/>
    <w:rsid w:val="00D154EC"/>
    <w:rsid w:val="00D33226"/>
    <w:rsid w:val="00D7314D"/>
    <w:rsid w:val="00D75F4A"/>
    <w:rsid w:val="00D86675"/>
    <w:rsid w:val="00D92EEA"/>
    <w:rsid w:val="00DA5D4E"/>
    <w:rsid w:val="00DC261C"/>
    <w:rsid w:val="00DF7F02"/>
    <w:rsid w:val="00E176BA"/>
    <w:rsid w:val="00E419C3"/>
    <w:rsid w:val="00E423EC"/>
    <w:rsid w:val="00E55121"/>
    <w:rsid w:val="00E60DA7"/>
    <w:rsid w:val="00E80C7B"/>
    <w:rsid w:val="00E844AE"/>
    <w:rsid w:val="00EB4FCB"/>
    <w:rsid w:val="00EB6D43"/>
    <w:rsid w:val="00EC6BC5"/>
    <w:rsid w:val="00EE139B"/>
    <w:rsid w:val="00F022BE"/>
    <w:rsid w:val="00F22D58"/>
    <w:rsid w:val="00F35898"/>
    <w:rsid w:val="00F5225B"/>
    <w:rsid w:val="00F71592"/>
    <w:rsid w:val="00F748E2"/>
    <w:rsid w:val="00F850C8"/>
    <w:rsid w:val="00F8565B"/>
    <w:rsid w:val="00FA7744"/>
    <w:rsid w:val="00FC7BEF"/>
    <w:rsid w:val="00FD06DA"/>
    <w:rsid w:val="00FD3191"/>
    <w:rsid w:val="00FE5701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693853"/>
  <w15:docId w15:val="{3AA1ABE5-90B3-4DAF-B356-A374B895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qFormat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9A35F1"/>
    <w:rPr>
      <w:color w:val="605E5C"/>
      <w:shd w:val="clear" w:color="auto" w:fill="E1DFDD"/>
    </w:rPr>
  </w:style>
  <w:style w:type="character" w:customStyle="1" w:styleId="Artdef">
    <w:name w:val="Art_def"/>
    <w:basedOn w:val="DefaultParagraphFont"/>
    <w:rsid w:val="009A35F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ResNoChar">
    <w:name w:val="Res_No Char"/>
    <w:basedOn w:val="DefaultParagraphFont"/>
    <w:link w:val="ResNo"/>
    <w:locked/>
    <w:rsid w:val="00C8187C"/>
    <w:rPr>
      <w:rFonts w:ascii="Calibri" w:hAnsi="Calibri"/>
      <w:caps/>
      <w:sz w:val="26"/>
      <w:lang w:val="en-GB" w:eastAsia="en-US"/>
    </w:rPr>
  </w:style>
  <w:style w:type="character" w:customStyle="1" w:styleId="href">
    <w:name w:val="href"/>
    <w:basedOn w:val="DefaultParagraphFont"/>
    <w:rsid w:val="00C8187C"/>
  </w:style>
  <w:style w:type="table" w:styleId="TableGrid">
    <w:name w:val="Table Grid"/>
    <w:basedOn w:val="TableNormal"/>
    <w:rsid w:val="00C8187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240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40B4"/>
    <w:rPr>
      <w:rFonts w:ascii="Calibri" w:eastAsiaTheme="minorHAnsi" w:hAnsi="Calibri" w:cs="Calibri"/>
      <w:sz w:val="24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1240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15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jiu.org/sites/www.unjiu.org/files/jiu_rep_2019_5_fina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jiu.org/sites/www.unjiu.org/files/jiu_document_files/products/en/reports-notes/JIU%20Products/JIU_REP_2016_1_English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0-RCLCWGLANG10-C-0002/e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-C-004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5D36D-07AD-421A-8324-7880E3BA0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E78AB-8EA2-4421-9BCE-C797D3434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18EBA-0245-4D20-8C84-2A278F5519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5</Pages>
  <Words>2036</Words>
  <Characters>14861</Characters>
  <Application>Microsoft Office Word</Application>
  <DocSecurity>4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16864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Brouard, Ricarda</cp:lastModifiedBy>
  <cp:revision>2</cp:revision>
  <cp:lastPrinted>2020-03-10T12:16:00Z</cp:lastPrinted>
  <dcterms:created xsi:type="dcterms:W3CDTF">2020-05-01T06:41:00Z</dcterms:created>
  <dcterms:modified xsi:type="dcterms:W3CDTF">2020-05-01T06:41:00Z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