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7E54624" w14:textId="77777777">
        <w:trPr>
          <w:cantSplit/>
        </w:trPr>
        <w:tc>
          <w:tcPr>
            <w:tcW w:w="6911" w:type="dxa"/>
          </w:tcPr>
          <w:p w14:paraId="2BA6FE9C"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40827592" w14:textId="77777777" w:rsidR="00700D1F" w:rsidRDefault="008418F5" w:rsidP="008418F5">
            <w:pPr>
              <w:spacing w:before="0"/>
            </w:pPr>
            <w:bookmarkStart w:id="0" w:name="ditulogo"/>
            <w:bookmarkEnd w:id="0"/>
            <w:r>
              <w:rPr>
                <w:noProof/>
                <w:lang w:val="en-US" w:eastAsia="zh-CN"/>
              </w:rPr>
              <w:drawing>
                <wp:inline distT="0" distB="0" distL="0" distR="0" wp14:anchorId="112326D1" wp14:editId="0C94CE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EB91AC7" w14:textId="77777777">
        <w:trPr>
          <w:cantSplit/>
        </w:trPr>
        <w:tc>
          <w:tcPr>
            <w:tcW w:w="6911" w:type="dxa"/>
            <w:tcBorders>
              <w:bottom w:val="single" w:sz="12" w:space="0" w:color="auto"/>
            </w:tcBorders>
          </w:tcPr>
          <w:p w14:paraId="61C0C6B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B93588E" w14:textId="77777777" w:rsidR="00700D1F" w:rsidRPr="00617BE4" w:rsidRDefault="00700D1F" w:rsidP="00001B77">
            <w:pPr>
              <w:spacing w:before="0"/>
              <w:rPr>
                <w:rFonts w:ascii="Verdana" w:hAnsi="Verdana"/>
                <w:szCs w:val="24"/>
              </w:rPr>
            </w:pPr>
          </w:p>
        </w:tc>
      </w:tr>
      <w:tr w:rsidR="00700D1F" w:rsidRPr="00617BE4" w14:paraId="57DC8661" w14:textId="77777777">
        <w:trPr>
          <w:cantSplit/>
        </w:trPr>
        <w:tc>
          <w:tcPr>
            <w:tcW w:w="6911" w:type="dxa"/>
            <w:tcBorders>
              <w:top w:val="single" w:sz="12" w:space="0" w:color="auto"/>
            </w:tcBorders>
          </w:tcPr>
          <w:p w14:paraId="3E44F9F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7356E7C" w14:textId="77777777" w:rsidR="00700D1F" w:rsidRPr="00617BE4" w:rsidRDefault="00700D1F" w:rsidP="00001B77">
            <w:pPr>
              <w:spacing w:before="0"/>
              <w:rPr>
                <w:rFonts w:ascii="Verdana" w:hAnsi="Verdana"/>
                <w:szCs w:val="24"/>
              </w:rPr>
            </w:pPr>
          </w:p>
        </w:tc>
      </w:tr>
      <w:tr w:rsidR="00F05E2B" w14:paraId="3BF1A579" w14:textId="77777777">
        <w:trPr>
          <w:cantSplit/>
          <w:trHeight w:val="23"/>
        </w:trPr>
        <w:tc>
          <w:tcPr>
            <w:tcW w:w="6911" w:type="dxa"/>
            <w:vMerge w:val="restart"/>
          </w:tcPr>
          <w:p w14:paraId="2822DD91" w14:textId="4DD56F33" w:rsidR="00F05E2B" w:rsidRPr="00FC5386" w:rsidRDefault="00F05E2B" w:rsidP="00E067C5">
            <w:pPr>
              <w:tabs>
                <w:tab w:val="left" w:pos="851"/>
              </w:tabs>
              <w:rPr>
                <w:b/>
                <w:szCs w:val="24"/>
                <w:lang w:eastAsia="zh-CN"/>
              </w:rPr>
            </w:pPr>
            <w:bookmarkStart w:id="1" w:name="lt_pId005"/>
            <w:bookmarkStart w:id="2" w:name="dmeeting" w:colFirst="0" w:colLast="0"/>
            <w:r>
              <w:rPr>
                <w:rFonts w:hint="eastAsia"/>
                <w:b/>
                <w:lang w:eastAsia="zh-CN"/>
              </w:rPr>
              <w:t>议项：</w:t>
            </w:r>
            <w:r w:rsidRPr="009A542C">
              <w:rPr>
                <w:b/>
              </w:rPr>
              <w:t>ADM 3</w:t>
            </w:r>
            <w:bookmarkEnd w:id="1"/>
            <w:r w:rsidR="00A8766D">
              <w:rPr>
                <w:b/>
              </w:rPr>
              <w:t>3</w:t>
            </w:r>
          </w:p>
        </w:tc>
        <w:tc>
          <w:tcPr>
            <w:tcW w:w="3120" w:type="dxa"/>
          </w:tcPr>
          <w:p w14:paraId="5C9ADBDD" w14:textId="7F2C1945" w:rsidR="00F05E2B" w:rsidRPr="00700D1F" w:rsidRDefault="00F05E2B"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20</w:t>
            </w:r>
            <w:r w:rsidRPr="00FC5386">
              <w:rPr>
                <w:b/>
                <w:bCs/>
                <w:szCs w:val="24"/>
                <w:lang w:eastAsia="zh-CN"/>
              </w:rPr>
              <w:t>/</w:t>
            </w:r>
            <w:r>
              <w:rPr>
                <w:b/>
                <w:bCs/>
                <w:szCs w:val="24"/>
                <w:lang w:eastAsia="zh-CN"/>
              </w:rPr>
              <w:t>5</w:t>
            </w:r>
            <w:r w:rsidR="00A8766D">
              <w:rPr>
                <w:b/>
                <w:bCs/>
                <w:szCs w:val="24"/>
                <w:lang w:eastAsia="zh-CN"/>
              </w:rPr>
              <w:t>3</w:t>
            </w:r>
            <w:r w:rsidRPr="00FC5386">
              <w:rPr>
                <w:b/>
                <w:bCs/>
                <w:szCs w:val="24"/>
                <w:lang w:eastAsia="zh-CN"/>
              </w:rPr>
              <w:t>-C</w:t>
            </w:r>
          </w:p>
        </w:tc>
      </w:tr>
      <w:bookmarkEnd w:id="2"/>
      <w:tr w:rsidR="00700D1F" w14:paraId="1A485D59" w14:textId="77777777">
        <w:trPr>
          <w:cantSplit/>
          <w:trHeight w:val="23"/>
        </w:trPr>
        <w:tc>
          <w:tcPr>
            <w:tcW w:w="6911" w:type="dxa"/>
            <w:vMerge/>
          </w:tcPr>
          <w:p w14:paraId="772AAF5E" w14:textId="77777777" w:rsidR="00700D1F" w:rsidRDefault="00700D1F" w:rsidP="00001B77">
            <w:pPr>
              <w:tabs>
                <w:tab w:val="left" w:pos="851"/>
              </w:tabs>
              <w:rPr>
                <w:b/>
                <w:lang w:eastAsia="zh-CN"/>
              </w:rPr>
            </w:pPr>
          </w:p>
        </w:tc>
        <w:tc>
          <w:tcPr>
            <w:tcW w:w="3120" w:type="dxa"/>
          </w:tcPr>
          <w:p w14:paraId="3B969113" w14:textId="3AD9017E"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9A542C">
              <w:rPr>
                <w:b/>
                <w:bCs/>
                <w:szCs w:val="24"/>
                <w:lang w:eastAsia="zh-CN"/>
              </w:rPr>
              <w:t>4</w:t>
            </w:r>
            <w:r w:rsidRPr="00FC5386">
              <w:rPr>
                <w:rFonts w:hint="eastAsia"/>
                <w:b/>
                <w:bCs/>
                <w:szCs w:val="24"/>
                <w:lang w:eastAsia="zh-CN"/>
              </w:rPr>
              <w:t>月</w:t>
            </w:r>
            <w:r w:rsidR="009A542C">
              <w:rPr>
                <w:b/>
                <w:bCs/>
                <w:szCs w:val="24"/>
                <w:lang w:eastAsia="zh-CN"/>
              </w:rPr>
              <w:t>17</w:t>
            </w:r>
            <w:r w:rsidRPr="00FC5386">
              <w:rPr>
                <w:rFonts w:hint="eastAsia"/>
                <w:b/>
                <w:bCs/>
                <w:szCs w:val="24"/>
                <w:lang w:eastAsia="zh-CN"/>
              </w:rPr>
              <w:t>日</w:t>
            </w:r>
          </w:p>
        </w:tc>
      </w:tr>
      <w:tr w:rsidR="00700D1F" w14:paraId="4C7383D2" w14:textId="77777777">
        <w:trPr>
          <w:cantSplit/>
          <w:trHeight w:val="23"/>
        </w:trPr>
        <w:tc>
          <w:tcPr>
            <w:tcW w:w="6911" w:type="dxa"/>
            <w:vMerge/>
          </w:tcPr>
          <w:p w14:paraId="6531D1D5" w14:textId="77777777" w:rsidR="00700D1F" w:rsidRDefault="00700D1F" w:rsidP="00001B77">
            <w:pPr>
              <w:tabs>
                <w:tab w:val="left" w:pos="851"/>
              </w:tabs>
              <w:rPr>
                <w:b/>
                <w:lang w:eastAsia="zh-CN"/>
              </w:rPr>
            </w:pPr>
          </w:p>
        </w:tc>
        <w:tc>
          <w:tcPr>
            <w:tcW w:w="3120" w:type="dxa"/>
          </w:tcPr>
          <w:p w14:paraId="434BC28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1A67B8" w14:paraId="1D07C2E6" w14:textId="77777777">
        <w:trPr>
          <w:cantSplit/>
        </w:trPr>
        <w:tc>
          <w:tcPr>
            <w:tcW w:w="10031" w:type="dxa"/>
          </w:tcPr>
          <w:p w14:paraId="0694FF03" w14:textId="51932DBD" w:rsidR="001A67B8" w:rsidRDefault="009A542C" w:rsidP="001A67B8">
            <w:pPr>
              <w:pStyle w:val="Source"/>
              <w:rPr>
                <w:lang w:eastAsia="zh-CN"/>
              </w:rPr>
            </w:pPr>
            <w:r>
              <w:rPr>
                <w:rFonts w:hint="eastAsia"/>
                <w:lang w:eastAsia="zh-CN"/>
              </w:rPr>
              <w:t>秘书长</w:t>
            </w:r>
            <w:r w:rsidR="001A67B8" w:rsidRPr="00C22DDC">
              <w:rPr>
                <w:rFonts w:hint="eastAsia"/>
                <w:lang w:val="fr-CH" w:eastAsia="zh-CN"/>
              </w:rPr>
              <w:t>的报告</w:t>
            </w:r>
          </w:p>
        </w:tc>
      </w:tr>
      <w:tr w:rsidR="001A67B8" w14:paraId="42760C74" w14:textId="77777777">
        <w:trPr>
          <w:cantSplit/>
        </w:trPr>
        <w:tc>
          <w:tcPr>
            <w:tcW w:w="10031" w:type="dxa"/>
          </w:tcPr>
          <w:p w14:paraId="23EAE098" w14:textId="1D073A69" w:rsidR="00A8766D" w:rsidRDefault="00A8766D" w:rsidP="00A8766D">
            <w:pPr>
              <w:pStyle w:val="Title1"/>
              <w:rPr>
                <w:lang w:eastAsia="zh-CN"/>
              </w:rPr>
            </w:pPr>
            <w:r>
              <w:rPr>
                <w:rFonts w:hint="eastAsia"/>
                <w:lang w:eastAsia="zh-CN"/>
              </w:rPr>
              <w:t>国际电信联盟的业务连续性</w:t>
            </w:r>
            <w:r w:rsidR="009C6C94">
              <w:rPr>
                <w:rFonts w:hint="eastAsia"/>
                <w:lang w:eastAsia="zh-CN"/>
              </w:rPr>
              <w:t xml:space="preserve"> </w:t>
            </w:r>
            <w:r w:rsidR="009C6C94">
              <w:rPr>
                <w:lang w:eastAsia="zh-CN"/>
              </w:rPr>
              <w:t>–</w:t>
            </w:r>
            <w:r w:rsidR="009C6C94">
              <w:rPr>
                <w:rFonts w:hint="eastAsia"/>
                <w:lang w:eastAsia="zh-CN"/>
              </w:rPr>
              <w:t xml:space="preserve"> </w:t>
            </w:r>
            <w:r>
              <w:rPr>
                <w:rFonts w:hint="eastAsia"/>
                <w:lang w:eastAsia="zh-CN"/>
              </w:rPr>
              <w:t>信息管理</w:t>
            </w:r>
          </w:p>
          <w:p w14:paraId="4DCCBCDB" w14:textId="534CCB98" w:rsidR="001A67B8" w:rsidRDefault="001A67B8" w:rsidP="00A8766D">
            <w:pPr>
              <w:pStyle w:val="Title1"/>
              <w:rPr>
                <w:bCs/>
                <w:lang w:eastAsia="zh-CN"/>
              </w:rPr>
            </w:pPr>
          </w:p>
        </w:tc>
      </w:tr>
    </w:tbl>
    <w:p w14:paraId="6D9DC5FB" w14:textId="77777777" w:rsidR="001A67B8" w:rsidRPr="006945AE" w:rsidRDefault="001A67B8" w:rsidP="001A67B8">
      <w:pPr>
        <w:textAlignment w:val="auto"/>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4"/>
      </w:tblGrid>
      <w:tr w:rsidR="001A67B8" w:rsidRPr="006945AE" w14:paraId="6B2BC641" w14:textId="77777777" w:rsidTr="00F50479">
        <w:trPr>
          <w:trHeight w:val="3372"/>
        </w:trPr>
        <w:tc>
          <w:tcPr>
            <w:tcW w:w="8164" w:type="dxa"/>
            <w:tcBorders>
              <w:top w:val="single" w:sz="12" w:space="0" w:color="auto"/>
              <w:left w:val="single" w:sz="12" w:space="0" w:color="auto"/>
              <w:bottom w:val="single" w:sz="12" w:space="0" w:color="auto"/>
              <w:right w:val="single" w:sz="12" w:space="0" w:color="auto"/>
            </w:tcBorders>
          </w:tcPr>
          <w:p w14:paraId="58C125FE" w14:textId="77777777" w:rsidR="001A67B8" w:rsidRPr="006945AE" w:rsidRDefault="001A67B8" w:rsidP="00F50479">
            <w:pPr>
              <w:pStyle w:val="toc0"/>
              <w:tabs>
                <w:tab w:val="left" w:pos="1191"/>
                <w:tab w:val="left" w:pos="1588"/>
                <w:tab w:val="left" w:pos="1985"/>
              </w:tabs>
              <w:spacing w:before="240"/>
              <w:rPr>
                <w:bCs/>
                <w:szCs w:val="22"/>
                <w:lang w:eastAsia="zh-CN"/>
              </w:rPr>
            </w:pPr>
            <w:r w:rsidRPr="00244C02">
              <w:rPr>
                <w:rFonts w:hint="eastAsia"/>
                <w:bCs/>
                <w:szCs w:val="22"/>
                <w:lang w:val="fr-FR" w:eastAsia="zh-CN"/>
              </w:rPr>
              <w:t>概要</w:t>
            </w:r>
          </w:p>
          <w:p w14:paraId="3DFEDBCC" w14:textId="2759578C" w:rsidR="00A8766D" w:rsidRPr="00295C4A" w:rsidRDefault="00A8766D" w:rsidP="009C6C94">
            <w:pPr>
              <w:tabs>
                <w:tab w:val="clear" w:pos="794"/>
                <w:tab w:val="clear" w:pos="1191"/>
                <w:tab w:val="clear" w:pos="1588"/>
                <w:tab w:val="clear" w:pos="1985"/>
              </w:tabs>
              <w:overflowPunct/>
              <w:autoSpaceDE/>
              <w:autoSpaceDN/>
              <w:adjustRightInd/>
              <w:spacing w:after="120"/>
              <w:ind w:firstLineChars="200" w:firstLine="560"/>
              <w:jc w:val="both"/>
              <w:textAlignment w:val="auto"/>
              <w:rPr>
                <w:caps/>
                <w:sz w:val="28"/>
                <w:lang w:eastAsia="zh-CN"/>
              </w:rPr>
            </w:pPr>
            <w:r w:rsidRPr="00295C4A">
              <w:rPr>
                <w:rFonts w:hint="eastAsia"/>
                <w:caps/>
                <w:sz w:val="28"/>
                <w:lang w:eastAsia="zh-CN"/>
              </w:rPr>
              <w:t>本文件概述</w:t>
            </w:r>
            <w:r w:rsidR="00295C4A" w:rsidRPr="00295C4A">
              <w:rPr>
                <w:rFonts w:hint="eastAsia"/>
                <w:caps/>
                <w:sz w:val="28"/>
                <w:lang w:eastAsia="zh-CN"/>
              </w:rPr>
              <w:t>所需的</w:t>
            </w:r>
            <w:r w:rsidRPr="00295C4A">
              <w:rPr>
                <w:rFonts w:hint="eastAsia"/>
                <w:caps/>
                <w:sz w:val="28"/>
                <w:lang w:eastAsia="zh-CN"/>
              </w:rPr>
              <w:t>三个投资领域，以确保国际电联的信息基础设施继续</w:t>
            </w:r>
            <w:r w:rsidR="00295C4A" w:rsidRPr="00295C4A">
              <w:rPr>
                <w:rFonts w:hint="eastAsia"/>
                <w:caps/>
                <w:sz w:val="28"/>
                <w:lang w:eastAsia="zh-CN"/>
              </w:rPr>
              <w:t>是有的放矢</w:t>
            </w:r>
            <w:r w:rsidRPr="00295C4A">
              <w:rPr>
                <w:rFonts w:hint="eastAsia"/>
                <w:caps/>
                <w:sz w:val="28"/>
                <w:lang w:eastAsia="zh-CN"/>
              </w:rPr>
              <w:t>和安全</w:t>
            </w:r>
            <w:r w:rsidR="00295C4A" w:rsidRPr="00295C4A">
              <w:rPr>
                <w:rFonts w:hint="eastAsia"/>
                <w:caps/>
                <w:sz w:val="28"/>
                <w:lang w:eastAsia="zh-CN"/>
              </w:rPr>
              <w:t>的，能够</w:t>
            </w:r>
            <w:r w:rsidRPr="00295C4A">
              <w:rPr>
                <w:rFonts w:hint="eastAsia"/>
                <w:caps/>
                <w:sz w:val="28"/>
                <w:lang w:eastAsia="zh-CN"/>
              </w:rPr>
              <w:t>满足国际电联工作人员、成员和其他利益攸关方的需求，并考虑到从当前危机中吸取的经验教训，提供业务连续性、风险管理和灾难恢复，</w:t>
            </w:r>
            <w:r w:rsidR="00295C4A" w:rsidRPr="00295C4A">
              <w:rPr>
                <w:rFonts w:hint="eastAsia"/>
                <w:caps/>
                <w:sz w:val="28"/>
                <w:lang w:eastAsia="zh-CN"/>
              </w:rPr>
              <w:t>同时</w:t>
            </w:r>
            <w:r w:rsidRPr="00295C4A">
              <w:rPr>
                <w:rFonts w:hint="eastAsia"/>
                <w:caps/>
                <w:sz w:val="28"/>
                <w:lang w:eastAsia="zh-CN"/>
              </w:rPr>
              <w:t>为国际电联总部</w:t>
            </w:r>
            <w:r w:rsidR="000251C8" w:rsidRPr="00295C4A">
              <w:rPr>
                <w:rFonts w:hint="eastAsia"/>
                <w:caps/>
                <w:sz w:val="28"/>
                <w:lang w:eastAsia="zh-CN"/>
              </w:rPr>
              <w:t>新</w:t>
            </w:r>
            <w:r w:rsidR="00295C4A" w:rsidRPr="00295C4A">
              <w:rPr>
                <w:rFonts w:hint="eastAsia"/>
                <w:caps/>
                <w:sz w:val="28"/>
                <w:lang w:eastAsia="zh-CN"/>
              </w:rPr>
              <w:t>办公楼</w:t>
            </w:r>
            <w:r w:rsidRPr="00295C4A">
              <w:rPr>
                <w:rFonts w:hint="eastAsia"/>
                <w:caps/>
                <w:sz w:val="28"/>
                <w:lang w:eastAsia="zh-CN"/>
              </w:rPr>
              <w:t>的工作环境</w:t>
            </w:r>
            <w:r w:rsidR="00295C4A" w:rsidRPr="00295C4A">
              <w:rPr>
                <w:rFonts w:hint="eastAsia"/>
                <w:caps/>
                <w:sz w:val="28"/>
                <w:lang w:eastAsia="zh-CN"/>
              </w:rPr>
              <w:t>做出</w:t>
            </w:r>
            <w:r w:rsidRPr="00295C4A">
              <w:rPr>
                <w:rFonts w:hint="eastAsia"/>
                <w:caps/>
                <w:sz w:val="28"/>
                <w:lang w:eastAsia="zh-CN"/>
              </w:rPr>
              <w:t>更好的准备。这三个</w:t>
            </w:r>
            <w:r w:rsidR="00295C4A" w:rsidRPr="00295C4A">
              <w:rPr>
                <w:rFonts w:hint="eastAsia"/>
                <w:caps/>
                <w:sz w:val="28"/>
                <w:lang w:eastAsia="zh-CN"/>
              </w:rPr>
              <w:t>领域</w:t>
            </w:r>
            <w:r w:rsidRPr="00295C4A">
              <w:rPr>
                <w:rFonts w:hint="eastAsia"/>
                <w:caps/>
                <w:sz w:val="28"/>
                <w:lang w:eastAsia="zh-CN"/>
              </w:rPr>
              <w:t>是</w:t>
            </w:r>
            <w:r w:rsidR="00295C4A" w:rsidRPr="00295C4A">
              <w:rPr>
                <w:rFonts w:hint="eastAsia"/>
                <w:caps/>
                <w:sz w:val="28"/>
                <w:lang w:eastAsia="zh-CN"/>
              </w:rPr>
              <w:t>：</w:t>
            </w:r>
            <w:r w:rsidRPr="00295C4A">
              <w:rPr>
                <w:rFonts w:hint="eastAsia"/>
                <w:caps/>
                <w:sz w:val="28"/>
                <w:lang w:eastAsia="zh-CN"/>
              </w:rPr>
              <w:t>内部信息和记录管理；信息技术工作工具和网站</w:t>
            </w:r>
            <w:r w:rsidR="000251C8">
              <w:rPr>
                <w:rFonts w:hint="eastAsia"/>
                <w:caps/>
                <w:sz w:val="28"/>
                <w:lang w:eastAsia="zh-CN"/>
              </w:rPr>
              <w:t>。</w:t>
            </w:r>
          </w:p>
          <w:p w14:paraId="2360B5B1" w14:textId="14FB50B8" w:rsidR="00A8766D" w:rsidRPr="00A8766D" w:rsidRDefault="00A8766D" w:rsidP="009C6C94">
            <w:pPr>
              <w:tabs>
                <w:tab w:val="clear" w:pos="794"/>
                <w:tab w:val="clear" w:pos="1191"/>
                <w:tab w:val="clear" w:pos="1588"/>
                <w:tab w:val="clear" w:pos="1985"/>
              </w:tabs>
              <w:overflowPunct/>
              <w:autoSpaceDE/>
              <w:autoSpaceDN/>
              <w:adjustRightInd/>
              <w:spacing w:after="120"/>
              <w:ind w:firstLineChars="200" w:firstLine="560"/>
              <w:jc w:val="both"/>
              <w:textAlignment w:val="auto"/>
              <w:rPr>
                <w:caps/>
                <w:sz w:val="28"/>
                <w:lang w:eastAsia="zh-CN"/>
              </w:rPr>
            </w:pPr>
            <w:r w:rsidRPr="00295C4A">
              <w:rPr>
                <w:rFonts w:hint="eastAsia"/>
                <w:caps/>
                <w:sz w:val="28"/>
                <w:lang w:eastAsia="zh-CN"/>
              </w:rPr>
              <w:t>为了支持这些投资，未来五年估计需要</w:t>
            </w:r>
            <w:r w:rsidRPr="00295C4A">
              <w:rPr>
                <w:rFonts w:hint="eastAsia"/>
                <w:caps/>
                <w:sz w:val="28"/>
                <w:lang w:eastAsia="zh-CN"/>
              </w:rPr>
              <w:t>1</w:t>
            </w:r>
            <w:r w:rsidR="009C6C94">
              <w:rPr>
                <w:rFonts w:hint="eastAsia"/>
                <w:caps/>
                <w:sz w:val="28"/>
                <w:lang w:eastAsia="zh-CN"/>
              </w:rPr>
              <w:t>,</w:t>
            </w:r>
            <w:r w:rsidRPr="00295C4A">
              <w:rPr>
                <w:rFonts w:hint="eastAsia"/>
                <w:caps/>
                <w:sz w:val="28"/>
                <w:lang w:eastAsia="zh-CN"/>
              </w:rPr>
              <w:t>300</w:t>
            </w:r>
            <w:proofErr w:type="gramStart"/>
            <w:r w:rsidRPr="00295C4A">
              <w:rPr>
                <w:rFonts w:hint="eastAsia"/>
                <w:caps/>
                <w:sz w:val="28"/>
                <w:lang w:eastAsia="zh-CN"/>
              </w:rPr>
              <w:t>万瑞</w:t>
            </w:r>
            <w:proofErr w:type="gramEnd"/>
            <w:r w:rsidRPr="00295C4A">
              <w:rPr>
                <w:rFonts w:hint="eastAsia"/>
                <w:caps/>
                <w:sz w:val="28"/>
                <w:lang w:eastAsia="zh-CN"/>
              </w:rPr>
              <w:t>郎，</w:t>
            </w:r>
            <w:r w:rsidR="00295C4A">
              <w:rPr>
                <w:rFonts w:hint="eastAsia"/>
                <w:caps/>
                <w:sz w:val="28"/>
                <w:lang w:eastAsia="zh-CN"/>
              </w:rPr>
              <w:t>资金</w:t>
            </w:r>
            <w:r w:rsidRPr="00295C4A">
              <w:rPr>
                <w:rFonts w:hint="eastAsia"/>
                <w:caps/>
                <w:sz w:val="28"/>
                <w:lang w:eastAsia="zh-CN"/>
              </w:rPr>
              <w:t>或使用</w:t>
            </w:r>
            <w:r w:rsidR="007E560B">
              <w:rPr>
                <w:rFonts w:hint="eastAsia"/>
                <w:caps/>
                <w:sz w:val="28"/>
                <w:lang w:eastAsia="zh-CN"/>
              </w:rPr>
              <w:t>节余</w:t>
            </w:r>
            <w:r w:rsidRPr="00295C4A">
              <w:rPr>
                <w:rFonts w:hint="eastAsia"/>
                <w:caps/>
                <w:sz w:val="28"/>
                <w:lang w:eastAsia="zh-CN"/>
              </w:rPr>
              <w:t>、储备</w:t>
            </w:r>
            <w:r w:rsidR="00295C4A" w:rsidRPr="00295C4A">
              <w:rPr>
                <w:rFonts w:hint="eastAsia"/>
                <w:caps/>
                <w:sz w:val="28"/>
                <w:lang w:eastAsia="zh-CN"/>
              </w:rPr>
              <w:t>金</w:t>
            </w:r>
            <w:r w:rsidR="000251C8">
              <w:rPr>
                <w:rFonts w:hint="eastAsia"/>
                <w:caps/>
                <w:sz w:val="28"/>
                <w:lang w:eastAsia="zh-CN"/>
              </w:rPr>
              <w:t>账目</w:t>
            </w:r>
            <w:r w:rsidRPr="00295C4A">
              <w:rPr>
                <w:rFonts w:hint="eastAsia"/>
                <w:caps/>
                <w:sz w:val="28"/>
                <w:lang w:eastAsia="zh-CN"/>
              </w:rPr>
              <w:t>、自愿捐款，或纳入</w:t>
            </w:r>
            <w:r w:rsidRPr="00295C4A">
              <w:rPr>
                <w:rFonts w:hint="eastAsia"/>
                <w:caps/>
                <w:sz w:val="28"/>
                <w:lang w:eastAsia="zh-CN"/>
              </w:rPr>
              <w:t>2022-2026</w:t>
            </w:r>
            <w:r w:rsidRPr="00295C4A">
              <w:rPr>
                <w:rFonts w:hint="eastAsia"/>
                <w:caps/>
                <w:sz w:val="28"/>
                <w:lang w:eastAsia="zh-CN"/>
              </w:rPr>
              <w:t>年战略和财务</w:t>
            </w:r>
            <w:r w:rsidR="00295C4A" w:rsidRPr="00295C4A">
              <w:rPr>
                <w:rFonts w:hint="eastAsia"/>
                <w:caps/>
                <w:sz w:val="28"/>
                <w:lang w:eastAsia="zh-CN"/>
              </w:rPr>
              <w:t>规划之中</w:t>
            </w:r>
            <w:r w:rsidRPr="00295C4A">
              <w:rPr>
                <w:rFonts w:hint="eastAsia"/>
                <w:caps/>
                <w:sz w:val="28"/>
                <w:lang w:eastAsia="zh-CN"/>
              </w:rPr>
              <w:t>。</w:t>
            </w:r>
          </w:p>
          <w:p w14:paraId="70D29BB8" w14:textId="77777777" w:rsidR="001A67B8" w:rsidRDefault="001A67B8" w:rsidP="00F50479">
            <w:pPr>
              <w:pStyle w:val="Index1"/>
              <w:spacing w:before="0"/>
              <w:rPr>
                <w:b/>
                <w:bCs/>
                <w:szCs w:val="22"/>
                <w:lang w:eastAsia="zh-CN"/>
              </w:rPr>
            </w:pPr>
          </w:p>
          <w:p w14:paraId="5AACCEB7" w14:textId="77777777" w:rsidR="001A67B8" w:rsidRPr="00244C02" w:rsidRDefault="001A67B8" w:rsidP="00F50479">
            <w:pPr>
              <w:pStyle w:val="Index1"/>
              <w:spacing w:before="0"/>
              <w:rPr>
                <w:b/>
                <w:bCs/>
                <w:szCs w:val="22"/>
                <w:lang w:eastAsia="zh-CN"/>
              </w:rPr>
            </w:pPr>
            <w:r w:rsidRPr="00244C02">
              <w:rPr>
                <w:rFonts w:hint="eastAsia"/>
                <w:b/>
                <w:bCs/>
                <w:szCs w:val="22"/>
                <w:lang w:eastAsia="zh-CN"/>
              </w:rPr>
              <w:t>需采取的行动</w:t>
            </w:r>
          </w:p>
          <w:p w14:paraId="2EF8A35B" w14:textId="2FE7AA06" w:rsidR="00A8766D" w:rsidRPr="00A8766D" w:rsidRDefault="00A8766D" w:rsidP="009C6C94">
            <w:pPr>
              <w:spacing w:after="120"/>
              <w:ind w:firstLineChars="200" w:firstLine="560"/>
              <w:jc w:val="both"/>
              <w:rPr>
                <w:rFonts w:eastAsia="Times New Roman"/>
                <w:lang w:eastAsia="zh-CN"/>
              </w:rPr>
            </w:pPr>
            <w:r w:rsidRPr="00295C4A">
              <w:rPr>
                <w:rFonts w:hint="eastAsia"/>
                <w:caps/>
                <w:sz w:val="28"/>
                <w:lang w:eastAsia="zh-CN"/>
              </w:rPr>
              <w:t>请理事会</w:t>
            </w:r>
            <w:r w:rsidRPr="00295C4A">
              <w:rPr>
                <w:rFonts w:hint="eastAsia"/>
                <w:b/>
                <w:bCs/>
                <w:caps/>
                <w:sz w:val="28"/>
                <w:lang w:eastAsia="zh-CN"/>
              </w:rPr>
              <w:t>注意</w:t>
            </w:r>
            <w:r w:rsidR="00295C4A" w:rsidRPr="00295C4A">
              <w:rPr>
                <w:rFonts w:hint="eastAsia"/>
                <w:b/>
                <w:bCs/>
                <w:caps/>
                <w:sz w:val="28"/>
                <w:lang w:eastAsia="zh-CN"/>
              </w:rPr>
              <w:t>到</w:t>
            </w:r>
            <w:r w:rsidR="000251C8">
              <w:rPr>
                <w:rFonts w:hint="eastAsia"/>
                <w:caps/>
                <w:sz w:val="28"/>
                <w:lang w:eastAsia="zh-CN"/>
              </w:rPr>
              <w:t>本</w:t>
            </w:r>
            <w:r w:rsidRPr="00295C4A">
              <w:rPr>
                <w:rFonts w:hint="eastAsia"/>
                <w:caps/>
                <w:sz w:val="28"/>
                <w:lang w:eastAsia="zh-CN"/>
              </w:rPr>
              <w:t>报告，并就筹资的前</w:t>
            </w:r>
            <w:r w:rsidR="00295C4A" w:rsidRPr="00295C4A">
              <w:rPr>
                <w:rFonts w:hint="eastAsia"/>
                <w:caps/>
                <w:sz w:val="28"/>
                <w:lang w:eastAsia="zh-CN"/>
              </w:rPr>
              <w:t>行</w:t>
            </w:r>
            <w:r w:rsidRPr="00295C4A">
              <w:rPr>
                <w:rFonts w:hint="eastAsia"/>
                <w:caps/>
                <w:sz w:val="28"/>
                <w:lang w:eastAsia="zh-CN"/>
              </w:rPr>
              <w:t>方向提出</w:t>
            </w:r>
            <w:r w:rsidRPr="00295C4A">
              <w:rPr>
                <w:rFonts w:hint="eastAsia"/>
                <w:b/>
                <w:bCs/>
                <w:caps/>
                <w:sz w:val="28"/>
                <w:lang w:eastAsia="zh-CN"/>
              </w:rPr>
              <w:t>建议</w:t>
            </w:r>
            <w:r w:rsidR="00295C4A" w:rsidRPr="00295C4A">
              <w:rPr>
                <w:rFonts w:hint="eastAsia"/>
                <w:b/>
                <w:bCs/>
                <w:caps/>
                <w:sz w:val="28"/>
                <w:lang w:eastAsia="zh-CN"/>
              </w:rPr>
              <w:t>和意见</w:t>
            </w:r>
            <w:r w:rsidRPr="00295C4A">
              <w:rPr>
                <w:rFonts w:hint="eastAsia"/>
                <w:caps/>
                <w:sz w:val="28"/>
                <w:lang w:eastAsia="zh-CN"/>
              </w:rPr>
              <w:t>。</w:t>
            </w:r>
          </w:p>
          <w:p w14:paraId="6A750C5F" w14:textId="139FAEA8" w:rsidR="001A67B8" w:rsidRDefault="001A67B8" w:rsidP="004E39CD">
            <w:pPr>
              <w:ind w:firstLineChars="200" w:firstLine="480"/>
              <w:rPr>
                <w:lang w:eastAsia="zh-CN"/>
              </w:rPr>
            </w:pPr>
          </w:p>
          <w:p w14:paraId="27689B6A" w14:textId="77777777" w:rsidR="001A67B8" w:rsidRDefault="001A67B8" w:rsidP="00F50479">
            <w:pPr>
              <w:jc w:val="center"/>
              <w:rPr>
                <w:lang w:eastAsia="zh-CN"/>
              </w:rPr>
            </w:pPr>
            <w:r>
              <w:rPr>
                <w:lang w:eastAsia="zh-CN"/>
              </w:rPr>
              <w:t>______________</w:t>
            </w:r>
          </w:p>
          <w:p w14:paraId="731EF17E" w14:textId="77777777" w:rsidR="001A67B8" w:rsidRPr="00244C02" w:rsidRDefault="001A67B8" w:rsidP="00F50479">
            <w:pPr>
              <w:pStyle w:val="toc0"/>
              <w:tabs>
                <w:tab w:val="left" w:pos="1191"/>
                <w:tab w:val="left" w:pos="1588"/>
                <w:tab w:val="left" w:pos="1985"/>
              </w:tabs>
              <w:spacing w:before="240"/>
              <w:rPr>
                <w:bCs/>
                <w:szCs w:val="22"/>
                <w:lang w:val="fr-FR" w:eastAsia="zh-CN"/>
              </w:rPr>
            </w:pPr>
            <w:r w:rsidRPr="00244C02">
              <w:rPr>
                <w:rFonts w:hint="eastAsia"/>
                <w:bCs/>
                <w:szCs w:val="22"/>
                <w:lang w:val="fr-FR" w:eastAsia="zh-CN"/>
              </w:rPr>
              <w:t>参考文件</w:t>
            </w:r>
          </w:p>
          <w:p w14:paraId="3C17768D" w14:textId="61B26DBF" w:rsidR="001A67B8" w:rsidRPr="006945AE" w:rsidRDefault="006945AE" w:rsidP="009C6C94">
            <w:pPr>
              <w:pStyle w:val="TOC1"/>
              <w:keepLines w:val="0"/>
              <w:spacing w:before="120"/>
              <w:ind w:left="0" w:right="-113" w:firstLineChars="200" w:firstLine="480"/>
              <w:rPr>
                <w:rFonts w:ascii="Microsoft YaHei" w:eastAsia="Microsoft YaHei" w:hAnsi="Microsoft YaHei" w:cs="Microsoft YaHei"/>
                <w:color w:val="000000"/>
                <w:sz w:val="20"/>
                <w:shd w:val="clear" w:color="auto" w:fill="FFFFFF"/>
                <w:lang w:val="fr-FR" w:eastAsia="zh-CN"/>
              </w:rPr>
            </w:pPr>
            <w:r>
              <w:fldChar w:fldCharType="begin"/>
            </w:r>
            <w:r w:rsidRPr="006945AE">
              <w:rPr>
                <w:lang w:val="fr-FR"/>
              </w:rPr>
              <w:instrText xml:space="preserve"> HYPERLINK "https://www.unjiu.org/sites/www.unjiu.org/files/jiu_document_files/products/en/reports-notes/JIU%20Products/JIU_REP_2016_1_English.pdf" </w:instrText>
            </w:r>
            <w:r>
              <w:fldChar w:fldCharType="separate"/>
            </w:r>
            <w:r w:rsidR="00A8766D" w:rsidRPr="009C6C94">
              <w:rPr>
                <w:rFonts w:ascii="STKaiti" w:eastAsia="STKaiti" w:hAnsi="STKaiti"/>
                <w:color w:val="0000FF"/>
                <w:u w:val="single"/>
                <w:lang w:val="fr-FR" w:eastAsia="zh-CN"/>
              </w:rPr>
              <w:t>JIU/REP/2016/1</w:t>
            </w:r>
            <w:r>
              <w:rPr>
                <w:rFonts w:ascii="STKaiti" w:eastAsia="STKaiti" w:hAnsi="STKaiti"/>
                <w:color w:val="0000FF"/>
                <w:u w:val="single"/>
                <w:lang w:val="fr-FR" w:eastAsia="zh-CN"/>
              </w:rPr>
              <w:fldChar w:fldCharType="end"/>
            </w:r>
            <w:r w:rsidR="00A8258B" w:rsidRPr="009C6C94">
              <w:rPr>
                <w:rFonts w:ascii="STKaiti" w:eastAsia="STKaiti" w:hAnsi="STKaiti" w:cs="SimSun" w:hint="eastAsia"/>
                <w:lang w:val="fr-FR" w:eastAsia="zh-CN"/>
              </w:rPr>
              <w:t>（</w:t>
            </w:r>
            <w:r w:rsidR="00A8258B" w:rsidRPr="009C6C94">
              <w:rPr>
                <w:rFonts w:ascii="STKaiti" w:eastAsia="STKaiti" w:hAnsi="STKaiti" w:cs="SimSun" w:hint="eastAsia"/>
                <w:lang w:eastAsia="zh-CN"/>
              </w:rPr>
              <w:t>联检组报告</w:t>
            </w:r>
            <w:r w:rsidR="00A8258B" w:rsidRPr="009C6C94">
              <w:rPr>
                <w:rFonts w:ascii="STKaiti" w:eastAsia="STKaiti" w:hAnsi="STKaiti" w:cs="SimSun"/>
                <w:lang w:val="fr-FR" w:eastAsia="zh-CN"/>
              </w:rPr>
              <w:t>—</w:t>
            </w:r>
            <w:r w:rsidR="00A8258B" w:rsidRPr="009C6C94">
              <w:rPr>
                <w:rFonts w:ascii="STKaiti" w:eastAsia="STKaiti" w:hAnsi="STKaiti" w:cs="SimSun" w:hint="eastAsia"/>
                <w:lang w:eastAsia="zh-CN"/>
              </w:rPr>
              <w:t>国际电联管理</w:t>
            </w:r>
            <w:r w:rsidR="00A8258B" w:rsidRPr="009C6C94">
              <w:rPr>
                <w:rFonts w:ascii="STKaiti" w:eastAsia="STKaiti" w:hAnsi="STKaiti" w:cs="SimSun" w:hint="eastAsia"/>
                <w:lang w:val="fr-FR" w:eastAsia="zh-CN"/>
              </w:rPr>
              <w:t>）</w:t>
            </w:r>
            <w:r w:rsidR="00A8258B" w:rsidRPr="009C6C94">
              <w:rPr>
                <w:rFonts w:ascii="STKaiti" w:eastAsia="STKaiti" w:hAnsi="STKaiti" w:cs="SimSun" w:hint="eastAsia"/>
                <w:lang w:eastAsia="zh-CN"/>
              </w:rPr>
              <w:t>、</w:t>
            </w:r>
            <w:r>
              <w:fldChar w:fldCharType="begin"/>
            </w:r>
            <w:r w:rsidRPr="006945AE">
              <w:rPr>
                <w:lang w:val="fr-FR"/>
              </w:rPr>
              <w:instrText xml:space="preserve"> HYPERLINK "https://www.unjiu.org/sites/www.unjiu.org/files/jiu_rep_2019_5_f</w:instrText>
            </w:r>
            <w:r w:rsidRPr="006945AE">
              <w:rPr>
                <w:lang w:val="fr-FR"/>
              </w:rPr>
              <w:instrText xml:space="preserve">inal.pdf" </w:instrText>
            </w:r>
            <w:r>
              <w:fldChar w:fldCharType="separate"/>
            </w:r>
            <w:r w:rsidR="00A8766D" w:rsidRPr="009C6C94">
              <w:rPr>
                <w:rFonts w:ascii="STKaiti" w:eastAsia="STKaiti" w:hAnsi="STKaiti"/>
                <w:color w:val="0000FF"/>
                <w:u w:val="single"/>
                <w:lang w:val="fr-FR" w:eastAsia="zh-CN"/>
              </w:rPr>
              <w:t>JIU/REP/2019/5</w:t>
            </w:r>
            <w:r>
              <w:rPr>
                <w:rFonts w:ascii="STKaiti" w:eastAsia="STKaiti" w:hAnsi="STKaiti"/>
                <w:color w:val="0000FF"/>
                <w:u w:val="single"/>
                <w:lang w:val="fr-FR" w:eastAsia="zh-CN"/>
              </w:rPr>
              <w:fldChar w:fldCharType="end"/>
            </w:r>
            <w:r w:rsidR="00A8258B" w:rsidRPr="009C6C94">
              <w:rPr>
                <w:rFonts w:ascii="STKaiti" w:eastAsia="STKaiti" w:hAnsi="STKaiti" w:cs="SimSun" w:hint="eastAsia"/>
                <w:lang w:val="fr-FR" w:eastAsia="zh-CN"/>
              </w:rPr>
              <w:t>（</w:t>
            </w:r>
            <w:r w:rsidR="00A8258B" w:rsidRPr="009C6C94">
              <w:rPr>
                <w:rFonts w:ascii="STKaiti" w:eastAsia="STKaiti" w:hAnsi="STKaiti" w:cs="SimSun" w:hint="eastAsia"/>
                <w:lang w:eastAsia="zh-CN"/>
              </w:rPr>
              <w:t>联检组报告</w:t>
            </w:r>
            <w:r w:rsidR="00A8258B" w:rsidRPr="009C6C94">
              <w:rPr>
                <w:rFonts w:ascii="STKaiti" w:eastAsia="STKaiti" w:hAnsi="STKaiti" w:cs="SimSun"/>
                <w:lang w:val="fr-FR" w:eastAsia="zh-CN"/>
              </w:rPr>
              <w:t>—</w:t>
            </w:r>
            <w:r w:rsidR="00A8258B" w:rsidRPr="009C6C94">
              <w:rPr>
                <w:rFonts w:ascii="STKaiti" w:eastAsia="STKaiti" w:hAnsi="STKaiti" w:cs="SimSun" w:hint="eastAsia"/>
                <w:lang w:eastAsia="zh-CN"/>
              </w:rPr>
              <w:t>云</w:t>
            </w:r>
            <w:r w:rsidR="00A8258B" w:rsidRPr="006945AE">
              <w:rPr>
                <w:rFonts w:ascii="STKaiti" w:eastAsia="STKaiti" w:hAnsi="STKaiti" w:cs="SimSun" w:hint="eastAsia"/>
                <w:lang w:val="fr-FR" w:eastAsia="zh-CN"/>
              </w:rPr>
              <w:t>）</w:t>
            </w:r>
            <w:r w:rsidR="00A8258B" w:rsidRPr="009C6C94">
              <w:rPr>
                <w:rFonts w:ascii="STKaiti" w:eastAsia="STKaiti" w:hAnsi="STKaiti" w:cs="SimSun" w:hint="eastAsia"/>
                <w:lang w:eastAsia="zh-CN"/>
              </w:rPr>
              <w:t>、</w:t>
            </w:r>
            <w:r w:rsidR="0079183C" w:rsidRPr="009C6C94">
              <w:rPr>
                <w:rFonts w:ascii="STKaiti" w:eastAsia="STKaiti" w:hAnsi="STKaiti"/>
              </w:rPr>
              <w:fldChar w:fldCharType="begin"/>
            </w:r>
            <w:r w:rsidR="0079183C" w:rsidRPr="006945AE">
              <w:rPr>
                <w:rFonts w:ascii="STKaiti" w:eastAsia="STKaiti" w:hAnsi="STKaiti"/>
                <w:lang w:val="fr-FR" w:eastAsia="zh-CN"/>
              </w:rPr>
              <w:instrText xml:space="preserve"> HYPERLINK "https://www.itu.int/md/S20-CL-C-0015/en" </w:instrText>
            </w:r>
            <w:r w:rsidR="0079183C" w:rsidRPr="009C6C94">
              <w:rPr>
                <w:rFonts w:ascii="STKaiti" w:eastAsia="STKaiti" w:hAnsi="STKaiti"/>
              </w:rPr>
              <w:fldChar w:fldCharType="separate"/>
            </w:r>
            <w:r w:rsidR="00A8766D" w:rsidRPr="009C6C94">
              <w:rPr>
                <w:rFonts w:ascii="STKaiti" w:eastAsia="STKaiti" w:hAnsi="STKaiti"/>
                <w:color w:val="0000FF"/>
                <w:u w:val="single"/>
                <w:lang w:val="fr-FR" w:eastAsia="zh-CN"/>
              </w:rPr>
              <w:t>C20/15</w:t>
            </w:r>
            <w:r w:rsidR="0079183C" w:rsidRPr="009C6C94">
              <w:rPr>
                <w:rFonts w:ascii="STKaiti" w:eastAsia="STKaiti" w:hAnsi="STKaiti"/>
                <w:color w:val="0000FF"/>
                <w:u w:val="single"/>
                <w:lang w:val="fr-FR" w:eastAsia="zh-CN"/>
              </w:rPr>
              <w:fldChar w:fldCharType="end"/>
            </w:r>
            <w:r w:rsidR="00A8258B" w:rsidRPr="009C6C94">
              <w:rPr>
                <w:rFonts w:ascii="STKaiti" w:eastAsia="STKaiti" w:hAnsi="STKaiti" w:cs="SimSun" w:hint="eastAsia"/>
                <w:color w:val="0000FF"/>
                <w:u w:val="single"/>
                <w:lang w:val="fr-FR" w:eastAsia="zh-CN"/>
              </w:rPr>
              <w:t>（</w:t>
            </w:r>
            <w:r w:rsidR="00A8258B" w:rsidRPr="009C6C94">
              <w:rPr>
                <w:rFonts w:ascii="STKaiti" w:eastAsia="STKaiti" w:hAnsi="STKaiti" w:cs="SimSun"/>
                <w:lang w:eastAsia="zh-CN"/>
              </w:rPr>
              <w:t>组织复原力管理系</w:t>
            </w:r>
            <w:r w:rsidR="00A8258B" w:rsidRPr="009C6C94">
              <w:rPr>
                <w:rFonts w:ascii="STKaiti" w:eastAsia="STKaiti" w:hAnsi="STKaiti" w:cs="SimSun" w:hint="eastAsia"/>
                <w:lang w:eastAsia="zh-CN"/>
              </w:rPr>
              <w:t>统</w:t>
            </w:r>
            <w:r w:rsidR="00A8258B" w:rsidRPr="006945AE">
              <w:rPr>
                <w:rFonts w:ascii="STKaiti" w:eastAsia="STKaiti" w:hAnsi="STKaiti" w:cs="Microsoft YaHei" w:hint="eastAsia"/>
                <w:color w:val="000000"/>
                <w:sz w:val="20"/>
                <w:shd w:val="clear" w:color="auto" w:fill="FFFFFF"/>
                <w:lang w:val="fr-FR" w:eastAsia="zh-CN"/>
              </w:rPr>
              <w:t>（</w:t>
            </w:r>
            <w:r w:rsidR="00A8766D" w:rsidRPr="009C6C94">
              <w:rPr>
                <w:rFonts w:ascii="STKaiti" w:eastAsia="STKaiti" w:hAnsi="STKaiti"/>
                <w:lang w:val="fr-FR" w:eastAsia="zh-CN"/>
              </w:rPr>
              <w:t>ORMS</w:t>
            </w:r>
            <w:r w:rsidR="00A8258B" w:rsidRPr="009C6C94">
              <w:rPr>
                <w:rFonts w:ascii="STKaiti" w:eastAsia="STKaiti" w:hAnsi="STKaiti" w:cs="SimSun" w:hint="eastAsia"/>
                <w:lang w:val="fr-FR" w:eastAsia="zh-CN"/>
              </w:rPr>
              <w:t>））</w:t>
            </w:r>
            <w:r>
              <w:fldChar w:fldCharType="begin"/>
            </w:r>
            <w:r w:rsidRPr="006945AE">
              <w:rPr>
                <w:lang w:val="fr-FR"/>
              </w:rPr>
              <w:instrText xml:space="preserve"> HYPERLINK "https://www.itu.int/md/S20-CL-C-0043/en" </w:instrText>
            </w:r>
            <w:r>
              <w:fldChar w:fldCharType="separate"/>
            </w:r>
            <w:r w:rsidR="00A8766D" w:rsidRPr="009C6C94">
              <w:rPr>
                <w:rFonts w:ascii="STKaiti" w:eastAsia="STKaiti" w:hAnsi="STKaiti"/>
                <w:color w:val="0000FF"/>
                <w:u w:val="single"/>
                <w:lang w:val="fr-FR" w:eastAsia="zh-CN"/>
              </w:rPr>
              <w:t>C20/43</w:t>
            </w:r>
            <w:r>
              <w:rPr>
                <w:rFonts w:ascii="STKaiti" w:eastAsia="STKaiti" w:hAnsi="STKaiti"/>
                <w:color w:val="0000FF"/>
                <w:u w:val="single"/>
                <w:lang w:val="fr-FR" w:eastAsia="zh-CN"/>
              </w:rPr>
              <w:fldChar w:fldCharType="end"/>
            </w:r>
            <w:r w:rsidR="009C6C94" w:rsidRPr="009C6C94">
              <w:rPr>
                <w:rFonts w:ascii="STKaiti" w:eastAsia="STKaiti" w:hAnsi="STKaiti" w:cs="SimSun" w:hint="eastAsia"/>
                <w:lang w:val="fr-FR" w:eastAsia="zh-CN"/>
              </w:rPr>
              <w:t>（</w:t>
            </w:r>
            <w:r w:rsidR="00A8258B" w:rsidRPr="009C6C94">
              <w:rPr>
                <w:rFonts w:ascii="STKaiti" w:eastAsia="STKaiti" w:hAnsi="STKaiti" w:cs="SimSun" w:hint="eastAsia"/>
                <w:lang w:eastAsia="zh-CN"/>
              </w:rPr>
              <w:t>问责</w:t>
            </w:r>
            <w:r w:rsidR="00A8258B" w:rsidRPr="009C6C94">
              <w:rPr>
                <w:rFonts w:ascii="STKaiti" w:eastAsia="STKaiti" w:hAnsi="STKaiti" w:cs="SimSun" w:hint="eastAsia"/>
                <w:lang w:val="fr-FR" w:eastAsia="zh-CN"/>
              </w:rPr>
              <w:t>）</w:t>
            </w:r>
            <w:r w:rsidR="00A8258B">
              <w:rPr>
                <w:rFonts w:ascii="SimSun" w:hAnsi="SimSun" w:cs="SimSun" w:hint="eastAsia"/>
                <w:i/>
                <w:iCs/>
                <w:lang w:val="fr-FR" w:eastAsia="zh-CN"/>
              </w:rPr>
              <w:t>。</w:t>
            </w:r>
          </w:p>
        </w:tc>
      </w:tr>
    </w:tbl>
    <w:p w14:paraId="0120C4BC" w14:textId="153B873F" w:rsidR="009A542C" w:rsidRPr="00A8258B" w:rsidRDefault="009A542C" w:rsidP="009A542C">
      <w:pPr>
        <w:rPr>
          <w:lang w:val="fr-FR" w:eastAsia="zh-CN"/>
        </w:rPr>
      </w:pPr>
    </w:p>
    <w:p w14:paraId="27C02ADE" w14:textId="12395C38" w:rsidR="009A542C" w:rsidRPr="00A8258B" w:rsidRDefault="009A542C">
      <w:pPr>
        <w:tabs>
          <w:tab w:val="clear" w:pos="794"/>
          <w:tab w:val="clear" w:pos="1191"/>
          <w:tab w:val="clear" w:pos="1588"/>
          <w:tab w:val="clear" w:pos="1985"/>
        </w:tabs>
        <w:overflowPunct/>
        <w:autoSpaceDE/>
        <w:autoSpaceDN/>
        <w:adjustRightInd/>
        <w:spacing w:before="0"/>
        <w:textAlignment w:val="auto"/>
        <w:rPr>
          <w:b/>
          <w:sz w:val="28"/>
          <w:lang w:val="fr-FR" w:eastAsia="zh-CN"/>
        </w:rPr>
      </w:pPr>
    </w:p>
    <w:p w14:paraId="7B981A72" w14:textId="3D939474" w:rsidR="009A542C" w:rsidRPr="00A8258B" w:rsidRDefault="009A542C">
      <w:pPr>
        <w:tabs>
          <w:tab w:val="clear" w:pos="794"/>
          <w:tab w:val="clear" w:pos="1191"/>
          <w:tab w:val="clear" w:pos="1588"/>
          <w:tab w:val="clear" w:pos="1985"/>
        </w:tabs>
        <w:overflowPunct/>
        <w:autoSpaceDE/>
        <w:autoSpaceDN/>
        <w:adjustRightInd/>
        <w:spacing w:before="0"/>
        <w:textAlignment w:val="auto"/>
        <w:rPr>
          <w:b/>
          <w:sz w:val="28"/>
          <w:lang w:val="fr-FR" w:eastAsia="zh-CN"/>
        </w:rPr>
      </w:pPr>
      <w:r w:rsidRPr="00A8258B">
        <w:rPr>
          <w:lang w:val="fr-FR" w:eastAsia="zh-CN"/>
        </w:rPr>
        <w:br w:type="page"/>
      </w:r>
    </w:p>
    <w:p w14:paraId="58705844" w14:textId="27096099" w:rsidR="00A8766D" w:rsidRPr="006945AE" w:rsidRDefault="00A8766D" w:rsidP="009C6C94">
      <w:pPr>
        <w:pStyle w:val="Headingb"/>
        <w:rPr>
          <w:lang w:val="fr-FR"/>
        </w:rPr>
      </w:pPr>
      <w:bookmarkStart w:id="3" w:name="lt_pId031"/>
      <w:r w:rsidRPr="006945AE">
        <w:rPr>
          <w:lang w:val="fr-FR"/>
        </w:rPr>
        <w:lastRenderedPageBreak/>
        <w:t>1</w:t>
      </w:r>
      <w:r w:rsidR="009C6C94" w:rsidRPr="006945AE">
        <w:rPr>
          <w:lang w:val="fr-FR"/>
        </w:rPr>
        <w:tab/>
      </w:r>
      <w:proofErr w:type="spellStart"/>
      <w:r w:rsidR="0051152A" w:rsidRPr="009C6C94">
        <w:rPr>
          <w:rFonts w:hint="eastAsia"/>
        </w:rPr>
        <w:t>引言</w:t>
      </w:r>
      <w:proofErr w:type="spellEnd"/>
    </w:p>
    <w:p w14:paraId="59B809B7" w14:textId="5F5C4B4C" w:rsidR="00A8766D" w:rsidRPr="006945AE" w:rsidRDefault="00A8766D" w:rsidP="00A8766D">
      <w:pPr>
        <w:tabs>
          <w:tab w:val="clear" w:pos="794"/>
          <w:tab w:val="clear" w:pos="1191"/>
          <w:tab w:val="clear" w:pos="1588"/>
          <w:tab w:val="clear" w:pos="1985"/>
        </w:tabs>
        <w:overflowPunct/>
        <w:autoSpaceDE/>
        <w:autoSpaceDN/>
        <w:adjustRightInd/>
        <w:spacing w:after="120"/>
        <w:jc w:val="both"/>
        <w:textAlignment w:val="auto"/>
        <w:rPr>
          <w:rFonts w:cs="Calibri"/>
          <w:caps/>
          <w:szCs w:val="24"/>
          <w:lang w:val="fr-FR" w:eastAsia="zh-CN"/>
        </w:rPr>
      </w:pPr>
      <w:r w:rsidRPr="006945AE">
        <w:rPr>
          <w:rFonts w:cs="Calibri" w:hint="eastAsia"/>
          <w:caps/>
          <w:szCs w:val="24"/>
          <w:lang w:val="fr-FR" w:eastAsia="zh-CN"/>
        </w:rPr>
        <w:t>1.1</w:t>
      </w:r>
      <w:r w:rsidR="009C6C94" w:rsidRPr="006945AE">
        <w:rPr>
          <w:rFonts w:cs="Calibri"/>
          <w:caps/>
          <w:szCs w:val="24"/>
          <w:lang w:val="fr-FR" w:eastAsia="zh-CN"/>
        </w:rPr>
        <w:tab/>
      </w:r>
      <w:r w:rsidRPr="009C6C94">
        <w:rPr>
          <w:rFonts w:cs="Calibri" w:hint="eastAsia"/>
          <w:caps/>
          <w:szCs w:val="24"/>
          <w:lang w:eastAsia="zh-CN"/>
        </w:rPr>
        <w:t>本文件的目的是向理事会提供确保国际电联业务连续性所需的预期投资预测。</w:t>
      </w:r>
    </w:p>
    <w:p w14:paraId="04599FDB" w14:textId="72C19014" w:rsidR="00A8766D" w:rsidRPr="006945AE" w:rsidRDefault="00A8766D" w:rsidP="00A8766D">
      <w:pPr>
        <w:tabs>
          <w:tab w:val="clear" w:pos="794"/>
          <w:tab w:val="clear" w:pos="1191"/>
          <w:tab w:val="clear" w:pos="1588"/>
          <w:tab w:val="clear" w:pos="1985"/>
        </w:tabs>
        <w:overflowPunct/>
        <w:autoSpaceDE/>
        <w:autoSpaceDN/>
        <w:adjustRightInd/>
        <w:spacing w:after="120"/>
        <w:jc w:val="both"/>
        <w:textAlignment w:val="auto"/>
        <w:rPr>
          <w:rFonts w:cs="Calibri"/>
          <w:caps/>
          <w:szCs w:val="24"/>
          <w:lang w:val="fr-FR" w:eastAsia="zh-CN"/>
        </w:rPr>
      </w:pPr>
      <w:r w:rsidRPr="006945AE">
        <w:rPr>
          <w:rFonts w:cs="Calibri" w:hint="eastAsia"/>
          <w:caps/>
          <w:szCs w:val="24"/>
          <w:lang w:val="fr-FR" w:eastAsia="zh-CN"/>
        </w:rPr>
        <w:t>1.2</w:t>
      </w:r>
      <w:r w:rsidR="009C6C94" w:rsidRPr="006945AE">
        <w:rPr>
          <w:rFonts w:cs="Calibri"/>
          <w:caps/>
          <w:szCs w:val="24"/>
          <w:lang w:val="fr-FR" w:eastAsia="zh-CN"/>
        </w:rPr>
        <w:tab/>
      </w:r>
      <w:r w:rsidRPr="009C6C94">
        <w:rPr>
          <w:rFonts w:cs="Calibri" w:hint="eastAsia"/>
          <w:caps/>
          <w:szCs w:val="24"/>
          <w:lang w:eastAsia="zh-CN"/>
        </w:rPr>
        <w:t>自理事会</w:t>
      </w:r>
      <w:r w:rsidRPr="006945AE">
        <w:rPr>
          <w:rFonts w:cs="Calibri" w:hint="eastAsia"/>
          <w:caps/>
          <w:szCs w:val="24"/>
          <w:lang w:val="fr-FR" w:eastAsia="zh-CN"/>
        </w:rPr>
        <w:t>2016</w:t>
      </w:r>
      <w:r w:rsidRPr="009C6C94">
        <w:rPr>
          <w:rFonts w:cs="Calibri" w:hint="eastAsia"/>
          <w:caps/>
          <w:szCs w:val="24"/>
          <w:lang w:eastAsia="zh-CN"/>
        </w:rPr>
        <w:t>年</w:t>
      </w:r>
      <w:r w:rsidR="00E944CD" w:rsidRPr="009C6C94">
        <w:rPr>
          <w:rFonts w:cs="Calibri" w:hint="eastAsia"/>
          <w:caps/>
          <w:szCs w:val="24"/>
          <w:lang w:eastAsia="zh-CN"/>
        </w:rPr>
        <w:t>会议</w:t>
      </w:r>
      <w:r w:rsidRPr="009C6C94">
        <w:rPr>
          <w:rFonts w:cs="Calibri" w:hint="eastAsia"/>
          <w:caps/>
          <w:szCs w:val="24"/>
          <w:lang w:eastAsia="zh-CN"/>
        </w:rPr>
        <w:t>批准</w:t>
      </w:r>
      <w:r w:rsidR="00E944CD" w:rsidRPr="009C6C94">
        <w:rPr>
          <w:rFonts w:cs="Calibri"/>
          <w:caps/>
          <w:szCs w:val="24"/>
          <w:lang w:eastAsia="zh-CN"/>
        </w:rPr>
        <w:t>组织复原力管理系</w:t>
      </w:r>
      <w:r w:rsidR="00E944CD" w:rsidRPr="009C6C94">
        <w:rPr>
          <w:rFonts w:cs="Calibri" w:hint="eastAsia"/>
          <w:caps/>
          <w:szCs w:val="24"/>
          <w:lang w:eastAsia="zh-CN"/>
        </w:rPr>
        <w:t>统</w:t>
      </w:r>
      <w:r w:rsidR="00E944CD" w:rsidRPr="006945AE">
        <w:rPr>
          <w:rFonts w:cs="Calibri" w:hint="eastAsia"/>
          <w:caps/>
          <w:szCs w:val="24"/>
          <w:lang w:val="fr-FR" w:eastAsia="zh-CN"/>
        </w:rPr>
        <w:t>（</w:t>
      </w:r>
      <w:r w:rsidRPr="006945AE">
        <w:rPr>
          <w:rFonts w:cs="Calibri" w:hint="eastAsia"/>
          <w:caps/>
          <w:szCs w:val="24"/>
          <w:lang w:val="fr-FR" w:eastAsia="zh-CN"/>
        </w:rPr>
        <w:t>ORMS</w:t>
      </w:r>
      <w:r w:rsidR="00E944CD" w:rsidRPr="006945AE">
        <w:rPr>
          <w:rFonts w:cs="Calibri" w:hint="eastAsia"/>
          <w:caps/>
          <w:szCs w:val="24"/>
          <w:lang w:val="fr-FR" w:eastAsia="zh-CN"/>
        </w:rPr>
        <w:t>）</w:t>
      </w:r>
      <w:r w:rsidRPr="009C6C94">
        <w:rPr>
          <w:rFonts w:cs="Calibri" w:hint="eastAsia"/>
          <w:caps/>
          <w:szCs w:val="24"/>
          <w:lang w:eastAsia="zh-CN"/>
        </w:rPr>
        <w:t>框架以来</w:t>
      </w:r>
      <w:r w:rsidRPr="006945AE">
        <w:rPr>
          <w:rFonts w:cs="Calibri" w:hint="eastAsia"/>
          <w:caps/>
          <w:szCs w:val="24"/>
          <w:lang w:val="fr-FR" w:eastAsia="zh-CN"/>
        </w:rPr>
        <w:t>，</w:t>
      </w:r>
      <w:r w:rsidRPr="009C6C94">
        <w:rPr>
          <w:rFonts w:cs="Calibri" w:hint="eastAsia"/>
          <w:caps/>
          <w:szCs w:val="24"/>
          <w:lang w:eastAsia="zh-CN"/>
        </w:rPr>
        <w:t>国际电联</w:t>
      </w:r>
      <w:r w:rsidR="00E944CD" w:rsidRPr="009C6C94">
        <w:rPr>
          <w:rFonts w:cs="Calibri" w:hint="eastAsia"/>
          <w:caps/>
          <w:szCs w:val="24"/>
          <w:lang w:eastAsia="zh-CN"/>
        </w:rPr>
        <w:t>确立</w:t>
      </w:r>
      <w:r w:rsidRPr="009C6C94">
        <w:rPr>
          <w:rFonts w:cs="Calibri" w:hint="eastAsia"/>
          <w:caps/>
          <w:szCs w:val="24"/>
          <w:lang w:eastAsia="zh-CN"/>
        </w:rPr>
        <w:t>了以下业务连续性</w:t>
      </w:r>
      <w:r w:rsidR="00E944CD" w:rsidRPr="009C6C94">
        <w:rPr>
          <w:rFonts w:cs="Calibri" w:hint="eastAsia"/>
          <w:caps/>
          <w:szCs w:val="24"/>
          <w:lang w:eastAsia="zh-CN"/>
        </w:rPr>
        <w:t>进程</w:t>
      </w:r>
      <w:r w:rsidR="00E944CD" w:rsidRPr="006945AE">
        <w:rPr>
          <w:rFonts w:cs="Calibri" w:hint="eastAsia"/>
          <w:caps/>
          <w:szCs w:val="24"/>
          <w:lang w:val="fr-FR" w:eastAsia="zh-CN"/>
        </w:rPr>
        <w:t>（</w:t>
      </w:r>
      <w:r w:rsidRPr="006945AE">
        <w:rPr>
          <w:rFonts w:cs="Calibri" w:hint="eastAsia"/>
          <w:caps/>
          <w:szCs w:val="24"/>
          <w:lang w:val="fr-FR" w:eastAsia="zh-CN"/>
        </w:rPr>
        <w:t>C20/15</w:t>
      </w:r>
      <w:r w:rsidR="00E944CD" w:rsidRPr="006945AE">
        <w:rPr>
          <w:rFonts w:cs="Calibri" w:hint="eastAsia"/>
          <w:caps/>
          <w:szCs w:val="24"/>
          <w:lang w:val="fr-FR" w:eastAsia="zh-CN"/>
        </w:rPr>
        <w:t>）：</w:t>
      </w:r>
    </w:p>
    <w:p w14:paraId="7D563706" w14:textId="348BAB8C" w:rsidR="00A8766D" w:rsidRPr="006945AE" w:rsidRDefault="009C6C94" w:rsidP="009C6C94">
      <w:pPr>
        <w:pStyle w:val="enumlev2"/>
        <w:rPr>
          <w:lang w:val="fr-FR" w:eastAsia="zh-CN"/>
        </w:rPr>
      </w:pPr>
      <w:r w:rsidRPr="006945AE">
        <w:rPr>
          <w:lang w:val="fr-FR" w:eastAsia="zh-CN"/>
        </w:rPr>
        <w:t>–</w:t>
      </w:r>
      <w:r w:rsidRPr="006945AE">
        <w:rPr>
          <w:lang w:val="fr-FR" w:eastAsia="zh-CN"/>
        </w:rPr>
        <w:tab/>
      </w:r>
      <w:r w:rsidR="00A8766D" w:rsidRPr="009C6C94">
        <w:rPr>
          <w:rFonts w:hint="eastAsia"/>
          <w:lang w:eastAsia="zh-CN"/>
        </w:rPr>
        <w:t>业务连续性政策</w:t>
      </w:r>
      <w:r w:rsidR="00E944CD" w:rsidRPr="006945AE">
        <w:rPr>
          <w:rFonts w:hint="eastAsia"/>
          <w:lang w:val="fr-FR" w:eastAsia="zh-CN"/>
        </w:rPr>
        <w:t>（</w:t>
      </w:r>
      <w:r w:rsidR="00A8766D" w:rsidRPr="006945AE">
        <w:rPr>
          <w:rFonts w:hint="eastAsia"/>
          <w:lang w:val="fr-FR" w:eastAsia="zh-CN"/>
        </w:rPr>
        <w:t>BCP</w:t>
      </w:r>
      <w:r w:rsidR="00E944CD" w:rsidRPr="006945AE">
        <w:rPr>
          <w:rFonts w:hint="eastAsia"/>
          <w:lang w:val="fr-FR" w:eastAsia="zh-CN"/>
        </w:rPr>
        <w:t>）</w:t>
      </w:r>
    </w:p>
    <w:p w14:paraId="6F89D04C" w14:textId="0960CA7F" w:rsidR="00A8766D" w:rsidRPr="006945AE" w:rsidRDefault="009C6C94" w:rsidP="009C6C94">
      <w:pPr>
        <w:pStyle w:val="enumlev2"/>
        <w:rPr>
          <w:lang w:val="fr-FR" w:eastAsia="zh-CN"/>
        </w:rPr>
      </w:pPr>
      <w:r w:rsidRPr="006945AE">
        <w:rPr>
          <w:lang w:val="fr-FR" w:eastAsia="zh-CN"/>
        </w:rPr>
        <w:t>–</w:t>
      </w:r>
      <w:r w:rsidRPr="006945AE">
        <w:rPr>
          <w:lang w:val="fr-FR" w:eastAsia="zh-CN"/>
        </w:rPr>
        <w:tab/>
      </w:r>
      <w:r w:rsidR="00A8766D" w:rsidRPr="009C6C94">
        <w:rPr>
          <w:rFonts w:hint="eastAsia"/>
          <w:lang w:eastAsia="zh-CN"/>
        </w:rPr>
        <w:t>业务连续性管理系统</w:t>
      </w:r>
      <w:r w:rsidR="00E944CD" w:rsidRPr="006945AE">
        <w:rPr>
          <w:rFonts w:hint="eastAsia"/>
          <w:lang w:val="fr-FR" w:eastAsia="zh-CN"/>
        </w:rPr>
        <w:t>（</w:t>
      </w:r>
      <w:r w:rsidR="00A8766D" w:rsidRPr="006945AE">
        <w:rPr>
          <w:rFonts w:hint="eastAsia"/>
          <w:lang w:val="fr-FR" w:eastAsia="zh-CN"/>
        </w:rPr>
        <w:t>BCMS</w:t>
      </w:r>
      <w:r w:rsidR="00E944CD" w:rsidRPr="006945AE">
        <w:rPr>
          <w:rFonts w:hint="eastAsia"/>
          <w:lang w:val="fr-FR" w:eastAsia="zh-CN"/>
        </w:rPr>
        <w:t>）</w:t>
      </w:r>
      <w:r w:rsidR="00A8766D" w:rsidRPr="009C6C94">
        <w:rPr>
          <w:rFonts w:hint="eastAsia"/>
          <w:lang w:eastAsia="zh-CN"/>
        </w:rPr>
        <w:t>框架</w:t>
      </w:r>
    </w:p>
    <w:p w14:paraId="1508DBD6" w14:textId="61450DBA" w:rsidR="00A8766D" w:rsidRPr="006945AE" w:rsidRDefault="009C6C94" w:rsidP="009C6C94">
      <w:pPr>
        <w:pStyle w:val="enumlev2"/>
        <w:rPr>
          <w:lang w:val="fr-FR" w:eastAsia="zh-CN"/>
        </w:rPr>
      </w:pPr>
      <w:r w:rsidRPr="006945AE">
        <w:rPr>
          <w:lang w:val="fr-FR" w:eastAsia="zh-CN"/>
        </w:rPr>
        <w:t>–</w:t>
      </w:r>
      <w:r w:rsidRPr="006945AE">
        <w:rPr>
          <w:lang w:val="fr-FR" w:eastAsia="zh-CN"/>
        </w:rPr>
        <w:tab/>
      </w:r>
      <w:r w:rsidR="00E944CD" w:rsidRPr="009C6C94">
        <w:rPr>
          <w:rFonts w:hint="eastAsia"/>
          <w:lang w:eastAsia="zh-CN"/>
        </w:rPr>
        <w:t>业务</w:t>
      </w:r>
      <w:r w:rsidR="00A8766D" w:rsidRPr="009C6C94">
        <w:rPr>
          <w:rFonts w:hint="eastAsia"/>
          <w:lang w:eastAsia="zh-CN"/>
        </w:rPr>
        <w:t>风险评估</w:t>
      </w:r>
      <w:r w:rsidR="00E944CD" w:rsidRPr="006945AE">
        <w:rPr>
          <w:rFonts w:hint="eastAsia"/>
          <w:lang w:val="fr-FR" w:eastAsia="zh-CN"/>
        </w:rPr>
        <w:t>（</w:t>
      </w:r>
      <w:r w:rsidR="00E944CD" w:rsidRPr="006945AE">
        <w:rPr>
          <w:rFonts w:hint="eastAsia"/>
          <w:lang w:val="fr-FR" w:eastAsia="zh-CN"/>
        </w:rPr>
        <w:t>BRA</w:t>
      </w:r>
      <w:r w:rsidR="00E944CD" w:rsidRPr="006945AE">
        <w:rPr>
          <w:rFonts w:hint="eastAsia"/>
          <w:lang w:val="fr-FR" w:eastAsia="zh-CN"/>
        </w:rPr>
        <w:t>）</w:t>
      </w:r>
    </w:p>
    <w:p w14:paraId="0FE66DB2" w14:textId="0D258F07" w:rsidR="00A8766D" w:rsidRPr="006945AE" w:rsidRDefault="009C6C94" w:rsidP="009C6C94">
      <w:pPr>
        <w:pStyle w:val="enumlev2"/>
        <w:rPr>
          <w:lang w:val="fr-FR" w:eastAsia="zh-CN"/>
        </w:rPr>
      </w:pPr>
      <w:r w:rsidRPr="006945AE">
        <w:rPr>
          <w:lang w:val="fr-FR" w:eastAsia="zh-CN"/>
        </w:rPr>
        <w:t>–</w:t>
      </w:r>
      <w:r w:rsidRPr="006945AE">
        <w:rPr>
          <w:lang w:val="fr-FR" w:eastAsia="zh-CN"/>
        </w:rPr>
        <w:tab/>
      </w:r>
      <w:r w:rsidR="00A8766D" w:rsidRPr="009C6C94">
        <w:rPr>
          <w:rFonts w:hint="eastAsia"/>
          <w:lang w:eastAsia="zh-CN"/>
        </w:rPr>
        <w:t>活动和</w:t>
      </w:r>
      <w:r w:rsidR="00E944CD" w:rsidRPr="009C6C94">
        <w:rPr>
          <w:rFonts w:hint="eastAsia"/>
          <w:lang w:eastAsia="zh-CN"/>
        </w:rPr>
        <w:t>有利</w:t>
      </w:r>
      <w:r w:rsidR="00A8766D" w:rsidRPr="009C6C94">
        <w:rPr>
          <w:rFonts w:hint="eastAsia"/>
          <w:lang w:eastAsia="zh-CN"/>
        </w:rPr>
        <w:t>进程及优先事项</w:t>
      </w:r>
    </w:p>
    <w:p w14:paraId="160B0E0C" w14:textId="74ECAD9F" w:rsidR="00A8766D" w:rsidRPr="006945AE" w:rsidRDefault="009C6C94" w:rsidP="009C6C94">
      <w:pPr>
        <w:pStyle w:val="enumlev2"/>
        <w:rPr>
          <w:lang w:val="fr-FR" w:eastAsia="zh-CN"/>
        </w:rPr>
      </w:pPr>
      <w:r w:rsidRPr="006945AE">
        <w:rPr>
          <w:lang w:val="fr-FR" w:eastAsia="zh-CN"/>
        </w:rPr>
        <w:t>–</w:t>
      </w:r>
      <w:r w:rsidRPr="006945AE">
        <w:rPr>
          <w:lang w:val="fr-FR" w:eastAsia="zh-CN"/>
        </w:rPr>
        <w:tab/>
      </w:r>
      <w:r w:rsidR="00A8766D" w:rsidRPr="009C6C94">
        <w:rPr>
          <w:rFonts w:hint="eastAsia"/>
          <w:lang w:eastAsia="zh-CN"/>
        </w:rPr>
        <w:t>业务影响分析</w:t>
      </w:r>
      <w:r w:rsidR="00E944CD" w:rsidRPr="006945AE">
        <w:rPr>
          <w:rFonts w:hint="eastAsia"/>
          <w:lang w:val="fr-FR" w:eastAsia="zh-CN"/>
        </w:rPr>
        <w:t>（</w:t>
      </w:r>
      <w:r w:rsidR="00A8766D" w:rsidRPr="006945AE">
        <w:rPr>
          <w:rFonts w:hint="eastAsia"/>
          <w:lang w:val="fr-FR" w:eastAsia="zh-CN"/>
        </w:rPr>
        <w:t>BIA</w:t>
      </w:r>
      <w:r w:rsidR="00E944CD" w:rsidRPr="006945AE">
        <w:rPr>
          <w:rFonts w:hint="eastAsia"/>
          <w:lang w:val="fr-FR" w:eastAsia="zh-CN"/>
        </w:rPr>
        <w:t>）</w:t>
      </w:r>
    </w:p>
    <w:p w14:paraId="4126A7AB" w14:textId="36CDA1CD" w:rsidR="00A8766D" w:rsidRPr="006945AE" w:rsidRDefault="009C6C94" w:rsidP="009C6C94">
      <w:pPr>
        <w:pStyle w:val="enumlev2"/>
        <w:rPr>
          <w:lang w:val="fr-FR" w:eastAsia="zh-CN"/>
        </w:rPr>
      </w:pPr>
      <w:r w:rsidRPr="006945AE">
        <w:rPr>
          <w:lang w:val="fr-FR" w:eastAsia="zh-CN"/>
        </w:rPr>
        <w:t>–</w:t>
      </w:r>
      <w:r w:rsidRPr="006945AE">
        <w:rPr>
          <w:lang w:val="fr-FR" w:eastAsia="zh-CN"/>
        </w:rPr>
        <w:tab/>
      </w:r>
      <w:r w:rsidR="00A8766D" w:rsidRPr="009C6C94">
        <w:rPr>
          <w:rFonts w:hint="eastAsia"/>
          <w:lang w:eastAsia="zh-CN"/>
        </w:rPr>
        <w:t>业务连续性计划</w:t>
      </w:r>
      <w:r w:rsidR="00E944CD" w:rsidRPr="006945AE">
        <w:rPr>
          <w:rFonts w:hint="eastAsia"/>
          <w:lang w:val="fr-FR" w:eastAsia="zh-CN"/>
        </w:rPr>
        <w:t>（</w:t>
      </w:r>
      <w:r w:rsidR="00A8766D" w:rsidRPr="006945AE">
        <w:rPr>
          <w:rFonts w:hint="eastAsia"/>
          <w:lang w:val="fr-FR" w:eastAsia="zh-CN"/>
        </w:rPr>
        <w:t>BCP</w:t>
      </w:r>
      <w:r w:rsidR="00E944CD" w:rsidRPr="006945AE">
        <w:rPr>
          <w:rFonts w:hint="eastAsia"/>
          <w:lang w:val="fr-FR" w:eastAsia="zh-CN"/>
        </w:rPr>
        <w:t>）</w:t>
      </w:r>
    </w:p>
    <w:p w14:paraId="2AD76565" w14:textId="09C504D3" w:rsidR="00A8766D" w:rsidRPr="006945AE" w:rsidRDefault="00A8766D" w:rsidP="00A8766D">
      <w:pPr>
        <w:tabs>
          <w:tab w:val="clear" w:pos="794"/>
          <w:tab w:val="clear" w:pos="1191"/>
          <w:tab w:val="clear" w:pos="1588"/>
          <w:tab w:val="clear" w:pos="1985"/>
        </w:tabs>
        <w:overflowPunct/>
        <w:autoSpaceDE/>
        <w:autoSpaceDN/>
        <w:adjustRightInd/>
        <w:spacing w:after="120"/>
        <w:jc w:val="both"/>
        <w:textAlignment w:val="auto"/>
        <w:rPr>
          <w:rFonts w:cs="Calibri"/>
          <w:caps/>
          <w:szCs w:val="24"/>
          <w:lang w:val="fr-FR" w:eastAsia="zh-CN"/>
        </w:rPr>
      </w:pPr>
      <w:r w:rsidRPr="006945AE">
        <w:rPr>
          <w:rFonts w:cs="Calibri" w:hint="eastAsia"/>
          <w:caps/>
          <w:szCs w:val="24"/>
          <w:lang w:val="fr-FR" w:eastAsia="zh-CN"/>
        </w:rPr>
        <w:t>1.3</w:t>
      </w:r>
      <w:r w:rsidR="009C6C94" w:rsidRPr="006945AE">
        <w:rPr>
          <w:rFonts w:cs="Calibri"/>
          <w:caps/>
          <w:szCs w:val="24"/>
          <w:lang w:val="fr-FR" w:eastAsia="zh-CN"/>
        </w:rPr>
        <w:tab/>
      </w:r>
      <w:r w:rsidRPr="009C6C94">
        <w:rPr>
          <w:rFonts w:cs="Calibri" w:hint="eastAsia"/>
          <w:caps/>
          <w:szCs w:val="24"/>
          <w:lang w:eastAsia="zh-CN"/>
        </w:rPr>
        <w:t>在</w:t>
      </w:r>
      <w:r w:rsidR="00E944CD" w:rsidRPr="009C6C94">
        <w:rPr>
          <w:rFonts w:cs="Calibri" w:hint="eastAsia"/>
          <w:caps/>
          <w:szCs w:val="24"/>
          <w:lang w:eastAsia="zh-CN"/>
        </w:rPr>
        <w:t>由新冠肺炎病毒</w:t>
      </w:r>
      <w:r w:rsidR="00E944CD" w:rsidRPr="006945AE">
        <w:rPr>
          <w:rFonts w:cs="Calibri" w:hint="eastAsia"/>
          <w:caps/>
          <w:szCs w:val="24"/>
          <w:lang w:val="fr-FR" w:eastAsia="zh-CN"/>
        </w:rPr>
        <w:t>（</w:t>
      </w:r>
      <w:r w:rsidRPr="006945AE">
        <w:rPr>
          <w:rFonts w:cs="Calibri" w:hint="eastAsia"/>
          <w:caps/>
          <w:szCs w:val="24"/>
          <w:lang w:val="fr-FR" w:eastAsia="zh-CN"/>
        </w:rPr>
        <w:t>Covid-19</w:t>
      </w:r>
      <w:r w:rsidR="00E944CD" w:rsidRPr="006945AE">
        <w:rPr>
          <w:rFonts w:cs="Calibri" w:hint="eastAsia"/>
          <w:caps/>
          <w:szCs w:val="24"/>
          <w:lang w:val="fr-FR" w:eastAsia="zh-CN"/>
        </w:rPr>
        <w:t>）</w:t>
      </w:r>
      <w:r w:rsidR="00E944CD" w:rsidRPr="009C6C94">
        <w:rPr>
          <w:rFonts w:cs="Calibri" w:hint="eastAsia"/>
          <w:caps/>
          <w:szCs w:val="24"/>
          <w:lang w:eastAsia="zh-CN"/>
        </w:rPr>
        <w:t>大流行造成的</w:t>
      </w:r>
      <w:r w:rsidRPr="009C6C94">
        <w:rPr>
          <w:rFonts w:cs="Calibri" w:hint="eastAsia"/>
          <w:caps/>
          <w:szCs w:val="24"/>
          <w:lang w:eastAsia="zh-CN"/>
        </w:rPr>
        <w:t>封锁期间</w:t>
      </w:r>
      <w:r w:rsidRPr="006945AE">
        <w:rPr>
          <w:rFonts w:cs="Calibri" w:hint="eastAsia"/>
          <w:caps/>
          <w:szCs w:val="24"/>
          <w:lang w:val="fr-FR" w:eastAsia="zh-CN"/>
        </w:rPr>
        <w:t>，</w:t>
      </w:r>
      <w:r w:rsidRPr="009C6C94">
        <w:rPr>
          <w:rFonts w:cs="Calibri" w:hint="eastAsia"/>
          <w:caps/>
          <w:szCs w:val="24"/>
          <w:lang w:eastAsia="zh-CN"/>
        </w:rPr>
        <w:t>国际电联</w:t>
      </w:r>
      <w:r w:rsidR="00E944CD" w:rsidRPr="009C6C94">
        <w:rPr>
          <w:rFonts w:cs="Calibri" w:hint="eastAsia"/>
          <w:caps/>
          <w:szCs w:val="24"/>
          <w:lang w:eastAsia="zh-CN"/>
        </w:rPr>
        <w:t>持续</w:t>
      </w:r>
      <w:r w:rsidRPr="009C6C94">
        <w:rPr>
          <w:rFonts w:cs="Calibri" w:hint="eastAsia"/>
          <w:caps/>
          <w:szCs w:val="24"/>
          <w:lang w:eastAsia="zh-CN"/>
        </w:rPr>
        <w:t>开展业务的能力体现了这些行动的</w:t>
      </w:r>
      <w:r w:rsidR="00E944CD" w:rsidRPr="009C6C94">
        <w:rPr>
          <w:rFonts w:cs="Calibri" w:hint="eastAsia"/>
          <w:caps/>
          <w:szCs w:val="24"/>
          <w:lang w:eastAsia="zh-CN"/>
        </w:rPr>
        <w:t>益处</w:t>
      </w:r>
      <w:r w:rsidRPr="009C6C94">
        <w:rPr>
          <w:rFonts w:cs="Calibri" w:hint="eastAsia"/>
          <w:caps/>
          <w:szCs w:val="24"/>
          <w:lang w:eastAsia="zh-CN"/>
        </w:rPr>
        <w:t>。</w:t>
      </w:r>
    </w:p>
    <w:p w14:paraId="615B2E18" w14:textId="7C4B7247" w:rsidR="00A8766D" w:rsidRPr="006945AE" w:rsidRDefault="00A8766D" w:rsidP="00A8766D">
      <w:pPr>
        <w:tabs>
          <w:tab w:val="clear" w:pos="794"/>
          <w:tab w:val="clear" w:pos="1191"/>
          <w:tab w:val="clear" w:pos="1588"/>
          <w:tab w:val="clear" w:pos="1985"/>
        </w:tabs>
        <w:overflowPunct/>
        <w:autoSpaceDE/>
        <w:autoSpaceDN/>
        <w:adjustRightInd/>
        <w:spacing w:before="360" w:after="120"/>
        <w:jc w:val="both"/>
        <w:textAlignment w:val="auto"/>
        <w:rPr>
          <w:rFonts w:cs="Calibri"/>
          <w:b/>
          <w:bCs/>
          <w:szCs w:val="24"/>
          <w:lang w:val="fr-FR" w:eastAsia="zh-CN"/>
        </w:rPr>
      </w:pPr>
      <w:bookmarkStart w:id="4" w:name="lt_pId046"/>
      <w:bookmarkEnd w:id="3"/>
      <w:r w:rsidRPr="006945AE">
        <w:rPr>
          <w:rFonts w:cs="Calibri"/>
          <w:b/>
          <w:bCs/>
          <w:szCs w:val="24"/>
          <w:lang w:val="fr-FR" w:eastAsia="zh-CN"/>
        </w:rPr>
        <w:t>2</w:t>
      </w:r>
      <w:r w:rsidR="009C6C94" w:rsidRPr="006945AE">
        <w:rPr>
          <w:rFonts w:cs="Calibri"/>
          <w:b/>
          <w:bCs/>
          <w:szCs w:val="24"/>
          <w:lang w:val="fr-FR" w:eastAsia="zh-CN"/>
        </w:rPr>
        <w:tab/>
      </w:r>
      <w:r w:rsidR="00E944CD" w:rsidRPr="009C6C94">
        <w:rPr>
          <w:rFonts w:cs="Calibri" w:hint="eastAsia"/>
          <w:b/>
          <w:bCs/>
          <w:szCs w:val="24"/>
          <w:lang w:eastAsia="zh-CN"/>
        </w:rPr>
        <w:t>背景</w:t>
      </w:r>
    </w:p>
    <w:p w14:paraId="02043826" w14:textId="62459157" w:rsidR="00A8766D" w:rsidRPr="009C6C94" w:rsidDel="00890407" w:rsidRDefault="00A8766D" w:rsidP="00A8766D">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6945AE">
        <w:rPr>
          <w:rFonts w:cs="Calibri"/>
          <w:szCs w:val="24"/>
          <w:lang w:val="fr-FR" w:eastAsia="zh-CN"/>
        </w:rPr>
        <w:t>2.1</w:t>
      </w:r>
      <w:r w:rsidRPr="006945AE">
        <w:rPr>
          <w:rFonts w:cs="Calibri"/>
          <w:szCs w:val="24"/>
          <w:lang w:val="fr-FR" w:eastAsia="zh-CN"/>
        </w:rPr>
        <w:tab/>
      </w:r>
      <w:r w:rsidR="00550FC2" w:rsidRPr="009C6C94">
        <w:rPr>
          <w:rFonts w:cs="Calibri" w:hint="eastAsia"/>
          <w:caps/>
          <w:szCs w:val="24"/>
          <w:lang w:eastAsia="zh-CN"/>
        </w:rPr>
        <w:t>然而</w:t>
      </w:r>
      <w:r w:rsidR="00550FC2" w:rsidRPr="006945AE">
        <w:rPr>
          <w:rFonts w:cs="Calibri" w:hint="eastAsia"/>
          <w:caps/>
          <w:szCs w:val="24"/>
          <w:lang w:val="fr-FR" w:eastAsia="zh-CN"/>
        </w:rPr>
        <w:t>，</w:t>
      </w:r>
      <w:r w:rsidR="00550FC2" w:rsidRPr="009C6C94">
        <w:rPr>
          <w:rFonts w:cs="Calibri" w:hint="eastAsia"/>
          <w:caps/>
          <w:szCs w:val="24"/>
          <w:lang w:eastAsia="zh-CN"/>
        </w:rPr>
        <w:t>目前的平台存在挑战</w:t>
      </w:r>
      <w:r w:rsidR="00550FC2" w:rsidRPr="006945AE">
        <w:rPr>
          <w:rFonts w:cs="Calibri" w:hint="eastAsia"/>
          <w:caps/>
          <w:szCs w:val="24"/>
          <w:lang w:val="fr-FR" w:eastAsia="zh-CN"/>
        </w:rPr>
        <w:t>，</w:t>
      </w:r>
      <w:r w:rsidR="00550FC2" w:rsidRPr="009C6C94">
        <w:rPr>
          <w:rFonts w:cs="Calibri" w:hint="eastAsia"/>
          <w:caps/>
          <w:szCs w:val="24"/>
          <w:lang w:eastAsia="zh-CN"/>
        </w:rPr>
        <w:t>例如旧技术无法实现全球性支持</w:t>
      </w:r>
      <w:r w:rsidR="00550FC2" w:rsidRPr="006945AE">
        <w:rPr>
          <w:rFonts w:cs="Calibri" w:hint="eastAsia"/>
          <w:caps/>
          <w:szCs w:val="24"/>
          <w:lang w:val="fr-FR" w:eastAsia="zh-CN"/>
        </w:rPr>
        <w:t>，</w:t>
      </w:r>
      <w:r w:rsidR="00550FC2" w:rsidRPr="009C6C94">
        <w:rPr>
          <w:rFonts w:cs="Calibri" w:hint="eastAsia"/>
          <w:caps/>
          <w:szCs w:val="24"/>
          <w:lang w:eastAsia="zh-CN"/>
        </w:rPr>
        <w:t>业务连续性和灾难恢复能力有限。与我们现有的过时平台一起使用当前可用的商业现成应用程序和工具的可能性有限。此外，目前的工具消耗大量人力资源，自动化程度有限（见以下第</w:t>
      </w:r>
      <w:r w:rsidR="00550FC2" w:rsidRPr="009C6C94">
        <w:rPr>
          <w:rFonts w:cs="Calibri" w:hint="eastAsia"/>
          <w:caps/>
          <w:szCs w:val="24"/>
          <w:lang w:eastAsia="zh-CN"/>
        </w:rPr>
        <w:t>3.1.3</w:t>
      </w:r>
      <w:r w:rsidR="00550FC2" w:rsidRPr="009C6C94">
        <w:rPr>
          <w:rFonts w:cs="Calibri" w:hint="eastAsia"/>
          <w:caps/>
          <w:szCs w:val="24"/>
          <w:lang w:eastAsia="zh-CN"/>
        </w:rPr>
        <w:t>段）。</w:t>
      </w:r>
    </w:p>
    <w:p w14:paraId="76EAACB8" w14:textId="4BB26828" w:rsidR="00A8766D" w:rsidRPr="009C6C94" w:rsidRDefault="00A8766D" w:rsidP="00A8766D">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9C6C94">
        <w:rPr>
          <w:rFonts w:cs="Calibri"/>
          <w:szCs w:val="24"/>
          <w:lang w:eastAsia="zh-CN"/>
        </w:rPr>
        <w:t>2.2</w:t>
      </w:r>
      <w:r w:rsidRPr="009C6C94">
        <w:rPr>
          <w:rFonts w:cs="Calibri"/>
          <w:szCs w:val="24"/>
          <w:lang w:eastAsia="zh-CN"/>
        </w:rPr>
        <w:tab/>
      </w:r>
      <w:r w:rsidR="00550FC2" w:rsidRPr="009C6C94">
        <w:rPr>
          <w:rFonts w:cs="Calibri" w:hint="eastAsia"/>
          <w:caps/>
          <w:szCs w:val="24"/>
          <w:lang w:eastAsia="zh-CN"/>
        </w:rPr>
        <w:t>更换现有平台将确保国际电联范围内的统一并符合语言要求，</w:t>
      </w:r>
      <w:r w:rsidR="00550FC2" w:rsidRPr="009C6C94">
        <w:rPr>
          <w:rFonts w:cs="Calibri"/>
          <w:caps/>
          <w:szCs w:val="24"/>
          <w:lang w:eastAsia="zh-CN"/>
        </w:rPr>
        <w:t>在设计时考虑到语言和分析</w:t>
      </w:r>
      <w:r w:rsidR="00550FC2" w:rsidRPr="009C6C94">
        <w:rPr>
          <w:rFonts w:cs="Calibri" w:hint="eastAsia"/>
          <w:caps/>
          <w:szCs w:val="24"/>
          <w:lang w:eastAsia="zh-CN"/>
        </w:rPr>
        <w:t>所用</w:t>
      </w:r>
      <w:r w:rsidR="00550FC2" w:rsidRPr="009C6C94">
        <w:rPr>
          <w:rFonts w:cs="Calibri"/>
          <w:caps/>
          <w:szCs w:val="24"/>
          <w:lang w:eastAsia="zh-CN"/>
        </w:rPr>
        <w:t>的人工智能</w:t>
      </w:r>
      <w:r w:rsidR="00550FC2" w:rsidRPr="009C6C94">
        <w:rPr>
          <w:rFonts w:cs="Calibri"/>
          <w:caps/>
          <w:szCs w:val="24"/>
          <w:lang w:eastAsia="zh-CN"/>
        </w:rPr>
        <w:t>/</w:t>
      </w:r>
      <w:r w:rsidR="00550FC2" w:rsidRPr="009C6C94">
        <w:rPr>
          <w:rFonts w:cs="Calibri"/>
          <w:caps/>
          <w:szCs w:val="24"/>
          <w:lang w:eastAsia="zh-CN"/>
        </w:rPr>
        <w:t>机器学习</w:t>
      </w:r>
      <w:r w:rsidR="000251C8" w:rsidRPr="009C6C94">
        <w:rPr>
          <w:rFonts w:cs="Calibri" w:hint="eastAsia"/>
          <w:caps/>
          <w:szCs w:val="24"/>
          <w:lang w:eastAsia="zh-CN"/>
        </w:rPr>
        <w:t>（</w:t>
      </w:r>
      <w:r w:rsidR="00550FC2" w:rsidRPr="009C6C94">
        <w:rPr>
          <w:rFonts w:cs="Calibri"/>
          <w:caps/>
          <w:szCs w:val="24"/>
          <w:lang w:eastAsia="zh-CN"/>
        </w:rPr>
        <w:t>AI/ML</w:t>
      </w:r>
      <w:r w:rsidR="000251C8" w:rsidRPr="009C6C94">
        <w:rPr>
          <w:rFonts w:cs="Calibri" w:hint="eastAsia"/>
          <w:caps/>
          <w:szCs w:val="24"/>
          <w:lang w:eastAsia="zh-CN"/>
        </w:rPr>
        <w:t>）技术</w:t>
      </w:r>
      <w:r w:rsidR="00550FC2" w:rsidRPr="009C6C94">
        <w:rPr>
          <w:rFonts w:cs="Calibri" w:hint="eastAsia"/>
          <w:caps/>
          <w:szCs w:val="24"/>
          <w:lang w:eastAsia="zh-CN"/>
        </w:rPr>
        <w:t>；为成员提供商业协作工具，为所有会议、大会和活动提供自助服务工具；确保适当的业务连续性和灾难恢复机制。</w:t>
      </w:r>
    </w:p>
    <w:p w14:paraId="23F1016A" w14:textId="544CC4B7" w:rsidR="00A8766D" w:rsidRPr="009C6C94" w:rsidRDefault="00A8766D" w:rsidP="0027192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9C6C94">
        <w:rPr>
          <w:rFonts w:cs="Calibri"/>
          <w:szCs w:val="24"/>
          <w:lang w:eastAsia="zh-CN"/>
        </w:rPr>
        <w:t>2.3</w:t>
      </w:r>
      <w:r w:rsidR="009C6C94">
        <w:rPr>
          <w:rFonts w:cs="Calibri"/>
          <w:szCs w:val="24"/>
          <w:lang w:eastAsia="zh-CN"/>
        </w:rPr>
        <w:tab/>
      </w:r>
      <w:r w:rsidR="009C6C94" w:rsidRPr="009C6C94">
        <w:rPr>
          <w:rFonts w:cs="Calibri"/>
          <w:szCs w:val="24"/>
          <w:lang w:eastAsia="zh-CN"/>
        </w:rPr>
        <w:t>ORMS</w:t>
      </w:r>
      <w:r w:rsidR="0027192C" w:rsidRPr="009C6C94">
        <w:rPr>
          <w:rFonts w:cs="Calibri" w:hint="eastAsia"/>
          <w:szCs w:val="24"/>
          <w:lang w:eastAsia="zh-CN"/>
        </w:rPr>
        <w:t>项目认识到，尽管可进行业务风险评估并引入缓解措施，但产品和服务（活动）的意外重大中断仍可能在本地和全球范围内发生。中断的高效管理要求我们制定</w:t>
      </w:r>
      <w:r w:rsidR="0027192C" w:rsidRPr="0079183C">
        <w:rPr>
          <w:rFonts w:cs="Calibri" w:hint="eastAsia"/>
          <w:b/>
          <w:bCs/>
          <w:szCs w:val="24"/>
          <w:lang w:eastAsia="zh-CN"/>
        </w:rPr>
        <w:t>业务连续性政策</w:t>
      </w:r>
      <w:r w:rsidR="0027192C" w:rsidRPr="009C6C94">
        <w:rPr>
          <w:rFonts w:cs="Calibri" w:hint="eastAsia"/>
          <w:szCs w:val="24"/>
          <w:lang w:eastAsia="zh-CN"/>
        </w:rPr>
        <w:t>。</w:t>
      </w:r>
    </w:p>
    <w:p w14:paraId="7B0126D4" w14:textId="46FEE59A" w:rsidR="00A8766D" w:rsidRPr="009C6C94" w:rsidRDefault="00A8766D" w:rsidP="00A8766D">
      <w:pPr>
        <w:tabs>
          <w:tab w:val="clear" w:pos="794"/>
          <w:tab w:val="clear" w:pos="1191"/>
          <w:tab w:val="clear" w:pos="1588"/>
          <w:tab w:val="clear" w:pos="1985"/>
        </w:tabs>
        <w:spacing w:after="120"/>
        <w:jc w:val="both"/>
        <w:rPr>
          <w:rFonts w:cs="Calibri"/>
          <w:szCs w:val="24"/>
          <w:lang w:eastAsia="zh-CN"/>
        </w:rPr>
      </w:pPr>
      <w:bookmarkStart w:id="5" w:name="lt_pId055"/>
      <w:bookmarkEnd w:id="4"/>
      <w:r w:rsidRPr="009C6C94">
        <w:rPr>
          <w:rFonts w:cs="Calibri"/>
          <w:szCs w:val="24"/>
          <w:lang w:eastAsia="zh-CN"/>
        </w:rPr>
        <w:t>2.4</w:t>
      </w:r>
      <w:r w:rsidRPr="009C6C94">
        <w:rPr>
          <w:rFonts w:cs="Calibri"/>
          <w:szCs w:val="24"/>
          <w:lang w:eastAsia="zh-CN"/>
        </w:rPr>
        <w:tab/>
      </w:r>
      <w:r w:rsidRPr="009C6C94">
        <w:rPr>
          <w:rFonts w:cs="Calibri" w:hint="eastAsia"/>
          <w:caps/>
          <w:szCs w:val="24"/>
          <w:lang w:eastAsia="zh-CN"/>
        </w:rPr>
        <w:t>因此，</w:t>
      </w:r>
      <w:r w:rsidR="00DB4095" w:rsidRPr="009C6C94">
        <w:rPr>
          <w:rFonts w:cs="Calibri" w:hint="eastAsia"/>
          <w:caps/>
          <w:szCs w:val="24"/>
          <w:lang w:eastAsia="zh-CN"/>
        </w:rPr>
        <w:t>通过</w:t>
      </w:r>
      <w:r w:rsidRPr="009C6C94">
        <w:rPr>
          <w:rFonts w:cs="Calibri" w:hint="eastAsia"/>
          <w:caps/>
          <w:szCs w:val="24"/>
          <w:lang w:eastAsia="zh-CN"/>
        </w:rPr>
        <w:t>ORMS</w:t>
      </w:r>
      <w:r w:rsidRPr="009C6C94">
        <w:rPr>
          <w:rFonts w:cs="Calibri" w:hint="eastAsia"/>
          <w:caps/>
          <w:szCs w:val="24"/>
          <w:lang w:eastAsia="zh-CN"/>
        </w:rPr>
        <w:t>项目进行了业务风险评估，并使用了基于国际电联风险管理政策的通用模型，以确保系统</w:t>
      </w:r>
      <w:r w:rsidR="00DB4095" w:rsidRPr="009C6C94">
        <w:rPr>
          <w:rFonts w:cs="Calibri" w:hint="eastAsia"/>
          <w:caps/>
          <w:szCs w:val="24"/>
          <w:lang w:eastAsia="zh-CN"/>
        </w:rPr>
        <w:t>性</w:t>
      </w:r>
      <w:r w:rsidRPr="009C6C94">
        <w:rPr>
          <w:rFonts w:cs="Calibri" w:hint="eastAsia"/>
          <w:caps/>
          <w:szCs w:val="24"/>
          <w:lang w:eastAsia="zh-CN"/>
        </w:rPr>
        <w:t>风险管理和组织复原力</w:t>
      </w:r>
      <w:r w:rsidR="00DB4095" w:rsidRPr="009C6C94">
        <w:rPr>
          <w:rFonts w:cs="Calibri" w:hint="eastAsia"/>
          <w:caps/>
          <w:szCs w:val="24"/>
          <w:lang w:eastAsia="zh-CN"/>
        </w:rPr>
        <w:t>。上述</w:t>
      </w:r>
      <w:r w:rsidRPr="009C6C94">
        <w:rPr>
          <w:rFonts w:cs="Calibri" w:hint="eastAsia"/>
          <w:caps/>
          <w:szCs w:val="24"/>
          <w:lang w:eastAsia="zh-CN"/>
        </w:rPr>
        <w:t>模型</w:t>
      </w:r>
      <w:r w:rsidR="00DB4095" w:rsidRPr="009C6C94">
        <w:rPr>
          <w:rFonts w:cs="Calibri" w:hint="eastAsia"/>
          <w:caps/>
          <w:szCs w:val="24"/>
          <w:lang w:eastAsia="zh-CN"/>
        </w:rPr>
        <w:t>包含</w:t>
      </w:r>
      <w:r w:rsidRPr="009C6C94">
        <w:rPr>
          <w:rFonts w:cs="Calibri" w:hint="eastAsia"/>
          <w:caps/>
          <w:szCs w:val="24"/>
          <w:lang w:eastAsia="zh-CN"/>
        </w:rPr>
        <w:t>九个不同类别的风险</w:t>
      </w:r>
      <w:r w:rsidR="00DB4095" w:rsidRPr="009C6C94">
        <w:rPr>
          <w:rFonts w:cs="Calibri" w:hint="eastAsia"/>
          <w:caps/>
          <w:szCs w:val="24"/>
          <w:lang w:eastAsia="zh-CN"/>
        </w:rPr>
        <w:t>（</w:t>
      </w:r>
      <w:r w:rsidRPr="009C6C94">
        <w:rPr>
          <w:rFonts w:cs="Calibri" w:hint="eastAsia"/>
          <w:caps/>
          <w:szCs w:val="24"/>
          <w:lang w:eastAsia="zh-CN"/>
        </w:rPr>
        <w:t>环境</w:t>
      </w:r>
      <w:r w:rsidRPr="009C6C94">
        <w:rPr>
          <w:rFonts w:cs="Calibri" w:hint="eastAsia"/>
          <w:caps/>
          <w:szCs w:val="24"/>
          <w:lang w:eastAsia="zh-CN"/>
        </w:rPr>
        <w:t>/</w:t>
      </w:r>
      <w:r w:rsidRPr="009C6C94">
        <w:rPr>
          <w:rFonts w:cs="Calibri" w:hint="eastAsia"/>
          <w:caps/>
          <w:szCs w:val="24"/>
          <w:lang w:eastAsia="zh-CN"/>
        </w:rPr>
        <w:t>人为、基础设施</w:t>
      </w:r>
      <w:r w:rsidRPr="009C6C94">
        <w:rPr>
          <w:rFonts w:cs="Calibri" w:hint="eastAsia"/>
          <w:caps/>
          <w:szCs w:val="24"/>
          <w:lang w:eastAsia="zh-CN"/>
        </w:rPr>
        <w:t>-</w:t>
      </w:r>
      <w:r w:rsidRPr="009C6C94">
        <w:rPr>
          <w:rFonts w:cs="Calibri" w:hint="eastAsia"/>
          <w:caps/>
          <w:szCs w:val="24"/>
          <w:lang w:eastAsia="zh-CN"/>
        </w:rPr>
        <w:t>数字中断、人力资源、组织</w:t>
      </w:r>
      <w:r w:rsidRPr="009C6C94">
        <w:rPr>
          <w:rFonts w:cs="Calibri" w:hint="eastAsia"/>
          <w:caps/>
          <w:szCs w:val="24"/>
          <w:lang w:eastAsia="zh-CN"/>
        </w:rPr>
        <w:t>-</w:t>
      </w:r>
      <w:r w:rsidR="00DB4095" w:rsidRPr="009C6C94">
        <w:rPr>
          <w:rFonts w:cs="Calibri" w:hint="eastAsia"/>
          <w:caps/>
          <w:szCs w:val="24"/>
          <w:lang w:eastAsia="zh-CN"/>
        </w:rPr>
        <w:t>活动</w:t>
      </w:r>
      <w:r w:rsidRPr="009C6C94">
        <w:rPr>
          <w:rFonts w:cs="Calibri" w:hint="eastAsia"/>
          <w:caps/>
          <w:szCs w:val="24"/>
          <w:lang w:eastAsia="zh-CN"/>
        </w:rPr>
        <w:t>中断、财务、基础设施</w:t>
      </w:r>
      <w:r w:rsidR="009C6C94">
        <w:rPr>
          <w:rFonts w:cs="Calibri" w:hint="eastAsia"/>
          <w:caps/>
          <w:szCs w:val="24"/>
          <w:lang w:eastAsia="zh-CN"/>
        </w:rPr>
        <w:t xml:space="preserve"> </w:t>
      </w:r>
      <w:r w:rsidR="009C6C94" w:rsidRPr="009C6C94">
        <w:rPr>
          <w:rFonts w:cs="Calibri"/>
          <w:caps/>
          <w:szCs w:val="24"/>
          <w:lang w:eastAsia="zh-CN"/>
        </w:rPr>
        <w:t>–</w:t>
      </w:r>
      <w:r w:rsidR="009C6C94">
        <w:rPr>
          <w:rFonts w:cs="Calibri" w:hint="eastAsia"/>
          <w:caps/>
          <w:szCs w:val="24"/>
          <w:lang w:eastAsia="zh-CN"/>
        </w:rPr>
        <w:t xml:space="preserve"> </w:t>
      </w:r>
      <w:r w:rsidRPr="009C6C94">
        <w:rPr>
          <w:rFonts w:cs="Calibri" w:hint="eastAsia"/>
          <w:caps/>
          <w:szCs w:val="24"/>
          <w:lang w:eastAsia="zh-CN"/>
        </w:rPr>
        <w:t>物理中断、利益攸关方</w:t>
      </w:r>
      <w:r w:rsidRPr="009C6C94">
        <w:rPr>
          <w:rFonts w:cs="Calibri" w:hint="eastAsia"/>
          <w:caps/>
          <w:szCs w:val="24"/>
          <w:lang w:eastAsia="zh-CN"/>
        </w:rPr>
        <w:t>/</w:t>
      </w:r>
      <w:r w:rsidRPr="009C6C94">
        <w:rPr>
          <w:rFonts w:cs="Calibri" w:hint="eastAsia"/>
          <w:caps/>
          <w:szCs w:val="24"/>
          <w:lang w:eastAsia="zh-CN"/>
        </w:rPr>
        <w:t>合作伙伴、组织</w:t>
      </w:r>
      <w:r w:rsidR="009C6C94">
        <w:rPr>
          <w:rFonts w:cs="Calibri" w:hint="eastAsia"/>
          <w:caps/>
          <w:szCs w:val="24"/>
          <w:lang w:eastAsia="zh-CN"/>
        </w:rPr>
        <w:t xml:space="preserve"> </w:t>
      </w:r>
      <w:r w:rsidR="009C6C94" w:rsidRPr="009C6C94">
        <w:rPr>
          <w:rFonts w:cs="Calibri"/>
          <w:caps/>
          <w:szCs w:val="24"/>
          <w:lang w:eastAsia="zh-CN"/>
        </w:rPr>
        <w:t>–</w:t>
      </w:r>
      <w:r w:rsidR="009C6C94">
        <w:rPr>
          <w:rFonts w:cs="Calibri" w:hint="eastAsia"/>
          <w:caps/>
          <w:szCs w:val="24"/>
          <w:lang w:eastAsia="zh-CN"/>
        </w:rPr>
        <w:t xml:space="preserve"> </w:t>
      </w:r>
      <w:r w:rsidRPr="009C6C94">
        <w:rPr>
          <w:rFonts w:cs="Calibri" w:hint="eastAsia"/>
          <w:caps/>
          <w:szCs w:val="24"/>
          <w:lang w:eastAsia="zh-CN"/>
        </w:rPr>
        <w:t>办公室和后勤以及环境</w:t>
      </w:r>
      <w:r w:rsidRPr="009C6C94">
        <w:rPr>
          <w:rFonts w:cs="Calibri" w:hint="eastAsia"/>
          <w:caps/>
          <w:szCs w:val="24"/>
          <w:lang w:eastAsia="zh-CN"/>
        </w:rPr>
        <w:t>-</w:t>
      </w:r>
      <w:r w:rsidRPr="009C6C94">
        <w:rPr>
          <w:rFonts w:cs="Calibri" w:hint="eastAsia"/>
          <w:caps/>
          <w:szCs w:val="24"/>
          <w:lang w:eastAsia="zh-CN"/>
        </w:rPr>
        <w:t>自然</w:t>
      </w:r>
      <w:r w:rsidR="00DB4095" w:rsidRPr="009C6C94">
        <w:rPr>
          <w:rFonts w:cs="Calibri" w:hint="eastAsia"/>
          <w:caps/>
          <w:szCs w:val="24"/>
          <w:lang w:eastAsia="zh-CN"/>
        </w:rPr>
        <w:t>）</w:t>
      </w:r>
      <w:r w:rsidRPr="009C6C94">
        <w:rPr>
          <w:rFonts w:cs="Calibri" w:hint="eastAsia"/>
          <w:caps/>
          <w:szCs w:val="24"/>
          <w:lang w:eastAsia="zh-CN"/>
        </w:rPr>
        <w:t>，其中包括中断、原因、影响和缓解等潜在指标。根据这一方法，进行了战略业务影响分析</w:t>
      </w:r>
      <w:r w:rsidR="00DB4095" w:rsidRPr="009C6C94">
        <w:rPr>
          <w:rFonts w:cs="Calibri" w:hint="eastAsia"/>
          <w:caps/>
          <w:szCs w:val="24"/>
          <w:lang w:eastAsia="zh-CN"/>
        </w:rPr>
        <w:t>（</w:t>
      </w:r>
      <w:r w:rsidRPr="009C6C94">
        <w:rPr>
          <w:rFonts w:cs="Calibri" w:hint="eastAsia"/>
          <w:caps/>
          <w:szCs w:val="24"/>
          <w:lang w:eastAsia="zh-CN"/>
        </w:rPr>
        <w:t>SBIA</w:t>
      </w:r>
      <w:r w:rsidR="00DB4095" w:rsidRPr="009C6C94">
        <w:rPr>
          <w:rFonts w:cs="Calibri" w:hint="eastAsia"/>
          <w:caps/>
          <w:szCs w:val="24"/>
          <w:lang w:eastAsia="zh-CN"/>
        </w:rPr>
        <w:t>）</w:t>
      </w:r>
      <w:r w:rsidRPr="009C6C94">
        <w:rPr>
          <w:rFonts w:cs="Calibri" w:hint="eastAsia"/>
          <w:caps/>
          <w:szCs w:val="24"/>
          <w:lang w:eastAsia="zh-CN"/>
        </w:rPr>
        <w:t>，以分析活动和业务中断可能对组织产生的影响，以及活动的恢复时间，以便恢复活动，使活动能够在</w:t>
      </w:r>
      <w:r w:rsidR="00DB4095" w:rsidRPr="009C6C94">
        <w:rPr>
          <w:rFonts w:cs="Calibri" w:hint="eastAsia"/>
          <w:caps/>
          <w:szCs w:val="24"/>
          <w:lang w:eastAsia="zh-CN"/>
        </w:rPr>
        <w:t>重启时得以顺利进行</w:t>
      </w:r>
      <w:r w:rsidRPr="009C6C94">
        <w:rPr>
          <w:rFonts w:cs="Calibri" w:hint="eastAsia"/>
          <w:caps/>
          <w:szCs w:val="24"/>
          <w:lang w:eastAsia="zh-CN"/>
        </w:rPr>
        <w:t>。</w:t>
      </w:r>
    </w:p>
    <w:p w14:paraId="0E87E31D" w14:textId="2E20A603" w:rsidR="00BF5456" w:rsidRPr="009C6C94" w:rsidRDefault="00BF5456" w:rsidP="00BF5456">
      <w:pPr>
        <w:keepNext/>
        <w:keepLines/>
        <w:tabs>
          <w:tab w:val="clear" w:pos="794"/>
          <w:tab w:val="clear" w:pos="1191"/>
          <w:tab w:val="clear" w:pos="1588"/>
          <w:tab w:val="clear" w:pos="1985"/>
        </w:tabs>
        <w:overflowPunct/>
        <w:autoSpaceDE/>
        <w:autoSpaceDN/>
        <w:adjustRightInd/>
        <w:spacing w:after="120"/>
        <w:jc w:val="both"/>
        <w:textAlignment w:val="auto"/>
        <w:rPr>
          <w:rFonts w:cs="Calibri"/>
          <w:b/>
          <w:bCs/>
          <w:szCs w:val="24"/>
          <w:lang w:eastAsia="zh-CN"/>
        </w:rPr>
      </w:pPr>
      <w:bookmarkStart w:id="6" w:name="lt_pId060"/>
      <w:bookmarkEnd w:id="5"/>
      <w:r w:rsidRPr="009C6C94">
        <w:rPr>
          <w:rFonts w:cs="Calibri"/>
          <w:b/>
          <w:bCs/>
          <w:szCs w:val="24"/>
          <w:lang w:eastAsia="zh-CN"/>
        </w:rPr>
        <w:t>3</w:t>
      </w:r>
      <w:r w:rsidR="009C6C94">
        <w:rPr>
          <w:rFonts w:cs="Calibri"/>
          <w:b/>
          <w:bCs/>
          <w:szCs w:val="24"/>
          <w:lang w:eastAsia="zh-CN"/>
        </w:rPr>
        <w:tab/>
      </w:r>
      <w:r w:rsidR="00C0541A" w:rsidRPr="009C6C94">
        <w:rPr>
          <w:rFonts w:cs="Calibri" w:hint="eastAsia"/>
          <w:b/>
          <w:bCs/>
          <w:szCs w:val="24"/>
          <w:lang w:eastAsia="zh-CN"/>
        </w:rPr>
        <w:t>投资领域</w:t>
      </w:r>
    </w:p>
    <w:p w14:paraId="0E209705" w14:textId="39F4BEDF" w:rsidR="00BF5456" w:rsidRPr="009C6C94" w:rsidRDefault="00BF5456" w:rsidP="00BF5456">
      <w:pPr>
        <w:keepNext/>
        <w:keepLines/>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9C6C94">
        <w:rPr>
          <w:rFonts w:cs="Calibri"/>
          <w:szCs w:val="24"/>
          <w:lang w:eastAsia="zh-CN"/>
        </w:rPr>
        <w:t>3.1</w:t>
      </w:r>
      <w:r w:rsidRPr="009C6C94">
        <w:rPr>
          <w:rFonts w:cs="Calibri"/>
          <w:szCs w:val="24"/>
          <w:lang w:eastAsia="zh-CN"/>
        </w:rPr>
        <w:tab/>
      </w:r>
      <w:r w:rsidR="00C0541A" w:rsidRPr="009C6C94">
        <w:rPr>
          <w:rFonts w:cs="Calibri" w:hint="eastAsia"/>
          <w:szCs w:val="24"/>
          <w:u w:val="single"/>
          <w:lang w:eastAsia="zh-CN"/>
        </w:rPr>
        <w:t>信息和记录管理</w:t>
      </w:r>
    </w:p>
    <w:p w14:paraId="134E593C" w14:textId="5D25EC41" w:rsidR="00BF5456" w:rsidRPr="009C6C94" w:rsidRDefault="00BF5456" w:rsidP="00BF5456">
      <w:pPr>
        <w:keepNext/>
        <w:keepLines/>
        <w:tabs>
          <w:tab w:val="clear" w:pos="794"/>
          <w:tab w:val="clear" w:pos="1191"/>
          <w:tab w:val="clear" w:pos="1588"/>
          <w:tab w:val="clear" w:pos="1985"/>
        </w:tabs>
        <w:spacing w:after="120"/>
        <w:jc w:val="both"/>
        <w:rPr>
          <w:rFonts w:cs="Calibri"/>
          <w:szCs w:val="24"/>
          <w:lang w:eastAsia="zh-CN"/>
        </w:rPr>
      </w:pPr>
      <w:r w:rsidRPr="009C6C94">
        <w:rPr>
          <w:rFonts w:cs="Calibri"/>
          <w:szCs w:val="24"/>
          <w:lang w:eastAsia="zh-CN"/>
        </w:rPr>
        <w:t>3.</w:t>
      </w:r>
      <w:proofErr w:type="gramStart"/>
      <w:r w:rsidRPr="009C6C94">
        <w:rPr>
          <w:rFonts w:cs="Calibri"/>
          <w:szCs w:val="24"/>
          <w:lang w:eastAsia="zh-CN"/>
        </w:rPr>
        <w:t>1.1</w:t>
      </w:r>
      <w:r w:rsidRPr="009C6C94">
        <w:rPr>
          <w:rFonts w:cs="Calibri"/>
          <w:szCs w:val="24"/>
          <w:lang w:eastAsia="zh-CN"/>
        </w:rPr>
        <w:tab/>
      </w:r>
      <w:r w:rsidR="00C0541A" w:rsidRPr="009C6C94">
        <w:rPr>
          <w:rFonts w:cs="Calibri" w:hint="eastAsia"/>
          <w:szCs w:val="24"/>
          <w:lang w:eastAsia="zh-CN"/>
        </w:rPr>
        <w:t>信息和数据是国际电联所有活动的基础。国际电联一贯承认其信息的价值</w:t>
      </w:r>
      <w:proofErr w:type="gramEnd"/>
      <w:r w:rsidR="00C0541A" w:rsidRPr="009C6C94">
        <w:rPr>
          <w:rFonts w:cs="Calibri" w:hint="eastAsia"/>
          <w:szCs w:val="24"/>
          <w:lang w:eastAsia="zh-CN"/>
        </w:rPr>
        <w:t>，并采取措施确保其信息得到安全存储、访问和充分利用。</w:t>
      </w:r>
    </w:p>
    <w:p w14:paraId="3FC21209" w14:textId="2D909153" w:rsidR="00BF5456" w:rsidRPr="009C6C94" w:rsidRDefault="00BF5456" w:rsidP="00BF5456">
      <w:pPr>
        <w:tabs>
          <w:tab w:val="clear" w:pos="794"/>
          <w:tab w:val="clear" w:pos="1191"/>
          <w:tab w:val="clear" w:pos="1588"/>
          <w:tab w:val="clear" w:pos="1985"/>
        </w:tabs>
        <w:spacing w:after="120"/>
        <w:jc w:val="both"/>
        <w:rPr>
          <w:rFonts w:cs="Calibri"/>
          <w:szCs w:val="24"/>
          <w:lang w:eastAsia="zh-CN"/>
        </w:rPr>
      </w:pPr>
      <w:r w:rsidRPr="009C6C94">
        <w:rPr>
          <w:rFonts w:cs="Calibri"/>
          <w:szCs w:val="24"/>
          <w:lang w:eastAsia="zh-CN"/>
        </w:rPr>
        <w:t>3.1.2</w:t>
      </w:r>
      <w:r w:rsidRPr="009C6C94">
        <w:rPr>
          <w:rFonts w:cs="Calibri"/>
          <w:szCs w:val="24"/>
          <w:lang w:eastAsia="zh-CN"/>
        </w:rPr>
        <w:tab/>
      </w:r>
      <w:r w:rsidR="00286093" w:rsidRPr="009C6C94">
        <w:rPr>
          <w:rFonts w:cs="Calibri" w:hint="eastAsia"/>
          <w:szCs w:val="24"/>
          <w:lang w:eastAsia="zh-CN"/>
        </w:rPr>
        <w:t>现今</w:t>
      </w:r>
      <w:r w:rsidR="00C0541A" w:rsidRPr="009C6C94">
        <w:rPr>
          <w:rFonts w:cs="Calibri" w:hint="eastAsia"/>
          <w:szCs w:val="24"/>
          <w:lang w:eastAsia="zh-CN"/>
        </w:rPr>
        <w:t>，由于国际电联业务环境、内部和外部用户需求和期望以及快速技术发展的同步和重大变化，国际电联继续有效管理和使用其信息的能力面临风险，尤其是在当前</w:t>
      </w:r>
      <w:r w:rsidR="00C0541A" w:rsidRPr="009C6C94">
        <w:rPr>
          <w:rFonts w:cs="Calibri" w:hint="eastAsia"/>
          <w:szCs w:val="24"/>
          <w:lang w:eastAsia="zh-CN"/>
        </w:rPr>
        <w:t>Covid-19</w:t>
      </w:r>
      <w:r w:rsidR="00C0541A" w:rsidRPr="009C6C94">
        <w:rPr>
          <w:rFonts w:cs="Calibri" w:hint="eastAsia"/>
          <w:szCs w:val="24"/>
          <w:lang w:eastAsia="zh-CN"/>
        </w:rPr>
        <w:t>大流行等危机情况下。随着国际电联向其新办公楼过渡，对灵活工作和无纸化程序的需求已变得非常紧迫，且尽管国际电联多年来一直采用电子工作方法，但许多流程并非已完全数字</w:t>
      </w:r>
      <w:r w:rsidR="00C0541A" w:rsidRPr="009C6C94">
        <w:rPr>
          <w:rFonts w:cs="Calibri" w:hint="eastAsia"/>
          <w:szCs w:val="24"/>
          <w:lang w:eastAsia="zh-CN"/>
        </w:rPr>
        <w:lastRenderedPageBreak/>
        <w:t>化</w:t>
      </w:r>
      <w:r w:rsidR="009C6C94">
        <w:rPr>
          <w:rFonts w:cs="Calibri" w:hint="eastAsia"/>
          <w:szCs w:val="24"/>
          <w:lang w:eastAsia="zh-CN"/>
        </w:rPr>
        <w:t xml:space="preserve"> </w:t>
      </w:r>
      <w:r w:rsidR="009C6C94" w:rsidRPr="009C6C94">
        <w:rPr>
          <w:rFonts w:cs="Calibri"/>
          <w:szCs w:val="24"/>
          <w:lang w:eastAsia="zh-CN"/>
        </w:rPr>
        <w:t>–</w:t>
      </w:r>
      <w:r w:rsidR="009C6C94">
        <w:rPr>
          <w:rFonts w:cs="Calibri" w:hint="eastAsia"/>
          <w:szCs w:val="24"/>
          <w:lang w:eastAsia="zh-CN"/>
        </w:rPr>
        <w:t xml:space="preserve"> </w:t>
      </w:r>
      <w:r w:rsidR="00C0541A" w:rsidRPr="009C6C94">
        <w:rPr>
          <w:rFonts w:cs="Calibri" w:hint="eastAsia"/>
          <w:szCs w:val="24"/>
          <w:lang w:eastAsia="zh-CN"/>
        </w:rPr>
        <w:t>当前危机凸显了这一点。</w:t>
      </w:r>
      <w:r w:rsidR="00F227A3" w:rsidRPr="009C6C94">
        <w:rPr>
          <w:rFonts w:cs="Calibri" w:hint="eastAsia"/>
          <w:szCs w:val="24"/>
          <w:lang w:eastAsia="zh-CN"/>
        </w:rPr>
        <w:t>国际电联的工作人员、成员和其他利益攸关方需要能够实时和随时（</w:t>
      </w:r>
      <w:r w:rsidR="00F227A3" w:rsidRPr="009C6C94">
        <w:rPr>
          <w:rFonts w:cs="Calibri" w:hint="eastAsia"/>
          <w:szCs w:val="24"/>
          <w:lang w:eastAsia="zh-CN"/>
        </w:rPr>
        <w:t>24/7</w:t>
      </w:r>
      <w:r w:rsidR="00F227A3" w:rsidRPr="009C6C94">
        <w:rPr>
          <w:rFonts w:cs="Calibri" w:hint="eastAsia"/>
          <w:szCs w:val="24"/>
          <w:lang w:eastAsia="zh-CN"/>
        </w:rPr>
        <w:t>）在线访问和使用来自多个来源的信息，并且对更多协作工具的需求日益增长。技术格局也在发生变化，服务和系统转向云，分析、机器学习和人工智能提供了深入利用数据和信息的机会。</w:t>
      </w:r>
    </w:p>
    <w:p w14:paraId="133AC8CD" w14:textId="4C19D76E" w:rsidR="00BF5456" w:rsidRPr="009C6C94" w:rsidRDefault="00BF5456" w:rsidP="00BF5456">
      <w:pPr>
        <w:tabs>
          <w:tab w:val="clear" w:pos="794"/>
          <w:tab w:val="clear" w:pos="1191"/>
          <w:tab w:val="clear" w:pos="1588"/>
          <w:tab w:val="clear" w:pos="1985"/>
        </w:tabs>
        <w:spacing w:after="120"/>
        <w:jc w:val="both"/>
        <w:rPr>
          <w:rFonts w:cs="Calibri"/>
          <w:szCs w:val="24"/>
          <w:lang w:eastAsia="zh-CN"/>
        </w:rPr>
      </w:pPr>
      <w:r w:rsidRPr="009C6C94">
        <w:rPr>
          <w:rFonts w:cs="Calibri"/>
          <w:szCs w:val="24"/>
          <w:lang w:eastAsia="zh-CN"/>
        </w:rPr>
        <w:t>3.1.3</w:t>
      </w:r>
      <w:r w:rsidRPr="009C6C94">
        <w:rPr>
          <w:rFonts w:cs="Calibri"/>
          <w:szCs w:val="24"/>
          <w:lang w:eastAsia="zh-CN"/>
        </w:rPr>
        <w:tab/>
      </w:r>
      <w:r w:rsidR="00F227A3" w:rsidRPr="009C6C94">
        <w:rPr>
          <w:rFonts w:cs="Calibri"/>
          <w:szCs w:val="24"/>
          <w:lang w:eastAsia="zh-CN"/>
        </w:rPr>
        <w:t>然而，过去二十年来为国际电联提供了良好服务的系统和服务并</w:t>
      </w:r>
      <w:r w:rsidR="00F227A3" w:rsidRPr="009C6C94">
        <w:rPr>
          <w:rFonts w:cs="Calibri" w:hint="eastAsia"/>
          <w:szCs w:val="24"/>
          <w:lang w:eastAsia="zh-CN"/>
        </w:rPr>
        <w:t>不</w:t>
      </w:r>
      <w:r w:rsidR="00F227A3" w:rsidRPr="009C6C94">
        <w:rPr>
          <w:rFonts w:cs="Calibri"/>
          <w:szCs w:val="24"/>
          <w:lang w:eastAsia="zh-CN"/>
        </w:rPr>
        <w:t>适应这些新的要求。许多系统是专门的或定制的系统，不能互操作或不能完全互操作</w:t>
      </w:r>
      <w:r w:rsidR="00F227A3" w:rsidRPr="009C6C94">
        <w:rPr>
          <w:rFonts w:cs="Calibri" w:hint="eastAsia"/>
          <w:szCs w:val="24"/>
          <w:lang w:eastAsia="zh-CN"/>
        </w:rPr>
        <w:t>。功能往往有限，访问也受到限制。信息是孤立的，因此难以组合、操纵或重用。搜索工具并不覆盖保存信息的所有位置。重要的关键业务内容不在国际电联更大的结构化管理系统中，存储在电子邮箱、个人电子邮件档案、本地硬盘和可移动媒介、云中、服务器和非托管网络驱动器中。</w:t>
      </w:r>
    </w:p>
    <w:p w14:paraId="5B62B065" w14:textId="1388D924" w:rsidR="00BF5456" w:rsidRPr="009C6C94" w:rsidRDefault="00BF5456" w:rsidP="00BF5456">
      <w:pPr>
        <w:tabs>
          <w:tab w:val="clear" w:pos="794"/>
          <w:tab w:val="clear" w:pos="1191"/>
          <w:tab w:val="clear" w:pos="1588"/>
          <w:tab w:val="clear" w:pos="1985"/>
        </w:tabs>
        <w:spacing w:after="120"/>
        <w:jc w:val="both"/>
        <w:rPr>
          <w:rFonts w:cs="Calibri"/>
          <w:szCs w:val="24"/>
          <w:lang w:eastAsia="zh-CN"/>
        </w:rPr>
      </w:pPr>
      <w:r w:rsidRPr="009C6C94">
        <w:rPr>
          <w:rFonts w:cs="Calibri"/>
          <w:szCs w:val="24"/>
          <w:lang w:eastAsia="zh-CN"/>
        </w:rPr>
        <w:t>3.1.4</w:t>
      </w:r>
      <w:r w:rsidRPr="009C6C94">
        <w:rPr>
          <w:rFonts w:cs="Calibri"/>
          <w:szCs w:val="24"/>
          <w:lang w:eastAsia="zh-CN"/>
        </w:rPr>
        <w:tab/>
      </w:r>
      <w:r w:rsidR="00F227A3" w:rsidRPr="009C6C94">
        <w:rPr>
          <w:rFonts w:cs="Calibri" w:hint="eastAsia"/>
          <w:szCs w:val="24"/>
          <w:lang w:eastAsia="zh-CN"/>
        </w:rPr>
        <w:t>理事会</w:t>
      </w:r>
      <w:r w:rsidR="00F227A3" w:rsidRPr="009C6C94">
        <w:rPr>
          <w:rFonts w:cs="Calibri" w:hint="eastAsia"/>
          <w:szCs w:val="24"/>
          <w:lang w:eastAsia="zh-CN"/>
        </w:rPr>
        <w:t>2019</w:t>
      </w:r>
      <w:r w:rsidR="00F227A3" w:rsidRPr="009C6C94">
        <w:rPr>
          <w:rFonts w:cs="Calibri" w:hint="eastAsia"/>
          <w:szCs w:val="24"/>
          <w:lang w:eastAsia="zh-CN"/>
        </w:rPr>
        <w:t>年会议批准了一项预算，以确保在拆除</w:t>
      </w:r>
      <w:proofErr w:type="spellStart"/>
      <w:r w:rsidR="00F227A3" w:rsidRPr="009C6C94">
        <w:rPr>
          <w:rFonts w:cs="Calibri"/>
          <w:szCs w:val="24"/>
          <w:lang w:eastAsia="zh-CN"/>
        </w:rPr>
        <w:t>Varembé</w:t>
      </w:r>
      <w:proofErr w:type="spellEnd"/>
      <w:r w:rsidR="00F227A3" w:rsidRPr="009C6C94">
        <w:rPr>
          <w:rFonts w:cs="Calibri" w:hint="eastAsia"/>
          <w:szCs w:val="24"/>
          <w:lang w:eastAsia="zh-CN"/>
        </w:rPr>
        <w:t>办公楼之前妥善保护和保存无线电通信局</w:t>
      </w:r>
      <w:r w:rsidR="00B87491" w:rsidRPr="009C6C94">
        <w:rPr>
          <w:rFonts w:cs="Calibri" w:hint="eastAsia"/>
          <w:szCs w:val="24"/>
          <w:lang w:eastAsia="zh-CN"/>
        </w:rPr>
        <w:t>（</w:t>
      </w:r>
      <w:r w:rsidR="00B87491" w:rsidRPr="009C6C94">
        <w:rPr>
          <w:rFonts w:cs="Calibri" w:hint="eastAsia"/>
          <w:szCs w:val="24"/>
          <w:lang w:eastAsia="zh-CN"/>
        </w:rPr>
        <w:t>BR</w:t>
      </w:r>
      <w:r w:rsidR="00B87491" w:rsidRPr="009C6C94">
        <w:rPr>
          <w:rFonts w:cs="Calibri" w:hint="eastAsia"/>
          <w:szCs w:val="24"/>
          <w:lang w:eastAsia="zh-CN"/>
        </w:rPr>
        <w:t>）</w:t>
      </w:r>
      <w:r w:rsidR="00F227A3" w:rsidRPr="009C6C94">
        <w:rPr>
          <w:rFonts w:cs="Calibri" w:hint="eastAsia"/>
          <w:szCs w:val="24"/>
          <w:lang w:eastAsia="zh-CN"/>
        </w:rPr>
        <w:t>文件，以便必要时</w:t>
      </w:r>
      <w:r w:rsidR="00B87491" w:rsidRPr="009C6C94">
        <w:rPr>
          <w:rFonts w:cs="Calibri" w:hint="eastAsia"/>
          <w:szCs w:val="24"/>
          <w:lang w:eastAsia="zh-CN"/>
        </w:rPr>
        <w:t>得到</w:t>
      </w:r>
      <w:r w:rsidR="00F227A3" w:rsidRPr="009C6C94">
        <w:rPr>
          <w:rFonts w:cs="Calibri" w:hint="eastAsia"/>
          <w:szCs w:val="24"/>
          <w:lang w:eastAsia="zh-CN"/>
        </w:rPr>
        <w:t>授权</w:t>
      </w:r>
      <w:r w:rsidR="00B87491" w:rsidRPr="009C6C94">
        <w:rPr>
          <w:rFonts w:cs="Calibri" w:hint="eastAsia"/>
          <w:szCs w:val="24"/>
          <w:lang w:eastAsia="zh-CN"/>
        </w:rPr>
        <w:t>的</w:t>
      </w:r>
      <w:r w:rsidR="00F227A3" w:rsidRPr="009C6C94">
        <w:rPr>
          <w:rFonts w:cs="Calibri" w:hint="eastAsia"/>
          <w:szCs w:val="24"/>
          <w:lang w:eastAsia="zh-CN"/>
        </w:rPr>
        <w:t>人员能够继续使用这些文件。下一步是确保国际电联工作人员拥有适当的工具、基础设施和</w:t>
      </w:r>
      <w:r w:rsidR="00286093" w:rsidRPr="009C6C94">
        <w:rPr>
          <w:rFonts w:cs="Calibri" w:hint="eastAsia"/>
          <w:szCs w:val="24"/>
          <w:lang w:eastAsia="zh-CN"/>
        </w:rPr>
        <w:t>得到</w:t>
      </w:r>
      <w:r w:rsidR="00F227A3" w:rsidRPr="009C6C94">
        <w:rPr>
          <w:rFonts w:cs="Calibri" w:hint="eastAsia"/>
          <w:szCs w:val="24"/>
          <w:lang w:eastAsia="zh-CN"/>
        </w:rPr>
        <w:t>培训来创建、存储、管理和访问信息，以便在</w:t>
      </w:r>
      <w:r w:rsidR="00B87491" w:rsidRPr="009C6C94">
        <w:rPr>
          <w:rFonts w:cs="Calibri" w:hint="eastAsia"/>
          <w:szCs w:val="24"/>
          <w:lang w:eastAsia="zh-CN"/>
        </w:rPr>
        <w:t>办公楼建设的</w:t>
      </w:r>
      <w:r w:rsidR="00F227A3" w:rsidRPr="009C6C94">
        <w:rPr>
          <w:rFonts w:cs="Calibri" w:hint="eastAsia"/>
          <w:szCs w:val="24"/>
          <w:lang w:eastAsia="zh-CN"/>
        </w:rPr>
        <w:t>过渡期间以及在</w:t>
      </w:r>
      <w:r w:rsidR="00B87491" w:rsidRPr="009C6C94">
        <w:rPr>
          <w:rFonts w:cs="Calibri" w:hint="eastAsia"/>
          <w:szCs w:val="24"/>
          <w:lang w:eastAsia="zh-CN"/>
        </w:rPr>
        <w:t>被拒绝或限制</w:t>
      </w:r>
      <w:r w:rsidR="00F227A3" w:rsidRPr="009C6C94">
        <w:rPr>
          <w:rFonts w:cs="Calibri" w:hint="eastAsia"/>
          <w:szCs w:val="24"/>
          <w:lang w:eastAsia="zh-CN"/>
        </w:rPr>
        <w:t>进入</w:t>
      </w:r>
      <w:r w:rsidR="00B87491" w:rsidRPr="009C6C94">
        <w:rPr>
          <w:rFonts w:cs="Calibri" w:hint="eastAsia"/>
          <w:szCs w:val="24"/>
          <w:lang w:eastAsia="zh-CN"/>
        </w:rPr>
        <w:t>办公楼（如当前情况）</w:t>
      </w:r>
      <w:r w:rsidR="00F227A3" w:rsidRPr="009C6C94">
        <w:rPr>
          <w:rFonts w:cs="Calibri" w:hint="eastAsia"/>
          <w:szCs w:val="24"/>
          <w:lang w:eastAsia="zh-CN"/>
        </w:rPr>
        <w:t>期间继续他们的日常工作。这需要用完全数字化的工作流程取代依赖</w:t>
      </w:r>
      <w:r w:rsidR="00B87491" w:rsidRPr="009C6C94">
        <w:rPr>
          <w:rFonts w:cs="Calibri" w:hint="eastAsia"/>
          <w:szCs w:val="24"/>
          <w:lang w:eastAsia="zh-CN"/>
        </w:rPr>
        <w:t>纸质文件</w:t>
      </w:r>
      <w:r w:rsidR="00F227A3" w:rsidRPr="009C6C94">
        <w:rPr>
          <w:rFonts w:cs="Calibri" w:hint="eastAsia"/>
          <w:szCs w:val="24"/>
          <w:lang w:eastAsia="zh-CN"/>
        </w:rPr>
        <w:t>的流程，从传统系统迁移到新的解决方案，以促进协作、互操作性和远程访问，并为当前分散且通常无法访问的信息建立官方的、</w:t>
      </w:r>
      <w:r w:rsidR="00B87491" w:rsidRPr="009C6C94">
        <w:rPr>
          <w:rFonts w:cs="Calibri" w:hint="eastAsia"/>
          <w:szCs w:val="24"/>
          <w:lang w:eastAsia="zh-CN"/>
        </w:rPr>
        <w:t>得到</w:t>
      </w:r>
      <w:r w:rsidR="00F227A3" w:rsidRPr="009C6C94">
        <w:rPr>
          <w:rFonts w:cs="Calibri" w:hint="eastAsia"/>
          <w:szCs w:val="24"/>
          <w:lang w:eastAsia="zh-CN"/>
        </w:rPr>
        <w:t>管理的存储库。</w:t>
      </w:r>
    </w:p>
    <w:p w14:paraId="74160195" w14:textId="2605C7EF" w:rsidR="00BF5456" w:rsidRPr="009C6C94" w:rsidRDefault="00BF5456" w:rsidP="00BF5456">
      <w:pPr>
        <w:tabs>
          <w:tab w:val="clear" w:pos="794"/>
          <w:tab w:val="clear" w:pos="1191"/>
          <w:tab w:val="clear" w:pos="1588"/>
          <w:tab w:val="clear" w:pos="1985"/>
        </w:tabs>
        <w:spacing w:after="120"/>
        <w:jc w:val="both"/>
        <w:rPr>
          <w:rFonts w:cs="Calibri"/>
          <w:szCs w:val="24"/>
          <w:lang w:eastAsia="zh-CN"/>
        </w:rPr>
      </w:pPr>
      <w:r w:rsidRPr="009C6C94">
        <w:rPr>
          <w:rFonts w:cs="Calibri"/>
          <w:szCs w:val="24"/>
          <w:lang w:eastAsia="zh-CN"/>
        </w:rPr>
        <w:t>3.1.5</w:t>
      </w:r>
      <w:r w:rsidRPr="009C6C94">
        <w:rPr>
          <w:rFonts w:cs="Calibri"/>
          <w:szCs w:val="24"/>
          <w:lang w:eastAsia="zh-CN"/>
        </w:rPr>
        <w:tab/>
      </w:r>
      <w:r w:rsidR="00B87491" w:rsidRPr="009C6C94">
        <w:rPr>
          <w:rFonts w:cs="Calibri" w:hint="eastAsia"/>
          <w:szCs w:val="24"/>
          <w:lang w:eastAsia="zh-CN"/>
        </w:rPr>
        <w:t>信息资产也需要得到保护，以防丢失、损坏或未经授权的披露或修改。最近完成的</w:t>
      </w:r>
      <w:r w:rsidR="00B87491" w:rsidRPr="009C6C94">
        <w:rPr>
          <w:rFonts w:cs="Calibri" w:hint="eastAsia"/>
          <w:szCs w:val="24"/>
          <w:lang w:eastAsia="zh-CN"/>
        </w:rPr>
        <w:t>ORMS</w:t>
      </w:r>
      <w:r w:rsidR="00B87491" w:rsidRPr="009C6C94">
        <w:rPr>
          <w:rFonts w:cs="Calibri" w:hint="eastAsia"/>
          <w:szCs w:val="24"/>
          <w:lang w:eastAsia="zh-CN"/>
        </w:rPr>
        <w:t>项目将网络攻击和拒绝服务确定为国际电联信息，特别是成员国提供的数据的重大风险。还通过</w:t>
      </w:r>
      <w:r w:rsidR="00B87491" w:rsidRPr="009C6C94">
        <w:rPr>
          <w:rFonts w:cs="Calibri" w:hint="eastAsia"/>
          <w:szCs w:val="24"/>
          <w:lang w:eastAsia="zh-CN"/>
        </w:rPr>
        <w:t>ORMS</w:t>
      </w:r>
      <w:r w:rsidR="00B87491" w:rsidRPr="009C6C94">
        <w:rPr>
          <w:rFonts w:cs="Calibri" w:hint="eastAsia"/>
          <w:szCs w:val="24"/>
          <w:lang w:eastAsia="zh-CN"/>
        </w:rPr>
        <w:t>项目进行了战略业务影响分析，确定了国际电联的主要活动，并确定了在发生重大中断时应首先恢复的活动的优先次序。在大多数情况下，恢复这些活动将需要获得基本信息。</w:t>
      </w:r>
      <w:r w:rsidRPr="009C6C94">
        <w:rPr>
          <w:rFonts w:cs="Calibri" w:hint="eastAsia"/>
          <w:szCs w:val="24"/>
          <w:lang w:eastAsia="zh-CN"/>
        </w:rPr>
        <w:t>与此同时，数据保护和数据隐私正成为一个优先事项，需要</w:t>
      </w:r>
      <w:r w:rsidR="00B87491" w:rsidRPr="009C6C94">
        <w:rPr>
          <w:rFonts w:cs="Calibri" w:hint="eastAsia"/>
          <w:szCs w:val="24"/>
          <w:lang w:eastAsia="zh-CN"/>
        </w:rPr>
        <w:t>相应</w:t>
      </w:r>
      <w:r w:rsidR="00286093" w:rsidRPr="009C6C94">
        <w:rPr>
          <w:rFonts w:cs="Calibri" w:hint="eastAsia"/>
          <w:szCs w:val="24"/>
          <w:lang w:eastAsia="zh-CN"/>
        </w:rPr>
        <w:t>战略</w:t>
      </w:r>
      <w:r w:rsidRPr="009C6C94">
        <w:rPr>
          <w:rFonts w:cs="Calibri" w:hint="eastAsia"/>
          <w:szCs w:val="24"/>
          <w:lang w:eastAsia="zh-CN"/>
        </w:rPr>
        <w:t>、程序和系统来确保以安全的方式捕获、存储和处理个人信息。为了解决这些</w:t>
      </w:r>
      <w:r w:rsidR="00B87491" w:rsidRPr="009C6C94">
        <w:rPr>
          <w:rFonts w:cs="Calibri" w:hint="eastAsia"/>
          <w:szCs w:val="24"/>
          <w:lang w:eastAsia="zh-CN"/>
        </w:rPr>
        <w:t>关切</w:t>
      </w:r>
      <w:r w:rsidRPr="009C6C94">
        <w:rPr>
          <w:rFonts w:cs="Calibri" w:hint="eastAsia"/>
          <w:szCs w:val="24"/>
          <w:lang w:eastAsia="zh-CN"/>
        </w:rPr>
        <w:t>，国际电联需要制定一个全组织范围的数据</w:t>
      </w:r>
      <w:r w:rsidRPr="009C6C94">
        <w:rPr>
          <w:rFonts w:cs="Calibri" w:hint="eastAsia"/>
          <w:szCs w:val="24"/>
          <w:lang w:eastAsia="zh-CN"/>
        </w:rPr>
        <w:t>/</w:t>
      </w:r>
      <w:r w:rsidRPr="009C6C94">
        <w:rPr>
          <w:rFonts w:cs="Calibri" w:hint="eastAsia"/>
          <w:szCs w:val="24"/>
          <w:lang w:eastAsia="zh-CN"/>
        </w:rPr>
        <w:t>信息分类框架，该框架将包括对信息进行分类，既要考虑到防止未经授权的访问或披露的需要</w:t>
      </w:r>
      <w:r w:rsidR="00C43239" w:rsidRPr="009C6C94">
        <w:rPr>
          <w:rFonts w:cs="Calibri" w:hint="eastAsia"/>
          <w:szCs w:val="24"/>
          <w:lang w:eastAsia="zh-CN"/>
        </w:rPr>
        <w:t>（</w:t>
      </w:r>
      <w:r w:rsidRPr="009C6C94">
        <w:rPr>
          <w:rFonts w:cs="Calibri" w:hint="eastAsia"/>
          <w:szCs w:val="24"/>
          <w:lang w:eastAsia="zh-CN"/>
        </w:rPr>
        <w:t>敏感性</w:t>
      </w:r>
      <w:r w:rsidR="00C43239" w:rsidRPr="009C6C94">
        <w:rPr>
          <w:rFonts w:cs="Calibri" w:hint="eastAsia"/>
          <w:szCs w:val="24"/>
          <w:lang w:eastAsia="zh-CN"/>
        </w:rPr>
        <w:t>）</w:t>
      </w:r>
      <w:r w:rsidRPr="009C6C94">
        <w:rPr>
          <w:rFonts w:cs="Calibri" w:hint="eastAsia"/>
          <w:szCs w:val="24"/>
          <w:lang w:eastAsia="zh-CN"/>
        </w:rPr>
        <w:t>，也要考虑到可用性的需要</w:t>
      </w:r>
      <w:r w:rsidR="00C43239" w:rsidRPr="009C6C94">
        <w:rPr>
          <w:rFonts w:cs="Calibri" w:hint="eastAsia"/>
          <w:szCs w:val="24"/>
          <w:lang w:eastAsia="zh-CN"/>
        </w:rPr>
        <w:t>（</w:t>
      </w:r>
      <w:r w:rsidRPr="009C6C94">
        <w:rPr>
          <w:rFonts w:cs="Calibri" w:hint="eastAsia"/>
          <w:szCs w:val="24"/>
          <w:lang w:eastAsia="zh-CN"/>
        </w:rPr>
        <w:t>关键性</w:t>
      </w:r>
      <w:r w:rsidR="00C43239" w:rsidRPr="009C6C94">
        <w:rPr>
          <w:rFonts w:cs="Calibri" w:hint="eastAsia"/>
          <w:szCs w:val="24"/>
          <w:lang w:eastAsia="zh-CN"/>
        </w:rPr>
        <w:t>）</w:t>
      </w:r>
      <w:r w:rsidRPr="009C6C94">
        <w:rPr>
          <w:rFonts w:cs="Calibri" w:hint="eastAsia"/>
          <w:szCs w:val="24"/>
          <w:lang w:eastAsia="zh-CN"/>
        </w:rPr>
        <w:t>，</w:t>
      </w:r>
      <w:r w:rsidR="00C43239" w:rsidRPr="009C6C94">
        <w:rPr>
          <w:rFonts w:cs="Calibri" w:hint="eastAsia"/>
          <w:szCs w:val="24"/>
          <w:lang w:eastAsia="zh-CN"/>
        </w:rPr>
        <w:t>同时还需</w:t>
      </w:r>
      <w:r w:rsidRPr="009C6C94">
        <w:rPr>
          <w:rFonts w:cs="Calibri" w:hint="eastAsia"/>
          <w:szCs w:val="24"/>
          <w:lang w:eastAsia="zh-CN"/>
        </w:rPr>
        <w:t>确定和实施信息</w:t>
      </w:r>
      <w:r w:rsidR="00C43239" w:rsidRPr="009C6C94">
        <w:rPr>
          <w:rFonts w:cs="Calibri" w:hint="eastAsia"/>
          <w:szCs w:val="24"/>
          <w:lang w:eastAsia="zh-CN"/>
        </w:rPr>
        <w:t>寿命</w:t>
      </w:r>
      <w:r w:rsidRPr="009C6C94">
        <w:rPr>
          <w:rFonts w:cs="Calibri" w:hint="eastAsia"/>
          <w:szCs w:val="24"/>
          <w:lang w:eastAsia="zh-CN"/>
        </w:rPr>
        <w:t>周期</w:t>
      </w:r>
      <w:r w:rsidR="00C43239" w:rsidRPr="009C6C94">
        <w:rPr>
          <w:rFonts w:cs="Calibri" w:hint="eastAsia"/>
          <w:szCs w:val="24"/>
          <w:lang w:eastAsia="zh-CN"/>
        </w:rPr>
        <w:t>（</w:t>
      </w:r>
      <w:r w:rsidRPr="009C6C94">
        <w:rPr>
          <w:rFonts w:cs="Calibri" w:hint="eastAsia"/>
          <w:szCs w:val="24"/>
          <w:lang w:eastAsia="zh-CN"/>
        </w:rPr>
        <w:t>创建、存储、使用和处置</w:t>
      </w:r>
      <w:r w:rsidR="00C43239" w:rsidRPr="009C6C94">
        <w:rPr>
          <w:rFonts w:cs="Calibri" w:hint="eastAsia"/>
          <w:szCs w:val="24"/>
          <w:lang w:eastAsia="zh-CN"/>
        </w:rPr>
        <w:t>）</w:t>
      </w:r>
      <w:r w:rsidRPr="009C6C94">
        <w:rPr>
          <w:rFonts w:cs="Calibri" w:hint="eastAsia"/>
          <w:szCs w:val="24"/>
          <w:lang w:eastAsia="zh-CN"/>
        </w:rPr>
        <w:t>中每一类信息的保护要求</w:t>
      </w:r>
      <w:r w:rsidR="00C43239" w:rsidRPr="009C6C94">
        <w:rPr>
          <w:rFonts w:cs="Calibri" w:hint="eastAsia"/>
          <w:szCs w:val="24"/>
          <w:lang w:eastAsia="zh-CN"/>
        </w:rPr>
        <w:t>（</w:t>
      </w:r>
      <w:r w:rsidRPr="009C6C94">
        <w:rPr>
          <w:rFonts w:cs="Calibri" w:hint="eastAsia"/>
          <w:szCs w:val="24"/>
          <w:lang w:eastAsia="zh-CN"/>
        </w:rPr>
        <w:t>敏感性和关键性</w:t>
      </w:r>
      <w:r w:rsidR="00C43239" w:rsidRPr="009C6C94">
        <w:rPr>
          <w:rFonts w:cs="Calibri" w:hint="eastAsia"/>
          <w:szCs w:val="24"/>
          <w:lang w:eastAsia="zh-CN"/>
        </w:rPr>
        <w:t>）</w:t>
      </w:r>
      <w:r w:rsidRPr="009C6C94">
        <w:rPr>
          <w:rFonts w:cs="Calibri" w:hint="eastAsia"/>
          <w:szCs w:val="24"/>
          <w:lang w:eastAsia="zh-CN"/>
        </w:rPr>
        <w:t>。</w:t>
      </w:r>
    </w:p>
    <w:p w14:paraId="1680F84B" w14:textId="46D3D05A" w:rsidR="00BF5456" w:rsidRPr="009C6C94" w:rsidRDefault="00BF5456" w:rsidP="00BF5456">
      <w:pPr>
        <w:tabs>
          <w:tab w:val="clear" w:pos="794"/>
          <w:tab w:val="clear" w:pos="1191"/>
          <w:tab w:val="clear" w:pos="1588"/>
          <w:tab w:val="clear" w:pos="1985"/>
        </w:tabs>
        <w:spacing w:after="120"/>
        <w:jc w:val="both"/>
        <w:rPr>
          <w:rFonts w:cs="Calibri"/>
          <w:szCs w:val="24"/>
          <w:lang w:eastAsia="zh-CN"/>
        </w:rPr>
      </w:pPr>
      <w:r w:rsidRPr="009C6C94">
        <w:rPr>
          <w:rFonts w:cs="Calibri"/>
          <w:szCs w:val="24"/>
          <w:lang w:eastAsia="zh-CN"/>
        </w:rPr>
        <w:t>3.1.6</w:t>
      </w:r>
      <w:r w:rsidRPr="009C6C94">
        <w:rPr>
          <w:rFonts w:cs="Calibri"/>
          <w:szCs w:val="24"/>
          <w:lang w:eastAsia="zh-CN"/>
        </w:rPr>
        <w:tab/>
      </w:r>
      <w:r w:rsidR="00C43239" w:rsidRPr="009C6C94">
        <w:rPr>
          <w:rFonts w:cs="Calibri" w:hint="eastAsia"/>
          <w:szCs w:val="24"/>
          <w:lang w:eastAsia="zh-CN"/>
        </w:rPr>
        <w:t>最后，数字化转型要求进行电子存档。若无正确规划，今天的信息很容易永远丢失。由于技术的快速发展及其迅速过时，国际电联必须采取积极主动的步骤来捕获、保护成员提交的信息并使其经得起时间的考验，这同时应用于已就频率划分、卫星协调、规则和标准制定以及一系列其他活动和责任做出的决定，以便这些内容</w:t>
      </w:r>
      <w:r w:rsidR="002E0883" w:rsidRPr="009C6C94">
        <w:rPr>
          <w:rFonts w:cs="Calibri" w:hint="eastAsia"/>
          <w:szCs w:val="24"/>
          <w:lang w:eastAsia="zh-CN"/>
        </w:rPr>
        <w:t>在长远的未来</w:t>
      </w:r>
      <w:r w:rsidR="00C43239" w:rsidRPr="009C6C94">
        <w:rPr>
          <w:rFonts w:cs="Calibri" w:hint="eastAsia"/>
          <w:szCs w:val="24"/>
          <w:lang w:eastAsia="zh-CN"/>
        </w:rPr>
        <w:t>仍可访问和使用。</w:t>
      </w:r>
    </w:p>
    <w:p w14:paraId="6CC223D8" w14:textId="686C5DCC" w:rsidR="00BF5456" w:rsidRPr="009C6C94" w:rsidRDefault="00BF5456" w:rsidP="00BF5456">
      <w:pPr>
        <w:tabs>
          <w:tab w:val="clear" w:pos="794"/>
          <w:tab w:val="clear" w:pos="1191"/>
          <w:tab w:val="clear" w:pos="1588"/>
          <w:tab w:val="clear" w:pos="1985"/>
        </w:tabs>
        <w:spacing w:after="120"/>
        <w:jc w:val="both"/>
        <w:rPr>
          <w:rFonts w:cs="Calibri"/>
          <w:szCs w:val="24"/>
          <w:lang w:eastAsia="zh-CN"/>
        </w:rPr>
      </w:pPr>
      <w:r w:rsidRPr="009C6C94">
        <w:rPr>
          <w:rFonts w:cs="Calibri"/>
          <w:szCs w:val="24"/>
          <w:lang w:eastAsia="zh-CN"/>
        </w:rPr>
        <w:t>3.1.7</w:t>
      </w:r>
      <w:r w:rsidRPr="009C6C94">
        <w:rPr>
          <w:rFonts w:cs="Calibri"/>
          <w:szCs w:val="24"/>
          <w:lang w:eastAsia="zh-CN"/>
        </w:rPr>
        <w:tab/>
      </w:r>
      <w:r w:rsidR="001D399D" w:rsidRPr="009C6C94">
        <w:rPr>
          <w:rFonts w:cs="Calibri" w:hint="eastAsia"/>
          <w:szCs w:val="24"/>
          <w:lang w:eastAsia="zh-CN"/>
        </w:rPr>
        <w:t>国际电联迫切需要做出投资来建立数字工作进程，实施数据</w:t>
      </w:r>
      <w:r w:rsidR="001D399D" w:rsidRPr="009C6C94">
        <w:rPr>
          <w:rFonts w:cs="Calibri" w:hint="eastAsia"/>
          <w:szCs w:val="24"/>
          <w:lang w:eastAsia="zh-CN"/>
        </w:rPr>
        <w:t>/</w:t>
      </w:r>
      <w:r w:rsidR="001D399D" w:rsidRPr="009C6C94">
        <w:rPr>
          <w:rFonts w:cs="Calibri" w:hint="eastAsia"/>
          <w:szCs w:val="24"/>
          <w:lang w:eastAsia="zh-CN"/>
        </w:rPr>
        <w:t>信息安全分类系统，并建立电子档案。一个五年</w:t>
      </w:r>
      <w:r w:rsidR="00286093" w:rsidRPr="009C6C94">
        <w:rPr>
          <w:rFonts w:cs="Calibri" w:hint="eastAsia"/>
          <w:szCs w:val="24"/>
          <w:lang w:eastAsia="zh-CN"/>
        </w:rPr>
        <w:t>期</w:t>
      </w:r>
      <w:r w:rsidR="001D399D" w:rsidRPr="009C6C94">
        <w:rPr>
          <w:rFonts w:cs="Calibri" w:hint="eastAsia"/>
          <w:szCs w:val="24"/>
          <w:lang w:eastAsia="zh-CN"/>
        </w:rPr>
        <w:t>项目将包括以下活动：</w:t>
      </w:r>
    </w:p>
    <w:p w14:paraId="6EE6040F" w14:textId="164427E9" w:rsidR="00BF5456" w:rsidRPr="009C6C94" w:rsidRDefault="0079183C" w:rsidP="0079183C">
      <w:pPr>
        <w:pStyle w:val="enumlev2"/>
        <w:rPr>
          <w:lang w:eastAsia="zh-CN"/>
        </w:rPr>
      </w:pPr>
      <w:r>
        <w:rPr>
          <w:lang w:eastAsia="zh-CN"/>
        </w:rPr>
        <w:t>•</w:t>
      </w:r>
      <w:r>
        <w:rPr>
          <w:lang w:eastAsia="zh-CN"/>
        </w:rPr>
        <w:tab/>
      </w:r>
      <w:r w:rsidR="001D399D" w:rsidRPr="009C6C94">
        <w:rPr>
          <w:rFonts w:hint="eastAsia"/>
          <w:lang w:eastAsia="zh-CN"/>
        </w:rPr>
        <w:t>确立优先事项</w:t>
      </w:r>
    </w:p>
    <w:p w14:paraId="0936B78D" w14:textId="27370BF7" w:rsidR="00BF5456" w:rsidRPr="009C6C94" w:rsidRDefault="0079183C" w:rsidP="0079183C">
      <w:pPr>
        <w:pStyle w:val="enumlev2"/>
        <w:rPr>
          <w:lang w:eastAsia="zh-CN"/>
        </w:rPr>
      </w:pPr>
      <w:r>
        <w:rPr>
          <w:lang w:eastAsia="zh-CN"/>
        </w:rPr>
        <w:t>•</w:t>
      </w:r>
      <w:r>
        <w:rPr>
          <w:lang w:eastAsia="zh-CN"/>
        </w:rPr>
        <w:tab/>
      </w:r>
      <w:r w:rsidR="001D399D" w:rsidRPr="009C6C94">
        <w:rPr>
          <w:rFonts w:hint="eastAsia"/>
          <w:lang w:eastAsia="zh-CN"/>
        </w:rPr>
        <w:t>依赖纸质内容的业务流程得以简化并完全数字化</w:t>
      </w:r>
    </w:p>
    <w:p w14:paraId="132C58B1" w14:textId="05D2CB44" w:rsidR="00BF5456" w:rsidRPr="009C6C94" w:rsidRDefault="0079183C" w:rsidP="0079183C">
      <w:pPr>
        <w:pStyle w:val="enumlev2"/>
        <w:rPr>
          <w:lang w:eastAsia="zh-CN"/>
        </w:rPr>
      </w:pPr>
      <w:r>
        <w:rPr>
          <w:lang w:eastAsia="zh-CN"/>
        </w:rPr>
        <w:t>•</w:t>
      </w:r>
      <w:r>
        <w:rPr>
          <w:lang w:eastAsia="zh-CN"/>
        </w:rPr>
        <w:tab/>
      </w:r>
      <w:r w:rsidR="001D399D" w:rsidRPr="009C6C94">
        <w:rPr>
          <w:rFonts w:hint="eastAsia"/>
          <w:lang w:eastAsia="zh-CN"/>
        </w:rPr>
        <w:t>需安全获得、保护和保存的信息类型</w:t>
      </w:r>
    </w:p>
    <w:p w14:paraId="2753482F" w14:textId="02CC9C97" w:rsidR="00BF5456" w:rsidRPr="009C6C94" w:rsidRDefault="0079183C" w:rsidP="0079183C">
      <w:pPr>
        <w:pStyle w:val="enumlev2"/>
        <w:rPr>
          <w:lang w:eastAsia="zh-CN"/>
        </w:rPr>
      </w:pPr>
      <w:r>
        <w:rPr>
          <w:lang w:eastAsia="zh-CN"/>
        </w:rPr>
        <w:t>•</w:t>
      </w:r>
      <w:r>
        <w:rPr>
          <w:lang w:eastAsia="zh-CN"/>
        </w:rPr>
        <w:tab/>
      </w:r>
      <w:r w:rsidR="001D399D" w:rsidRPr="009C6C94">
        <w:rPr>
          <w:rFonts w:hint="eastAsia"/>
          <w:lang w:eastAsia="zh-CN"/>
        </w:rPr>
        <w:t>制定政策和项目计划</w:t>
      </w:r>
    </w:p>
    <w:p w14:paraId="4104EA4C" w14:textId="7E9FF8C3" w:rsidR="00BF5456" w:rsidRPr="009C6C94" w:rsidRDefault="0079183C" w:rsidP="0079183C">
      <w:pPr>
        <w:pStyle w:val="enumlev2"/>
        <w:rPr>
          <w:lang w:eastAsia="zh-CN"/>
        </w:rPr>
      </w:pPr>
      <w:r>
        <w:rPr>
          <w:lang w:eastAsia="zh-CN"/>
        </w:rPr>
        <w:t>•</w:t>
      </w:r>
      <w:r>
        <w:rPr>
          <w:lang w:eastAsia="zh-CN"/>
        </w:rPr>
        <w:tab/>
      </w:r>
      <w:r w:rsidR="001D399D" w:rsidRPr="009C6C94">
        <w:rPr>
          <w:rFonts w:hint="eastAsia"/>
          <w:lang w:eastAsia="zh-CN"/>
        </w:rPr>
        <w:t>为关键业务内容建立官方的、得到管理的存储库</w:t>
      </w:r>
    </w:p>
    <w:p w14:paraId="749D3A6D" w14:textId="5A173B9D" w:rsidR="00BF5456" w:rsidRPr="009C6C94" w:rsidRDefault="0079183C" w:rsidP="0079183C">
      <w:pPr>
        <w:pStyle w:val="enumlev2"/>
        <w:rPr>
          <w:lang w:eastAsia="zh-CN"/>
        </w:rPr>
      </w:pPr>
      <w:r>
        <w:rPr>
          <w:lang w:eastAsia="zh-CN"/>
        </w:rPr>
        <w:t>•</w:t>
      </w:r>
      <w:r>
        <w:rPr>
          <w:lang w:eastAsia="zh-CN"/>
        </w:rPr>
        <w:tab/>
      </w:r>
      <w:r w:rsidR="001D399D" w:rsidRPr="009C6C94">
        <w:rPr>
          <w:rFonts w:hint="eastAsia"/>
          <w:lang w:eastAsia="zh-CN"/>
        </w:rPr>
        <w:t>明确和分析对国际电联信息的威胁、风险和保护要求，确定对国际电联活动至关重要的信息类型，制定敏感性分类方案，并定义关键记录的类别</w:t>
      </w:r>
    </w:p>
    <w:p w14:paraId="4ED7591D" w14:textId="4856E0A8" w:rsidR="00BF5456" w:rsidRPr="009C6C94" w:rsidRDefault="0079183C" w:rsidP="0079183C">
      <w:pPr>
        <w:pStyle w:val="enumlev2"/>
        <w:rPr>
          <w:lang w:eastAsia="zh-CN"/>
        </w:rPr>
      </w:pPr>
      <w:r>
        <w:rPr>
          <w:lang w:eastAsia="zh-CN"/>
        </w:rPr>
        <w:t>•</w:t>
      </w:r>
      <w:r>
        <w:rPr>
          <w:lang w:eastAsia="zh-CN"/>
        </w:rPr>
        <w:tab/>
      </w:r>
      <w:r w:rsidR="00823FC0" w:rsidRPr="009C6C94">
        <w:rPr>
          <w:rFonts w:hint="eastAsia"/>
          <w:lang w:eastAsia="zh-CN"/>
        </w:rPr>
        <w:t>确定</w:t>
      </w:r>
      <w:r w:rsidR="001D399D" w:rsidRPr="009C6C94">
        <w:rPr>
          <w:rFonts w:hint="eastAsia"/>
          <w:lang w:eastAsia="zh-CN"/>
        </w:rPr>
        <w:t>并选择</w:t>
      </w:r>
      <w:r w:rsidR="00823FC0" w:rsidRPr="009C6C94">
        <w:rPr>
          <w:rFonts w:hint="eastAsia"/>
          <w:lang w:eastAsia="zh-CN"/>
        </w:rPr>
        <w:t>以各种形式（</w:t>
      </w:r>
      <w:r w:rsidR="001D399D" w:rsidRPr="009C6C94">
        <w:rPr>
          <w:rFonts w:hint="eastAsia"/>
          <w:lang w:eastAsia="zh-CN"/>
        </w:rPr>
        <w:t>文档、视频、音频、图像、数据、</w:t>
      </w:r>
      <w:r w:rsidR="00823FC0" w:rsidRPr="009C6C94">
        <w:rPr>
          <w:rFonts w:hint="eastAsia"/>
          <w:lang w:eastAsia="zh-CN"/>
        </w:rPr>
        <w:t>万维网</w:t>
      </w:r>
      <w:r w:rsidR="001D399D" w:rsidRPr="009C6C94">
        <w:rPr>
          <w:rFonts w:hint="eastAsia"/>
          <w:lang w:eastAsia="zh-CN"/>
        </w:rPr>
        <w:t>、社交媒体等</w:t>
      </w:r>
      <w:r w:rsidR="00823FC0" w:rsidRPr="009C6C94">
        <w:rPr>
          <w:rFonts w:hint="eastAsia"/>
          <w:lang w:eastAsia="zh-CN"/>
        </w:rPr>
        <w:t>）对国际电联</w:t>
      </w:r>
      <w:r w:rsidR="001D399D" w:rsidRPr="009C6C94">
        <w:rPr>
          <w:rFonts w:hint="eastAsia"/>
          <w:lang w:eastAsia="zh-CN"/>
        </w:rPr>
        <w:t>信息</w:t>
      </w:r>
      <w:r w:rsidR="00823FC0" w:rsidRPr="009C6C94">
        <w:rPr>
          <w:rFonts w:hint="eastAsia"/>
          <w:lang w:eastAsia="zh-CN"/>
        </w:rPr>
        <w:t>进行</w:t>
      </w:r>
      <w:r w:rsidR="001D399D" w:rsidRPr="009C6C94">
        <w:rPr>
          <w:rFonts w:hint="eastAsia"/>
          <w:lang w:eastAsia="zh-CN"/>
        </w:rPr>
        <w:t>电子存档</w:t>
      </w:r>
      <w:r w:rsidR="00823FC0" w:rsidRPr="009C6C94">
        <w:rPr>
          <w:rFonts w:hint="eastAsia"/>
          <w:lang w:eastAsia="zh-CN"/>
        </w:rPr>
        <w:t>的</w:t>
      </w:r>
      <w:r w:rsidR="001D399D" w:rsidRPr="009C6C94">
        <w:rPr>
          <w:rFonts w:hint="eastAsia"/>
          <w:lang w:eastAsia="zh-CN"/>
        </w:rPr>
        <w:t>解决方案</w:t>
      </w:r>
    </w:p>
    <w:p w14:paraId="0642F822" w14:textId="672A183F" w:rsidR="00823FC0" w:rsidRPr="009C6C94" w:rsidRDefault="0079183C" w:rsidP="0079183C">
      <w:pPr>
        <w:pStyle w:val="enumlev2"/>
        <w:rPr>
          <w:lang w:eastAsia="zh-CN"/>
        </w:rPr>
      </w:pPr>
      <w:r>
        <w:rPr>
          <w:lang w:eastAsia="zh-CN"/>
        </w:rPr>
        <w:lastRenderedPageBreak/>
        <w:t>•</w:t>
      </w:r>
      <w:r>
        <w:rPr>
          <w:lang w:eastAsia="zh-CN"/>
        </w:rPr>
        <w:tab/>
      </w:r>
      <w:r w:rsidR="00823FC0" w:rsidRPr="009C6C94">
        <w:rPr>
          <w:rFonts w:hint="eastAsia"/>
          <w:lang w:eastAsia="zh-CN"/>
        </w:rPr>
        <w:t>工作人员培训</w:t>
      </w:r>
    </w:p>
    <w:p w14:paraId="58FBF685" w14:textId="6159DDDA" w:rsidR="00BF5456" w:rsidRPr="009C6C94" w:rsidRDefault="00BF5456" w:rsidP="00BF5456">
      <w:pPr>
        <w:spacing w:after="120"/>
        <w:jc w:val="both"/>
        <w:rPr>
          <w:rFonts w:cs="Calibri"/>
          <w:szCs w:val="24"/>
          <w:lang w:eastAsia="zh-CN"/>
        </w:rPr>
      </w:pPr>
      <w:r w:rsidRPr="009C6C94">
        <w:rPr>
          <w:rFonts w:cs="Calibri"/>
          <w:szCs w:val="24"/>
          <w:lang w:eastAsia="zh-CN"/>
        </w:rPr>
        <w:t>3.1.8</w:t>
      </w:r>
      <w:r w:rsidRPr="009C6C94">
        <w:rPr>
          <w:rFonts w:cs="Calibri"/>
          <w:szCs w:val="24"/>
          <w:lang w:eastAsia="zh-CN"/>
        </w:rPr>
        <w:tab/>
      </w:r>
      <w:r w:rsidR="001342E1" w:rsidRPr="009C6C94">
        <w:rPr>
          <w:rFonts w:cs="Calibri" w:hint="eastAsia"/>
          <w:szCs w:val="24"/>
          <w:lang w:eastAsia="zh-CN"/>
        </w:rPr>
        <w:t>秘书处将需要招聘固定期限职位的数字</w:t>
      </w:r>
      <w:r w:rsidR="00B87BDC" w:rsidRPr="009C6C94">
        <w:rPr>
          <w:rFonts w:cs="Calibri" w:hint="eastAsia"/>
          <w:szCs w:val="24"/>
          <w:lang w:eastAsia="zh-CN"/>
        </w:rPr>
        <w:t>化转型</w:t>
      </w:r>
      <w:r w:rsidR="001342E1" w:rsidRPr="009C6C94">
        <w:rPr>
          <w:rFonts w:cs="Calibri" w:hint="eastAsia"/>
          <w:szCs w:val="24"/>
          <w:lang w:eastAsia="zh-CN"/>
        </w:rPr>
        <w:t>、数据分类和电子存档方面的专家。额外</w:t>
      </w:r>
      <w:r w:rsidR="00B87BDC" w:rsidRPr="009C6C94">
        <w:rPr>
          <w:rFonts w:cs="Calibri" w:hint="eastAsia"/>
          <w:szCs w:val="24"/>
          <w:lang w:eastAsia="zh-CN"/>
        </w:rPr>
        <w:t>费用</w:t>
      </w:r>
      <w:r w:rsidR="001342E1" w:rsidRPr="009C6C94">
        <w:rPr>
          <w:rFonts w:cs="Calibri" w:hint="eastAsia"/>
          <w:szCs w:val="24"/>
          <w:lang w:eastAsia="zh-CN"/>
        </w:rPr>
        <w:t>包括购买系统和将信息迁移到新解决方案</w:t>
      </w:r>
      <w:r w:rsidR="00B87BDC" w:rsidRPr="009C6C94">
        <w:rPr>
          <w:rFonts w:cs="Calibri" w:hint="eastAsia"/>
          <w:szCs w:val="24"/>
          <w:lang w:eastAsia="zh-CN"/>
        </w:rPr>
        <w:t>的费用</w:t>
      </w:r>
      <w:r w:rsidR="001342E1" w:rsidRPr="009C6C94">
        <w:rPr>
          <w:rFonts w:cs="Calibri" w:hint="eastAsia"/>
          <w:szCs w:val="24"/>
          <w:lang w:eastAsia="zh-CN"/>
        </w:rPr>
        <w:t>。该项目的初步</w:t>
      </w:r>
      <w:r w:rsidR="00B87BDC" w:rsidRPr="009C6C94">
        <w:rPr>
          <w:rFonts w:cs="Calibri" w:hint="eastAsia"/>
          <w:szCs w:val="24"/>
          <w:lang w:eastAsia="zh-CN"/>
        </w:rPr>
        <w:t>估算费用</w:t>
      </w:r>
      <w:r w:rsidR="001342E1" w:rsidRPr="009C6C94">
        <w:rPr>
          <w:rFonts w:cs="Calibri" w:hint="eastAsia"/>
          <w:szCs w:val="24"/>
          <w:lang w:eastAsia="zh-CN"/>
        </w:rPr>
        <w:t>是五年</w:t>
      </w:r>
      <w:r w:rsidR="00B87BDC" w:rsidRPr="009C6C94">
        <w:rPr>
          <w:rFonts w:cs="Calibri" w:hint="eastAsia"/>
          <w:szCs w:val="24"/>
          <w:lang w:eastAsia="zh-CN"/>
        </w:rPr>
        <w:t>间</w:t>
      </w:r>
      <w:r w:rsidR="001342E1" w:rsidRPr="009C6C94">
        <w:rPr>
          <w:rFonts w:cs="Calibri" w:hint="eastAsia"/>
          <w:szCs w:val="24"/>
          <w:lang w:eastAsia="zh-CN"/>
        </w:rPr>
        <w:t>800</w:t>
      </w:r>
      <w:r w:rsidR="001342E1" w:rsidRPr="009C6C94">
        <w:rPr>
          <w:rFonts w:cs="Calibri" w:hint="eastAsia"/>
          <w:szCs w:val="24"/>
          <w:lang w:eastAsia="zh-CN"/>
        </w:rPr>
        <w:t>万瑞郎。</w:t>
      </w:r>
    </w:p>
    <w:p w14:paraId="552D2063" w14:textId="62ECECFB" w:rsidR="00BF5456" w:rsidRPr="009C6C94" w:rsidRDefault="00BF5456" w:rsidP="00BF5456">
      <w:pPr>
        <w:pStyle w:val="PlainText"/>
        <w:spacing w:before="120" w:after="120"/>
        <w:jc w:val="both"/>
        <w:rPr>
          <w:rFonts w:eastAsia="SimSun"/>
          <w:szCs w:val="24"/>
          <w:u w:val="single"/>
          <w:lang w:eastAsia="zh-CN"/>
        </w:rPr>
      </w:pPr>
      <w:r w:rsidRPr="009C6C94">
        <w:rPr>
          <w:rFonts w:eastAsia="SimSun"/>
          <w:szCs w:val="24"/>
          <w:lang w:eastAsia="zh-CN"/>
        </w:rPr>
        <w:t>3.2</w:t>
      </w:r>
      <w:r w:rsidRPr="009C6C94">
        <w:rPr>
          <w:rFonts w:eastAsia="SimSun"/>
          <w:szCs w:val="24"/>
          <w:lang w:eastAsia="zh-CN"/>
        </w:rPr>
        <w:tab/>
      </w:r>
      <w:r w:rsidR="00B87BDC" w:rsidRPr="009C6C94">
        <w:rPr>
          <w:rFonts w:eastAsia="SimSun" w:hint="eastAsia"/>
          <w:szCs w:val="24"/>
          <w:u w:val="single"/>
          <w:lang w:eastAsia="zh-CN"/>
        </w:rPr>
        <w:t>国际电联的信息技术（</w:t>
      </w:r>
      <w:r w:rsidR="00B87BDC" w:rsidRPr="009C6C94">
        <w:rPr>
          <w:rFonts w:eastAsia="SimSun" w:hint="eastAsia"/>
          <w:szCs w:val="24"/>
          <w:u w:val="single"/>
          <w:lang w:eastAsia="zh-CN"/>
        </w:rPr>
        <w:t>IT</w:t>
      </w:r>
      <w:r w:rsidR="00B87BDC" w:rsidRPr="009C6C94">
        <w:rPr>
          <w:rFonts w:eastAsia="SimSun" w:hint="eastAsia"/>
          <w:szCs w:val="24"/>
          <w:u w:val="single"/>
          <w:lang w:eastAsia="zh-CN"/>
        </w:rPr>
        <w:t>）工作工具</w:t>
      </w:r>
    </w:p>
    <w:p w14:paraId="14F6168E" w14:textId="363673A9" w:rsidR="00B87BDC" w:rsidRPr="009C6C94" w:rsidRDefault="00BF5456" w:rsidP="00B87BDC">
      <w:pPr>
        <w:spacing w:after="120"/>
        <w:jc w:val="both"/>
        <w:rPr>
          <w:rFonts w:cs="Calibri"/>
          <w:szCs w:val="24"/>
          <w:lang w:eastAsia="zh-CN"/>
        </w:rPr>
      </w:pPr>
      <w:r w:rsidRPr="009C6C94">
        <w:rPr>
          <w:rFonts w:cs="Calibri"/>
          <w:szCs w:val="24"/>
          <w:lang w:eastAsia="zh-CN"/>
        </w:rPr>
        <w:t>3.2.1</w:t>
      </w:r>
      <w:r w:rsidRPr="009C6C94">
        <w:rPr>
          <w:rFonts w:cs="Calibri"/>
          <w:szCs w:val="24"/>
          <w:lang w:eastAsia="zh-CN"/>
        </w:rPr>
        <w:tab/>
      </w:r>
      <w:r w:rsidR="00B87BDC" w:rsidRPr="009C6C94">
        <w:rPr>
          <w:rFonts w:cs="Calibri" w:hint="eastAsia"/>
          <w:szCs w:val="24"/>
          <w:lang w:eastAsia="zh-CN"/>
        </w:rPr>
        <w:t>在过去几十年中，国际电联的企业资源规划（</w:t>
      </w:r>
      <w:r w:rsidR="00B87BDC" w:rsidRPr="009C6C94">
        <w:rPr>
          <w:rFonts w:cs="Calibri" w:hint="eastAsia"/>
          <w:szCs w:val="24"/>
          <w:lang w:eastAsia="zh-CN"/>
        </w:rPr>
        <w:t>ERP</w:t>
      </w:r>
      <w:r w:rsidR="00B87BDC" w:rsidRPr="009C6C94">
        <w:rPr>
          <w:rFonts w:cs="Calibri" w:hint="eastAsia"/>
          <w:szCs w:val="24"/>
          <w:lang w:eastAsia="zh-CN"/>
        </w:rPr>
        <w:t>）和客户关系管理（</w:t>
      </w:r>
      <w:r w:rsidR="00B87BDC" w:rsidRPr="009C6C94">
        <w:rPr>
          <w:rFonts w:cs="Calibri" w:hint="eastAsia"/>
          <w:szCs w:val="24"/>
          <w:lang w:eastAsia="zh-CN"/>
        </w:rPr>
        <w:t>CRM</w:t>
      </w:r>
      <w:r w:rsidR="00B87BDC" w:rsidRPr="009C6C94">
        <w:rPr>
          <w:rFonts w:cs="Calibri" w:hint="eastAsia"/>
          <w:szCs w:val="24"/>
          <w:lang w:eastAsia="zh-CN"/>
        </w:rPr>
        <w:t>）平台（目前运行在国际电联办公场所的</w:t>
      </w:r>
      <w:r w:rsidR="00B87BDC" w:rsidRPr="009C6C94">
        <w:rPr>
          <w:rFonts w:cs="Calibri" w:hint="eastAsia"/>
          <w:szCs w:val="24"/>
          <w:lang w:eastAsia="zh-CN"/>
        </w:rPr>
        <w:t>SQL</w:t>
      </w:r>
      <w:r w:rsidR="00B87BDC" w:rsidRPr="009C6C94">
        <w:rPr>
          <w:rFonts w:cs="Calibri" w:hint="eastAsia"/>
          <w:szCs w:val="24"/>
          <w:lang w:eastAsia="zh-CN"/>
        </w:rPr>
        <w:t>上）已</w:t>
      </w:r>
      <w:r w:rsidR="005A5A43" w:rsidRPr="009C6C94">
        <w:rPr>
          <w:rFonts w:cs="Calibri" w:hint="eastAsia"/>
          <w:szCs w:val="24"/>
          <w:lang w:eastAsia="zh-CN"/>
        </w:rPr>
        <w:t>经过</w:t>
      </w:r>
      <w:r w:rsidR="00B87BDC" w:rsidRPr="009C6C94">
        <w:rPr>
          <w:rFonts w:cs="Calibri" w:hint="eastAsia"/>
          <w:szCs w:val="24"/>
          <w:lang w:eastAsia="zh-CN"/>
        </w:rPr>
        <w:t>多次升级，方便了国际电联及其代表充分利用新的功能和技术。</w:t>
      </w:r>
    </w:p>
    <w:p w14:paraId="201D30B4" w14:textId="497E0F16" w:rsidR="00BF5456" w:rsidRPr="009C6C94" w:rsidRDefault="00BF5456" w:rsidP="00BF5456">
      <w:pPr>
        <w:spacing w:after="120"/>
        <w:jc w:val="both"/>
        <w:rPr>
          <w:rFonts w:cs="Calibri"/>
          <w:szCs w:val="24"/>
          <w:lang w:eastAsia="zh-CN"/>
        </w:rPr>
      </w:pPr>
      <w:r w:rsidRPr="009C6C94">
        <w:rPr>
          <w:rFonts w:cs="Calibri"/>
          <w:szCs w:val="24"/>
          <w:lang w:eastAsia="zh-CN"/>
        </w:rPr>
        <w:t>3.2.2</w:t>
      </w:r>
      <w:r w:rsidRPr="009C6C94">
        <w:rPr>
          <w:rFonts w:cs="Calibri"/>
          <w:szCs w:val="24"/>
          <w:lang w:eastAsia="zh-CN"/>
        </w:rPr>
        <w:tab/>
      </w:r>
      <w:r w:rsidR="00B87BDC" w:rsidRPr="009C6C94">
        <w:rPr>
          <w:rFonts w:cs="Calibri" w:hint="eastAsia"/>
          <w:szCs w:val="24"/>
          <w:lang w:eastAsia="zh-CN"/>
        </w:rPr>
        <w:t>现今，</w:t>
      </w:r>
      <w:r w:rsidR="00B87BDC" w:rsidRPr="009C6C94">
        <w:rPr>
          <w:rFonts w:cs="Calibri" w:hint="eastAsia"/>
          <w:szCs w:val="24"/>
          <w:lang w:eastAsia="zh-CN"/>
        </w:rPr>
        <w:t>SAP</w:t>
      </w:r>
      <w:r w:rsidR="00B87BDC" w:rsidRPr="009C6C94">
        <w:rPr>
          <w:rFonts w:cs="Calibri" w:hint="eastAsia"/>
          <w:szCs w:val="24"/>
          <w:lang w:eastAsia="zh-CN"/>
        </w:rPr>
        <w:t>已重新设计了其全套软件产品（企业资源规划（</w:t>
      </w:r>
      <w:r w:rsidR="00B87BDC" w:rsidRPr="009C6C94">
        <w:rPr>
          <w:rFonts w:cs="Calibri" w:hint="eastAsia"/>
          <w:szCs w:val="24"/>
          <w:lang w:eastAsia="zh-CN"/>
        </w:rPr>
        <w:t>ERP</w:t>
      </w:r>
      <w:r w:rsidR="00B87BDC" w:rsidRPr="009C6C94">
        <w:rPr>
          <w:rFonts w:cs="Calibri" w:hint="eastAsia"/>
          <w:szCs w:val="24"/>
          <w:lang w:eastAsia="zh-CN"/>
        </w:rPr>
        <w:t>）、战略资源管理（</w:t>
      </w:r>
      <w:r w:rsidR="00B87BDC" w:rsidRPr="009C6C94">
        <w:rPr>
          <w:rFonts w:cs="Calibri" w:hint="eastAsia"/>
          <w:szCs w:val="24"/>
          <w:lang w:eastAsia="zh-CN"/>
        </w:rPr>
        <w:t>SRM</w:t>
      </w:r>
      <w:r w:rsidR="00B87BDC" w:rsidRPr="009C6C94">
        <w:rPr>
          <w:rFonts w:cs="Calibri" w:hint="eastAsia"/>
          <w:szCs w:val="24"/>
          <w:lang w:eastAsia="zh-CN"/>
        </w:rPr>
        <w:t>）、客户关系管理（</w:t>
      </w:r>
      <w:r w:rsidR="00B87BDC" w:rsidRPr="009C6C94">
        <w:rPr>
          <w:rFonts w:cs="Calibri" w:hint="eastAsia"/>
          <w:szCs w:val="24"/>
          <w:lang w:eastAsia="zh-CN"/>
        </w:rPr>
        <w:t>CRM</w:t>
      </w:r>
      <w:r w:rsidR="00B87BDC" w:rsidRPr="009C6C94">
        <w:rPr>
          <w:rFonts w:cs="Calibri" w:hint="eastAsia"/>
          <w:szCs w:val="24"/>
          <w:lang w:eastAsia="zh-CN"/>
        </w:rPr>
        <w:t>）、其他），以便在由</w:t>
      </w:r>
      <w:r w:rsidR="00B87BDC" w:rsidRPr="009C6C94">
        <w:rPr>
          <w:rFonts w:cs="Calibri" w:hint="eastAsia"/>
          <w:szCs w:val="24"/>
          <w:lang w:eastAsia="zh-CN"/>
        </w:rPr>
        <w:t>SAP</w:t>
      </w:r>
      <w:r w:rsidR="00B87BDC" w:rsidRPr="009C6C94">
        <w:rPr>
          <w:rFonts w:cs="Calibri" w:hint="eastAsia"/>
          <w:szCs w:val="24"/>
          <w:lang w:eastAsia="zh-CN"/>
        </w:rPr>
        <w:t>开发的内存数据库</w:t>
      </w:r>
      <w:r w:rsidR="00B87BDC" w:rsidRPr="009C6C94">
        <w:rPr>
          <w:rFonts w:cs="Calibri" w:hint="eastAsia"/>
          <w:szCs w:val="24"/>
          <w:lang w:eastAsia="zh-CN"/>
        </w:rPr>
        <w:t>HANA</w:t>
      </w:r>
      <w:r w:rsidR="00B87BDC" w:rsidRPr="009C6C94">
        <w:rPr>
          <w:rFonts w:cs="Calibri" w:hint="eastAsia"/>
          <w:szCs w:val="24"/>
          <w:lang w:eastAsia="zh-CN"/>
        </w:rPr>
        <w:t>上运行，最好是在云中。因此，</w:t>
      </w:r>
      <w:r w:rsidR="00B87BDC" w:rsidRPr="009C6C94">
        <w:rPr>
          <w:rFonts w:cs="Calibri" w:hint="eastAsia"/>
          <w:szCs w:val="24"/>
          <w:lang w:eastAsia="zh-CN"/>
        </w:rPr>
        <w:t>SAP</w:t>
      </w:r>
      <w:r w:rsidR="00B87BDC" w:rsidRPr="009C6C94">
        <w:rPr>
          <w:rFonts w:cs="Calibri" w:hint="eastAsia"/>
          <w:szCs w:val="24"/>
          <w:lang w:eastAsia="zh-CN"/>
        </w:rPr>
        <w:t>宣布，到</w:t>
      </w:r>
      <w:r w:rsidR="00B87BDC" w:rsidRPr="009C6C94">
        <w:rPr>
          <w:rFonts w:cs="Calibri" w:hint="eastAsia"/>
          <w:szCs w:val="24"/>
          <w:lang w:eastAsia="zh-CN"/>
        </w:rPr>
        <w:t>2025</w:t>
      </w:r>
      <w:r w:rsidR="00B87BDC" w:rsidRPr="009C6C94">
        <w:rPr>
          <w:rFonts w:cs="Calibri" w:hint="eastAsia"/>
          <w:szCs w:val="24"/>
          <w:lang w:eastAsia="zh-CN"/>
        </w:rPr>
        <w:t>年（有可能延长到</w:t>
      </w:r>
      <w:r w:rsidR="00B87BDC" w:rsidRPr="009C6C94">
        <w:rPr>
          <w:rFonts w:cs="Calibri" w:hint="eastAsia"/>
          <w:szCs w:val="24"/>
          <w:lang w:eastAsia="zh-CN"/>
        </w:rPr>
        <w:t>2027</w:t>
      </w:r>
      <w:r w:rsidR="00B87BDC" w:rsidRPr="009C6C94">
        <w:rPr>
          <w:rFonts w:cs="Calibri" w:hint="eastAsia"/>
          <w:szCs w:val="24"/>
          <w:lang w:eastAsia="zh-CN"/>
        </w:rPr>
        <w:t>年），所有</w:t>
      </w:r>
      <w:r w:rsidR="008B2ABE" w:rsidRPr="009C6C94">
        <w:rPr>
          <w:rFonts w:cs="Calibri" w:hint="eastAsia"/>
          <w:szCs w:val="24"/>
          <w:lang w:eastAsia="zh-CN"/>
        </w:rPr>
        <w:t>的</w:t>
      </w:r>
      <w:r w:rsidR="008B2ABE" w:rsidRPr="009C6C94">
        <w:rPr>
          <w:rFonts w:cs="Calibri"/>
          <w:szCs w:val="24"/>
          <w:lang w:eastAsia="zh-CN"/>
        </w:rPr>
        <w:t>SAP</w:t>
      </w:r>
      <w:r w:rsidR="008B2ABE" w:rsidRPr="009C6C94">
        <w:rPr>
          <w:rFonts w:cs="Calibri" w:hint="eastAsia"/>
          <w:szCs w:val="24"/>
          <w:lang w:eastAsia="zh-CN"/>
        </w:rPr>
        <w:t>现有</w:t>
      </w:r>
      <w:r w:rsidR="008B2ABE" w:rsidRPr="009C6C94">
        <w:rPr>
          <w:rFonts w:cs="Calibri"/>
          <w:szCs w:val="24"/>
          <w:lang w:eastAsia="zh-CN"/>
        </w:rPr>
        <w:t>ERP</w:t>
      </w:r>
      <w:r w:rsidR="008B2ABE" w:rsidRPr="009C6C94">
        <w:rPr>
          <w:rFonts w:cs="Calibri" w:hint="eastAsia"/>
          <w:szCs w:val="24"/>
          <w:lang w:eastAsia="zh-CN"/>
        </w:rPr>
        <w:t>、</w:t>
      </w:r>
      <w:r w:rsidR="008B2ABE" w:rsidRPr="009C6C94">
        <w:rPr>
          <w:rFonts w:cs="Calibri"/>
          <w:szCs w:val="24"/>
          <w:lang w:eastAsia="zh-CN"/>
        </w:rPr>
        <w:t xml:space="preserve">SRM </w:t>
      </w:r>
      <w:r w:rsidR="008B2ABE" w:rsidRPr="009C6C94">
        <w:rPr>
          <w:rFonts w:cs="Calibri" w:hint="eastAsia"/>
          <w:szCs w:val="24"/>
          <w:lang w:eastAsia="zh-CN"/>
        </w:rPr>
        <w:t>和</w:t>
      </w:r>
      <w:r w:rsidR="008B2ABE" w:rsidRPr="009C6C94">
        <w:rPr>
          <w:rFonts w:cs="Calibri" w:hint="eastAsia"/>
          <w:szCs w:val="24"/>
          <w:lang w:eastAsia="zh-CN"/>
        </w:rPr>
        <w:t xml:space="preserve"> </w:t>
      </w:r>
      <w:r w:rsidR="008B2ABE" w:rsidRPr="009C6C94">
        <w:rPr>
          <w:rFonts w:cs="Calibri"/>
          <w:szCs w:val="24"/>
          <w:lang w:eastAsia="zh-CN"/>
        </w:rPr>
        <w:t xml:space="preserve">CRM </w:t>
      </w:r>
      <w:r w:rsidR="00B87BDC" w:rsidRPr="009C6C94">
        <w:rPr>
          <w:rFonts w:cs="Calibri" w:hint="eastAsia"/>
          <w:szCs w:val="24"/>
          <w:lang w:eastAsia="zh-CN"/>
        </w:rPr>
        <w:t>解决方案都应迁移到</w:t>
      </w:r>
      <w:r w:rsidR="008B2ABE" w:rsidRPr="009C6C94">
        <w:rPr>
          <w:rFonts w:cs="Calibri" w:hint="eastAsia"/>
          <w:szCs w:val="24"/>
          <w:lang w:eastAsia="zh-CN"/>
        </w:rPr>
        <w:t>SAP</w:t>
      </w:r>
      <w:r w:rsidR="00B87BDC" w:rsidRPr="009C6C94">
        <w:rPr>
          <w:rFonts w:cs="Calibri" w:hint="eastAsia"/>
          <w:szCs w:val="24"/>
          <w:lang w:eastAsia="zh-CN"/>
        </w:rPr>
        <w:t>的下一代业务套件</w:t>
      </w:r>
      <w:r w:rsidR="0079183C">
        <w:rPr>
          <w:rFonts w:cs="Calibri" w:hint="eastAsia"/>
          <w:szCs w:val="24"/>
          <w:lang w:eastAsia="zh-CN"/>
        </w:rPr>
        <w:t xml:space="preserve"> </w:t>
      </w:r>
      <w:r w:rsidR="0079183C" w:rsidRPr="0079183C">
        <w:rPr>
          <w:rFonts w:cs="Calibri"/>
          <w:szCs w:val="24"/>
          <w:lang w:eastAsia="zh-CN"/>
        </w:rPr>
        <w:t>–</w:t>
      </w:r>
      <w:r w:rsidR="0079183C">
        <w:rPr>
          <w:rFonts w:cs="Calibri" w:hint="eastAsia"/>
          <w:szCs w:val="24"/>
          <w:lang w:eastAsia="zh-CN"/>
        </w:rPr>
        <w:t xml:space="preserve"> </w:t>
      </w:r>
      <w:r w:rsidR="00B87BDC" w:rsidRPr="009C6C94">
        <w:rPr>
          <w:rFonts w:cs="Calibri" w:hint="eastAsia"/>
          <w:szCs w:val="24"/>
          <w:lang w:eastAsia="zh-CN"/>
        </w:rPr>
        <w:t>S/4HANA</w:t>
      </w:r>
      <w:r w:rsidR="0079183C">
        <w:rPr>
          <w:rFonts w:cs="Calibri" w:hint="eastAsia"/>
          <w:szCs w:val="24"/>
          <w:lang w:eastAsia="zh-CN"/>
        </w:rPr>
        <w:t xml:space="preserve"> </w:t>
      </w:r>
      <w:r w:rsidR="0079183C" w:rsidRPr="0079183C">
        <w:rPr>
          <w:rFonts w:cs="Calibri"/>
          <w:szCs w:val="24"/>
          <w:lang w:eastAsia="zh-CN"/>
        </w:rPr>
        <w:t>–</w:t>
      </w:r>
      <w:r w:rsidR="0079183C">
        <w:rPr>
          <w:rFonts w:cs="Calibri" w:hint="eastAsia"/>
          <w:szCs w:val="24"/>
          <w:lang w:eastAsia="zh-CN"/>
        </w:rPr>
        <w:t xml:space="preserve"> </w:t>
      </w:r>
      <w:r w:rsidR="008B2ABE" w:rsidRPr="009C6C94">
        <w:rPr>
          <w:rFonts w:cs="Calibri" w:hint="eastAsia"/>
          <w:szCs w:val="24"/>
          <w:lang w:eastAsia="zh-CN"/>
        </w:rPr>
        <w:t>上</w:t>
      </w:r>
      <w:r w:rsidR="00B87BDC" w:rsidRPr="009C6C94">
        <w:rPr>
          <w:rFonts w:cs="Calibri" w:hint="eastAsia"/>
          <w:szCs w:val="24"/>
          <w:lang w:eastAsia="zh-CN"/>
        </w:rPr>
        <w:t>。此外，国际电联的电子商务平台需要在</w:t>
      </w:r>
      <w:r w:rsidR="00B87BDC" w:rsidRPr="009C6C94">
        <w:rPr>
          <w:rFonts w:cs="Calibri" w:hint="eastAsia"/>
          <w:szCs w:val="24"/>
          <w:lang w:eastAsia="zh-CN"/>
        </w:rPr>
        <w:t>2021</w:t>
      </w:r>
      <w:r w:rsidR="00B87BDC" w:rsidRPr="009C6C94">
        <w:rPr>
          <w:rFonts w:cs="Calibri" w:hint="eastAsia"/>
          <w:szCs w:val="24"/>
          <w:lang w:eastAsia="zh-CN"/>
        </w:rPr>
        <w:t>年初迁移到</w:t>
      </w:r>
      <w:r w:rsidR="00B87BDC" w:rsidRPr="009C6C94">
        <w:rPr>
          <w:rFonts w:cs="Calibri" w:hint="eastAsia"/>
          <w:szCs w:val="24"/>
          <w:lang w:eastAsia="zh-CN"/>
        </w:rPr>
        <w:t>C/4HANA</w:t>
      </w:r>
      <w:r w:rsidR="008B2ABE" w:rsidRPr="009C6C94">
        <w:rPr>
          <w:rFonts w:cs="Calibri" w:hint="eastAsia"/>
          <w:szCs w:val="24"/>
          <w:lang w:eastAsia="zh-CN"/>
        </w:rPr>
        <w:t>上。</w:t>
      </w:r>
    </w:p>
    <w:p w14:paraId="1AE21AC5" w14:textId="1AF74D94" w:rsidR="00BF5456" w:rsidRPr="009C6C94" w:rsidRDefault="00BF5456" w:rsidP="00BF5456">
      <w:pPr>
        <w:spacing w:after="120"/>
        <w:jc w:val="both"/>
        <w:rPr>
          <w:rFonts w:cs="Calibri"/>
          <w:szCs w:val="24"/>
          <w:lang w:eastAsia="zh-CN"/>
        </w:rPr>
      </w:pPr>
      <w:r w:rsidRPr="009C6C94">
        <w:rPr>
          <w:rFonts w:cs="Calibri"/>
          <w:szCs w:val="24"/>
          <w:lang w:eastAsia="zh-CN"/>
        </w:rPr>
        <w:t>3.</w:t>
      </w:r>
      <w:proofErr w:type="gramStart"/>
      <w:r w:rsidRPr="009C6C94">
        <w:rPr>
          <w:rFonts w:cs="Calibri"/>
          <w:szCs w:val="24"/>
          <w:lang w:eastAsia="zh-CN"/>
        </w:rPr>
        <w:t>2.3</w:t>
      </w:r>
      <w:r w:rsidRPr="009C6C94">
        <w:rPr>
          <w:rFonts w:cs="Calibri"/>
          <w:szCs w:val="24"/>
          <w:lang w:eastAsia="zh-CN"/>
        </w:rPr>
        <w:tab/>
      </w:r>
      <w:r w:rsidR="008B2ABE" w:rsidRPr="009C6C94">
        <w:rPr>
          <w:rFonts w:cs="Calibri" w:hint="eastAsia"/>
          <w:szCs w:val="24"/>
          <w:lang w:eastAsia="zh-CN"/>
        </w:rPr>
        <w:t>国际电联已采取了若干步骤来为这项重大工作做出准备。该迁移项目的第一阶段</w:t>
      </w:r>
      <w:proofErr w:type="gramEnd"/>
      <w:r w:rsidR="0079183C">
        <w:rPr>
          <w:rFonts w:cs="Calibri" w:hint="eastAsia"/>
          <w:szCs w:val="24"/>
          <w:lang w:eastAsia="zh-CN"/>
        </w:rPr>
        <w:t xml:space="preserve"> </w:t>
      </w:r>
      <w:r w:rsidR="0079183C" w:rsidRPr="0079183C">
        <w:rPr>
          <w:rFonts w:cs="Calibri"/>
          <w:szCs w:val="24"/>
          <w:lang w:eastAsia="zh-CN"/>
        </w:rPr>
        <w:t>–</w:t>
      </w:r>
      <w:r w:rsidR="0079183C">
        <w:rPr>
          <w:rFonts w:cs="Calibri" w:hint="eastAsia"/>
          <w:szCs w:val="24"/>
          <w:lang w:eastAsia="zh-CN"/>
        </w:rPr>
        <w:t xml:space="preserve"> </w:t>
      </w:r>
      <w:r w:rsidR="008B2ABE" w:rsidRPr="009C6C94">
        <w:rPr>
          <w:rFonts w:cs="Calibri" w:hint="eastAsia"/>
          <w:szCs w:val="24"/>
          <w:lang w:eastAsia="zh-CN"/>
        </w:rPr>
        <w:t>将国际电联的电子商务平台迁移到云中的</w:t>
      </w:r>
      <w:r w:rsidR="008B2ABE" w:rsidRPr="009C6C94">
        <w:rPr>
          <w:rFonts w:cs="Calibri" w:hint="eastAsia"/>
          <w:szCs w:val="24"/>
          <w:lang w:eastAsia="zh-CN"/>
        </w:rPr>
        <w:t>C/4HANA</w:t>
      </w:r>
      <w:r w:rsidR="0079183C">
        <w:rPr>
          <w:rFonts w:cs="Calibri" w:hint="eastAsia"/>
          <w:szCs w:val="24"/>
          <w:lang w:eastAsia="zh-CN"/>
        </w:rPr>
        <w:t xml:space="preserve"> </w:t>
      </w:r>
      <w:r w:rsidR="0079183C" w:rsidRPr="0079183C">
        <w:rPr>
          <w:rFonts w:cs="Calibri"/>
          <w:szCs w:val="24"/>
          <w:lang w:eastAsia="zh-CN"/>
        </w:rPr>
        <w:t>–</w:t>
      </w:r>
      <w:r w:rsidR="0079183C">
        <w:rPr>
          <w:rFonts w:cs="Calibri" w:hint="eastAsia"/>
          <w:szCs w:val="24"/>
          <w:lang w:eastAsia="zh-CN"/>
        </w:rPr>
        <w:t xml:space="preserve"> </w:t>
      </w:r>
      <w:r w:rsidR="008B2ABE" w:rsidRPr="009C6C94">
        <w:rPr>
          <w:rFonts w:cs="Calibri" w:hint="eastAsia"/>
          <w:szCs w:val="24"/>
          <w:lang w:eastAsia="zh-CN"/>
        </w:rPr>
        <w:t>将于</w:t>
      </w:r>
      <w:r w:rsidR="008B2ABE" w:rsidRPr="009C6C94">
        <w:rPr>
          <w:rFonts w:cs="Calibri" w:hint="eastAsia"/>
          <w:szCs w:val="24"/>
          <w:lang w:eastAsia="zh-CN"/>
        </w:rPr>
        <w:t>2020</w:t>
      </w:r>
      <w:r w:rsidR="008B2ABE" w:rsidRPr="009C6C94">
        <w:rPr>
          <w:rFonts w:cs="Calibri" w:hint="eastAsia"/>
          <w:szCs w:val="24"/>
          <w:lang w:eastAsia="zh-CN"/>
        </w:rPr>
        <w:t>年年中启动。随后的主要阶段工作将是迁移到</w:t>
      </w:r>
      <w:r w:rsidR="008B2ABE" w:rsidRPr="009C6C94">
        <w:rPr>
          <w:rFonts w:cs="Calibri" w:hint="eastAsia"/>
          <w:szCs w:val="24"/>
          <w:lang w:eastAsia="zh-CN"/>
        </w:rPr>
        <w:t>S/4HANA</w:t>
      </w:r>
      <w:r w:rsidR="008B2ABE" w:rsidRPr="009C6C94">
        <w:rPr>
          <w:rFonts w:cs="Calibri" w:hint="eastAsia"/>
          <w:szCs w:val="24"/>
          <w:lang w:eastAsia="zh-CN"/>
        </w:rPr>
        <w:t>。实现这一目标的目标日期是</w:t>
      </w:r>
      <w:r w:rsidR="008B2ABE" w:rsidRPr="009C6C94">
        <w:rPr>
          <w:rFonts w:cs="Calibri" w:hint="eastAsia"/>
          <w:szCs w:val="24"/>
          <w:lang w:eastAsia="zh-CN"/>
        </w:rPr>
        <w:t>2025</w:t>
      </w:r>
      <w:r w:rsidR="008B2ABE" w:rsidRPr="009C6C94">
        <w:rPr>
          <w:rFonts w:cs="Calibri" w:hint="eastAsia"/>
          <w:szCs w:val="24"/>
          <w:lang w:eastAsia="zh-CN"/>
        </w:rPr>
        <w:t>年</w:t>
      </w:r>
      <w:r w:rsidR="008B2ABE" w:rsidRPr="009C6C94">
        <w:rPr>
          <w:rFonts w:cs="Calibri" w:hint="eastAsia"/>
          <w:szCs w:val="24"/>
          <w:lang w:eastAsia="zh-CN"/>
        </w:rPr>
        <w:t>12</w:t>
      </w:r>
      <w:r w:rsidR="008B2ABE" w:rsidRPr="009C6C94">
        <w:rPr>
          <w:rFonts w:cs="Calibri" w:hint="eastAsia"/>
          <w:szCs w:val="24"/>
          <w:lang w:eastAsia="zh-CN"/>
        </w:rPr>
        <w:t>月。</w:t>
      </w:r>
    </w:p>
    <w:p w14:paraId="6F29C5F0" w14:textId="01A3CC4E" w:rsidR="00BF5456" w:rsidRPr="009C6C94" w:rsidRDefault="00BF5456" w:rsidP="007E560B">
      <w:pPr>
        <w:spacing w:after="120"/>
        <w:jc w:val="both"/>
        <w:rPr>
          <w:rFonts w:cs="Calibri"/>
          <w:szCs w:val="24"/>
          <w:lang w:eastAsia="zh-CN"/>
        </w:rPr>
      </w:pPr>
      <w:r w:rsidRPr="009C6C94">
        <w:rPr>
          <w:rFonts w:cs="Calibri"/>
          <w:szCs w:val="24"/>
          <w:lang w:eastAsia="zh-CN"/>
        </w:rPr>
        <w:t>3.2.4</w:t>
      </w:r>
      <w:r w:rsidRPr="009C6C94">
        <w:rPr>
          <w:rFonts w:cs="Calibri"/>
          <w:szCs w:val="24"/>
          <w:lang w:eastAsia="zh-CN"/>
        </w:rPr>
        <w:tab/>
      </w:r>
      <w:r w:rsidR="007E560B" w:rsidRPr="009C6C94">
        <w:rPr>
          <w:rFonts w:cs="Calibri" w:hint="eastAsia"/>
          <w:szCs w:val="24"/>
          <w:lang w:eastAsia="zh-CN"/>
        </w:rPr>
        <w:t>将国际电联的整个</w:t>
      </w:r>
      <w:r w:rsidR="007E560B" w:rsidRPr="009C6C94">
        <w:rPr>
          <w:rFonts w:cs="Calibri" w:hint="eastAsia"/>
          <w:szCs w:val="24"/>
          <w:lang w:eastAsia="zh-CN"/>
        </w:rPr>
        <w:t>SAP</w:t>
      </w:r>
      <w:r w:rsidR="007E560B" w:rsidRPr="009C6C94">
        <w:rPr>
          <w:rFonts w:cs="Calibri" w:hint="eastAsia"/>
          <w:szCs w:val="24"/>
          <w:lang w:eastAsia="zh-CN"/>
        </w:rPr>
        <w:t>系统迁移到</w:t>
      </w:r>
      <w:r w:rsidR="007E560B" w:rsidRPr="009C6C94">
        <w:rPr>
          <w:rFonts w:cs="Calibri" w:hint="eastAsia"/>
          <w:szCs w:val="24"/>
          <w:lang w:eastAsia="zh-CN"/>
        </w:rPr>
        <w:t>C/4HANA</w:t>
      </w:r>
      <w:r w:rsidR="007E560B" w:rsidRPr="009C6C94">
        <w:rPr>
          <w:rFonts w:cs="Calibri" w:hint="eastAsia"/>
          <w:szCs w:val="24"/>
          <w:lang w:eastAsia="zh-CN"/>
        </w:rPr>
        <w:t>和</w:t>
      </w:r>
      <w:r w:rsidR="007E560B" w:rsidRPr="009C6C94">
        <w:rPr>
          <w:rFonts w:cs="Calibri" w:hint="eastAsia"/>
          <w:szCs w:val="24"/>
          <w:lang w:eastAsia="zh-CN"/>
        </w:rPr>
        <w:t>S/4HANA</w:t>
      </w:r>
      <w:r w:rsidR="007E560B" w:rsidRPr="009C6C94">
        <w:rPr>
          <w:rFonts w:cs="Calibri" w:hint="eastAsia"/>
          <w:szCs w:val="24"/>
          <w:lang w:eastAsia="zh-CN"/>
        </w:rPr>
        <w:t>的费用估计约为</w:t>
      </w:r>
      <w:r w:rsidR="007E560B" w:rsidRPr="009C6C94">
        <w:rPr>
          <w:rFonts w:cs="Calibri" w:hint="eastAsia"/>
          <w:szCs w:val="24"/>
          <w:lang w:eastAsia="zh-CN"/>
        </w:rPr>
        <w:t>500</w:t>
      </w:r>
      <w:r w:rsidR="007E560B" w:rsidRPr="009C6C94">
        <w:rPr>
          <w:rFonts w:cs="Calibri" w:hint="eastAsia"/>
          <w:szCs w:val="24"/>
          <w:lang w:eastAsia="zh-CN"/>
        </w:rPr>
        <w:t>万瑞郎。用于</w:t>
      </w:r>
      <w:r w:rsidR="007E560B" w:rsidRPr="009C6C94">
        <w:rPr>
          <w:rFonts w:cs="Calibri" w:hint="eastAsia"/>
          <w:szCs w:val="24"/>
          <w:lang w:eastAsia="zh-CN"/>
        </w:rPr>
        <w:t>ERP</w:t>
      </w:r>
      <w:r w:rsidR="007E560B" w:rsidRPr="009C6C94">
        <w:rPr>
          <w:rFonts w:cs="Calibri" w:hint="eastAsia"/>
          <w:szCs w:val="24"/>
          <w:lang w:eastAsia="zh-CN"/>
        </w:rPr>
        <w:t>系统迁移工作的部分资源已得到理事会的批准，并已列入</w:t>
      </w:r>
      <w:r w:rsidR="007E560B" w:rsidRPr="009C6C94">
        <w:rPr>
          <w:rFonts w:cs="Calibri" w:hint="eastAsia"/>
          <w:szCs w:val="24"/>
          <w:lang w:eastAsia="zh-CN"/>
        </w:rPr>
        <w:t>2020-2021</w:t>
      </w:r>
      <w:r w:rsidR="007E560B" w:rsidRPr="009C6C94">
        <w:rPr>
          <w:rFonts w:cs="Calibri" w:hint="eastAsia"/>
          <w:szCs w:val="24"/>
          <w:lang w:eastAsia="zh-CN"/>
        </w:rPr>
        <w:t>年预算（</w:t>
      </w:r>
      <w:r w:rsidR="007E560B" w:rsidRPr="009C6C94">
        <w:rPr>
          <w:rFonts w:cs="Calibri" w:hint="eastAsia"/>
          <w:szCs w:val="24"/>
          <w:lang w:eastAsia="zh-CN"/>
        </w:rPr>
        <w:t>200</w:t>
      </w:r>
      <w:r w:rsidR="007E560B" w:rsidRPr="009C6C94">
        <w:rPr>
          <w:rFonts w:cs="Calibri" w:hint="eastAsia"/>
          <w:szCs w:val="24"/>
          <w:lang w:eastAsia="zh-CN"/>
        </w:rPr>
        <w:t>万）和利用前几年的节余（</w:t>
      </w:r>
      <w:r w:rsidR="007E560B" w:rsidRPr="009C6C94">
        <w:rPr>
          <w:rFonts w:cs="Calibri" w:hint="eastAsia"/>
          <w:szCs w:val="24"/>
          <w:lang w:eastAsia="zh-CN"/>
        </w:rPr>
        <w:t>100</w:t>
      </w:r>
      <w:r w:rsidR="007E560B" w:rsidRPr="009C6C94">
        <w:rPr>
          <w:rFonts w:cs="Calibri" w:hint="eastAsia"/>
          <w:szCs w:val="24"/>
          <w:lang w:eastAsia="zh-CN"/>
        </w:rPr>
        <w:t>万）。其余</w:t>
      </w:r>
      <w:r w:rsidR="007E560B" w:rsidRPr="009C6C94">
        <w:rPr>
          <w:rFonts w:cs="Calibri" w:hint="eastAsia"/>
          <w:szCs w:val="24"/>
          <w:lang w:eastAsia="zh-CN"/>
        </w:rPr>
        <w:t>200</w:t>
      </w:r>
      <w:r w:rsidR="007E560B" w:rsidRPr="009C6C94">
        <w:rPr>
          <w:rFonts w:cs="Calibri" w:hint="eastAsia"/>
          <w:szCs w:val="24"/>
          <w:lang w:eastAsia="zh-CN"/>
        </w:rPr>
        <w:t>万用于</w:t>
      </w:r>
      <w:r w:rsidR="007E560B" w:rsidRPr="009C6C94">
        <w:rPr>
          <w:rFonts w:cs="Calibri" w:hint="eastAsia"/>
          <w:szCs w:val="24"/>
          <w:lang w:eastAsia="zh-CN"/>
        </w:rPr>
        <w:t>ERP/CRM</w:t>
      </w:r>
      <w:r w:rsidR="007E560B" w:rsidRPr="009C6C94">
        <w:rPr>
          <w:rFonts w:cs="Calibri" w:hint="eastAsia"/>
          <w:szCs w:val="24"/>
          <w:lang w:eastAsia="zh-CN"/>
        </w:rPr>
        <w:t>升级的资金将纳入</w:t>
      </w:r>
      <w:r w:rsidR="007E560B" w:rsidRPr="009C6C94">
        <w:rPr>
          <w:rFonts w:cs="Calibri" w:hint="eastAsia"/>
          <w:szCs w:val="24"/>
          <w:lang w:eastAsia="zh-CN"/>
        </w:rPr>
        <w:t>2022-2025</w:t>
      </w:r>
      <w:r w:rsidR="007E560B" w:rsidRPr="009C6C94">
        <w:rPr>
          <w:rFonts w:cs="Calibri" w:hint="eastAsia"/>
          <w:szCs w:val="24"/>
          <w:lang w:eastAsia="zh-CN"/>
        </w:rPr>
        <w:t>年战略和财务规划之中。</w:t>
      </w:r>
    </w:p>
    <w:p w14:paraId="60EB79D4" w14:textId="73DACE79" w:rsidR="00BF5456" w:rsidRPr="009C6C94" w:rsidRDefault="00BF5456" w:rsidP="00BF5456">
      <w:pPr>
        <w:tabs>
          <w:tab w:val="clear" w:pos="794"/>
          <w:tab w:val="clear" w:pos="1191"/>
          <w:tab w:val="clear" w:pos="1588"/>
          <w:tab w:val="clear" w:pos="1985"/>
        </w:tabs>
        <w:spacing w:after="120"/>
        <w:jc w:val="both"/>
        <w:rPr>
          <w:rFonts w:cs="Calibri"/>
          <w:szCs w:val="24"/>
          <w:lang w:eastAsia="zh-CN"/>
        </w:rPr>
      </w:pPr>
      <w:r w:rsidRPr="009C6C94">
        <w:rPr>
          <w:rFonts w:cs="Calibri"/>
          <w:szCs w:val="24"/>
          <w:lang w:val="en-US" w:eastAsia="zh-CN"/>
        </w:rPr>
        <w:t>3.3</w:t>
      </w:r>
      <w:r w:rsidRPr="009C6C94">
        <w:rPr>
          <w:rFonts w:cs="Calibri"/>
          <w:szCs w:val="24"/>
          <w:lang w:val="en-US" w:eastAsia="zh-CN"/>
        </w:rPr>
        <w:tab/>
      </w:r>
      <w:r w:rsidR="007E560B" w:rsidRPr="009C6C94">
        <w:rPr>
          <w:rFonts w:cs="Calibri" w:hint="eastAsia"/>
          <w:szCs w:val="24"/>
          <w:u w:val="single"/>
          <w:lang w:val="en-US" w:eastAsia="zh-CN"/>
        </w:rPr>
        <w:t>国际电联网站</w:t>
      </w:r>
    </w:p>
    <w:p w14:paraId="44AD9B93" w14:textId="0F9F74BD" w:rsidR="00BF5456" w:rsidRPr="009C6C94" w:rsidRDefault="00BF5456" w:rsidP="00BF5456">
      <w:pPr>
        <w:tabs>
          <w:tab w:val="clear" w:pos="794"/>
          <w:tab w:val="clear" w:pos="1191"/>
          <w:tab w:val="clear" w:pos="1588"/>
          <w:tab w:val="clear" w:pos="1985"/>
        </w:tabs>
        <w:spacing w:after="120"/>
        <w:jc w:val="both"/>
        <w:rPr>
          <w:rFonts w:cs="Calibri"/>
          <w:szCs w:val="24"/>
          <w:lang w:val="en-US" w:eastAsia="zh-CN"/>
        </w:rPr>
      </w:pPr>
      <w:r w:rsidRPr="009C6C94">
        <w:rPr>
          <w:rFonts w:cs="Calibri"/>
          <w:szCs w:val="24"/>
          <w:lang w:val="en-US" w:eastAsia="zh-CN"/>
        </w:rPr>
        <w:t>3.3.1</w:t>
      </w:r>
      <w:r w:rsidRPr="009C6C94">
        <w:rPr>
          <w:rFonts w:cs="Calibri"/>
          <w:szCs w:val="24"/>
          <w:lang w:val="en-US" w:eastAsia="zh-CN"/>
        </w:rPr>
        <w:tab/>
      </w:r>
      <w:r w:rsidR="007E560B" w:rsidRPr="009C6C94">
        <w:rPr>
          <w:rFonts w:cs="Calibri" w:hint="eastAsia"/>
          <w:szCs w:val="24"/>
          <w:lang w:val="en-US" w:eastAsia="zh-CN"/>
        </w:rPr>
        <w:t>当前的国际电联网站于</w:t>
      </w:r>
      <w:r w:rsidR="007E560B" w:rsidRPr="009C6C94">
        <w:rPr>
          <w:rFonts w:cs="Calibri" w:hint="eastAsia"/>
          <w:szCs w:val="24"/>
          <w:lang w:val="en-US" w:eastAsia="zh-CN"/>
        </w:rPr>
        <w:t>2012</w:t>
      </w:r>
      <w:r w:rsidR="007E560B" w:rsidRPr="009C6C94">
        <w:rPr>
          <w:rFonts w:cs="Calibri" w:hint="eastAsia"/>
          <w:szCs w:val="24"/>
          <w:lang w:val="en-US" w:eastAsia="zh-CN"/>
        </w:rPr>
        <w:t>年上线，此后一直在有机发展。每年约有</w:t>
      </w:r>
      <w:r w:rsidR="007E560B" w:rsidRPr="009C6C94">
        <w:rPr>
          <w:rFonts w:cs="Calibri" w:hint="eastAsia"/>
          <w:szCs w:val="24"/>
          <w:lang w:val="en-US" w:eastAsia="zh-CN"/>
        </w:rPr>
        <w:t>200</w:t>
      </w:r>
      <w:r w:rsidR="007E560B" w:rsidRPr="009C6C94">
        <w:rPr>
          <w:rFonts w:cs="Calibri" w:hint="eastAsia"/>
          <w:szCs w:val="24"/>
          <w:lang w:val="en-US" w:eastAsia="zh-CN"/>
        </w:rPr>
        <w:t>万用户访问该网站。国际电联目前的平台供应商于</w:t>
      </w:r>
      <w:r w:rsidR="007E560B" w:rsidRPr="009C6C94">
        <w:rPr>
          <w:rFonts w:cs="Calibri" w:hint="eastAsia"/>
          <w:szCs w:val="24"/>
          <w:lang w:val="en-US" w:eastAsia="zh-CN"/>
        </w:rPr>
        <w:t>2018</w:t>
      </w:r>
      <w:r w:rsidR="007E560B" w:rsidRPr="009C6C94">
        <w:rPr>
          <w:rFonts w:cs="Calibri" w:hint="eastAsia"/>
          <w:szCs w:val="24"/>
          <w:lang w:val="en-US" w:eastAsia="zh-CN"/>
        </w:rPr>
        <w:t>年宣布，在未来几年内</w:t>
      </w:r>
      <w:r w:rsidR="006D5B67" w:rsidRPr="009C6C94">
        <w:rPr>
          <w:rFonts w:cs="Calibri" w:hint="eastAsia"/>
          <w:szCs w:val="24"/>
          <w:lang w:val="en-US" w:eastAsia="zh-CN"/>
        </w:rPr>
        <w:t>将</w:t>
      </w:r>
      <w:r w:rsidR="007E560B" w:rsidRPr="009C6C94">
        <w:rPr>
          <w:rFonts w:cs="Calibri" w:hint="eastAsia"/>
          <w:szCs w:val="24"/>
          <w:lang w:val="en-US" w:eastAsia="zh-CN"/>
        </w:rPr>
        <w:t>停止其平台和定期支持。没有供应商支持的平台运行会给业务连续性和安全性带来严重风险。由于现有平台</w:t>
      </w:r>
      <w:r w:rsidR="006D5B67" w:rsidRPr="009C6C94">
        <w:rPr>
          <w:rFonts w:cs="Calibri" w:hint="eastAsia"/>
          <w:szCs w:val="24"/>
          <w:lang w:val="en-US" w:eastAsia="zh-CN"/>
        </w:rPr>
        <w:t>没有</w:t>
      </w:r>
      <w:r w:rsidR="007E560B" w:rsidRPr="009C6C94">
        <w:rPr>
          <w:rFonts w:cs="Calibri" w:hint="eastAsia"/>
          <w:szCs w:val="24"/>
          <w:lang w:val="en-US" w:eastAsia="zh-CN"/>
        </w:rPr>
        <w:t>得到进一步开发，</w:t>
      </w:r>
      <w:r w:rsidR="006D5B67" w:rsidRPr="009C6C94">
        <w:rPr>
          <w:rFonts w:cs="Calibri" w:hint="eastAsia"/>
          <w:szCs w:val="24"/>
          <w:lang w:val="en-US" w:eastAsia="zh-CN"/>
        </w:rPr>
        <w:t>因此</w:t>
      </w:r>
      <w:r w:rsidR="007E560B" w:rsidRPr="009C6C94">
        <w:rPr>
          <w:rFonts w:cs="Calibri" w:hint="eastAsia"/>
          <w:szCs w:val="24"/>
          <w:lang w:val="en-US" w:eastAsia="zh-CN"/>
        </w:rPr>
        <w:t>限制了国际电联利用市场上现有的商业创新</w:t>
      </w:r>
      <w:r w:rsidR="006D5B67" w:rsidRPr="009C6C94">
        <w:rPr>
          <w:rFonts w:cs="Calibri" w:hint="eastAsia"/>
          <w:szCs w:val="24"/>
          <w:lang w:val="en-US" w:eastAsia="zh-CN"/>
        </w:rPr>
        <w:t>方案（如机器学习（</w:t>
      </w:r>
      <w:r w:rsidR="006D5B67" w:rsidRPr="009C6C94">
        <w:rPr>
          <w:rFonts w:cs="Calibri" w:hint="eastAsia"/>
          <w:szCs w:val="24"/>
          <w:lang w:val="en-US" w:eastAsia="zh-CN"/>
        </w:rPr>
        <w:t>ML</w:t>
      </w:r>
      <w:r w:rsidR="006D5B67" w:rsidRPr="009C6C94">
        <w:rPr>
          <w:rFonts w:cs="Calibri" w:hint="eastAsia"/>
          <w:szCs w:val="24"/>
          <w:lang w:val="en-US" w:eastAsia="zh-CN"/>
        </w:rPr>
        <w:t>）</w:t>
      </w:r>
      <w:r w:rsidR="007E560B" w:rsidRPr="009C6C94">
        <w:rPr>
          <w:rFonts w:cs="Calibri" w:hint="eastAsia"/>
          <w:szCs w:val="24"/>
          <w:lang w:val="en-US" w:eastAsia="zh-CN"/>
        </w:rPr>
        <w:t>/</w:t>
      </w:r>
      <w:r w:rsidR="007E560B" w:rsidRPr="009C6C94">
        <w:rPr>
          <w:rFonts w:cs="Calibri" w:hint="eastAsia"/>
          <w:szCs w:val="24"/>
          <w:lang w:val="en-US" w:eastAsia="zh-CN"/>
        </w:rPr>
        <w:t>人工智能</w:t>
      </w:r>
      <w:r w:rsidR="006D5B67" w:rsidRPr="009C6C94">
        <w:rPr>
          <w:rFonts w:cs="Calibri" w:hint="eastAsia"/>
          <w:szCs w:val="24"/>
          <w:lang w:val="en-US" w:eastAsia="zh-CN"/>
        </w:rPr>
        <w:t>（</w:t>
      </w:r>
      <w:r w:rsidR="006D5B67" w:rsidRPr="009C6C94">
        <w:rPr>
          <w:rFonts w:cs="Calibri" w:hint="eastAsia"/>
          <w:szCs w:val="24"/>
          <w:lang w:val="en-US" w:eastAsia="zh-CN"/>
        </w:rPr>
        <w:t>AI</w:t>
      </w:r>
      <w:r w:rsidR="006D5B67" w:rsidRPr="009C6C94">
        <w:rPr>
          <w:rFonts w:cs="Calibri" w:hint="eastAsia"/>
          <w:szCs w:val="24"/>
          <w:lang w:val="en-US" w:eastAsia="zh-CN"/>
        </w:rPr>
        <w:t>）</w:t>
      </w:r>
      <w:r w:rsidR="007E560B" w:rsidRPr="009C6C94">
        <w:rPr>
          <w:rFonts w:cs="Calibri" w:hint="eastAsia"/>
          <w:szCs w:val="24"/>
          <w:lang w:val="en-US" w:eastAsia="zh-CN"/>
        </w:rPr>
        <w:t>的可能性，包括协调网站和支持自动翻译成六种</w:t>
      </w:r>
      <w:r w:rsidR="006D5B67" w:rsidRPr="009C6C94">
        <w:rPr>
          <w:rFonts w:cs="Calibri" w:hint="eastAsia"/>
          <w:szCs w:val="24"/>
          <w:lang w:val="en-US" w:eastAsia="zh-CN"/>
        </w:rPr>
        <w:t>语文</w:t>
      </w:r>
      <w:r w:rsidR="007E560B" w:rsidRPr="009C6C94">
        <w:rPr>
          <w:rFonts w:cs="Calibri" w:hint="eastAsia"/>
          <w:szCs w:val="24"/>
          <w:lang w:val="en-US" w:eastAsia="zh-CN"/>
        </w:rPr>
        <w:t>的新工具。请参考理事会语文工作组</w:t>
      </w:r>
      <w:r w:rsidR="006D5B67" w:rsidRPr="009C6C94">
        <w:rPr>
          <w:rFonts w:cs="Calibri" w:hint="eastAsia"/>
          <w:szCs w:val="24"/>
          <w:lang w:val="en-US" w:eastAsia="zh-CN"/>
        </w:rPr>
        <w:t>2020</w:t>
      </w:r>
      <w:r w:rsidR="006D5B67" w:rsidRPr="009C6C94">
        <w:rPr>
          <w:rFonts w:cs="Calibri" w:hint="eastAsia"/>
          <w:szCs w:val="24"/>
          <w:lang w:val="en-US" w:eastAsia="zh-CN"/>
        </w:rPr>
        <w:t>年</w:t>
      </w:r>
      <w:r w:rsidR="006D5B67" w:rsidRPr="009C6C94">
        <w:rPr>
          <w:rFonts w:cs="Calibri" w:hint="eastAsia"/>
          <w:szCs w:val="24"/>
          <w:lang w:val="en-US" w:eastAsia="zh-CN"/>
        </w:rPr>
        <w:t>2</w:t>
      </w:r>
      <w:r w:rsidR="006D5B67" w:rsidRPr="009C6C94">
        <w:rPr>
          <w:rFonts w:cs="Calibri" w:hint="eastAsia"/>
          <w:szCs w:val="24"/>
          <w:lang w:val="en-US" w:eastAsia="zh-CN"/>
        </w:rPr>
        <w:t>月文件（</w:t>
      </w:r>
      <w:r w:rsidR="006945AE">
        <w:fldChar w:fldCharType="begin"/>
      </w:r>
      <w:r w:rsidR="006945AE">
        <w:rPr>
          <w:lang w:eastAsia="zh-CN"/>
        </w:rPr>
        <w:instrText xml:space="preserve"> HYPERLINK "https://www.itu.int/md/S20-RCLCWGLANG10-C-0002/en" </w:instrText>
      </w:r>
      <w:r w:rsidR="006945AE">
        <w:fldChar w:fldCharType="separate"/>
      </w:r>
      <w:r w:rsidR="006D5B67" w:rsidRPr="009C6C94">
        <w:rPr>
          <w:rFonts w:cs="Calibri"/>
          <w:color w:val="0000FF"/>
          <w:szCs w:val="24"/>
          <w:u w:val="single"/>
          <w:lang w:val="en-US" w:eastAsia="zh-CN"/>
        </w:rPr>
        <w:t>CWG-LANG/10/2</w:t>
      </w:r>
      <w:r w:rsidR="006945AE">
        <w:rPr>
          <w:rFonts w:cs="Calibri"/>
          <w:color w:val="0000FF"/>
          <w:szCs w:val="24"/>
          <w:u w:val="single"/>
          <w:lang w:val="en-US" w:eastAsia="zh-CN"/>
        </w:rPr>
        <w:fldChar w:fldCharType="end"/>
      </w:r>
      <w:r w:rsidR="006D5B67" w:rsidRPr="009C6C94">
        <w:rPr>
          <w:rFonts w:cs="Calibri" w:hint="eastAsia"/>
          <w:color w:val="0000FF"/>
          <w:szCs w:val="24"/>
          <w:u w:val="single"/>
          <w:lang w:val="en-US" w:eastAsia="zh-CN"/>
        </w:rPr>
        <w:t>）</w:t>
      </w:r>
      <w:r w:rsidR="007E560B" w:rsidRPr="009C6C94">
        <w:rPr>
          <w:rFonts w:cs="Calibri" w:hint="eastAsia"/>
          <w:szCs w:val="24"/>
          <w:lang w:val="en-US" w:eastAsia="zh-CN"/>
        </w:rPr>
        <w:t>。</w:t>
      </w:r>
    </w:p>
    <w:p w14:paraId="53361CE9" w14:textId="0A65A79C" w:rsidR="00BF5456" w:rsidRPr="009C6C94" w:rsidRDefault="00BF5456" w:rsidP="00BF5456">
      <w:pPr>
        <w:tabs>
          <w:tab w:val="clear" w:pos="794"/>
          <w:tab w:val="clear" w:pos="1191"/>
          <w:tab w:val="clear" w:pos="1588"/>
          <w:tab w:val="clear" w:pos="1985"/>
        </w:tabs>
        <w:spacing w:after="120"/>
        <w:jc w:val="both"/>
        <w:rPr>
          <w:rFonts w:cs="Calibri"/>
          <w:szCs w:val="24"/>
          <w:lang w:val="en-US" w:eastAsia="zh-CN"/>
        </w:rPr>
      </w:pPr>
      <w:r w:rsidRPr="009C6C94">
        <w:rPr>
          <w:rFonts w:cs="Calibri"/>
          <w:szCs w:val="24"/>
          <w:lang w:val="en-US" w:eastAsia="zh-CN"/>
        </w:rPr>
        <w:t>3.3.2</w:t>
      </w:r>
      <w:r w:rsidRPr="009C6C94">
        <w:rPr>
          <w:rFonts w:cs="Calibri"/>
          <w:szCs w:val="24"/>
          <w:lang w:val="en-US" w:eastAsia="zh-CN"/>
        </w:rPr>
        <w:tab/>
      </w:r>
      <w:r w:rsidR="006D5B67" w:rsidRPr="009C6C94">
        <w:rPr>
          <w:rFonts w:cs="Calibri" w:hint="eastAsia"/>
          <w:szCs w:val="24"/>
          <w:lang w:val="en-US" w:eastAsia="zh-CN"/>
        </w:rPr>
        <w:t>为了减轻这些风险并支持创新，包括改善移动接入，国际电联需要将网站迁移到现代网站平台。现代平台有助于结构和功能特性的统一和标准化，可以由非技术人员维护，从而创造新的工作人员效率。新平台还将提供行业标准服务，以满足成员和其他利益相关方不断变化的期望。</w:t>
      </w:r>
    </w:p>
    <w:p w14:paraId="5DFFED8F" w14:textId="1808CD1C" w:rsidR="00BF5456" w:rsidRPr="009C6C94" w:rsidRDefault="00BF5456" w:rsidP="00BF5456">
      <w:pPr>
        <w:tabs>
          <w:tab w:val="clear" w:pos="794"/>
          <w:tab w:val="clear" w:pos="1191"/>
          <w:tab w:val="clear" w:pos="1588"/>
          <w:tab w:val="clear" w:pos="1985"/>
        </w:tabs>
        <w:spacing w:after="120"/>
        <w:jc w:val="both"/>
        <w:rPr>
          <w:rFonts w:cs="Calibri"/>
          <w:szCs w:val="24"/>
          <w:lang w:val="en-US" w:eastAsia="zh-CN"/>
        </w:rPr>
      </w:pPr>
      <w:r w:rsidRPr="009C6C94">
        <w:rPr>
          <w:rFonts w:cs="Calibri"/>
          <w:szCs w:val="24"/>
          <w:lang w:val="en-US" w:eastAsia="zh-CN"/>
        </w:rPr>
        <w:t>3.3.3</w:t>
      </w:r>
      <w:r w:rsidRPr="009C6C94">
        <w:rPr>
          <w:rFonts w:cs="Calibri"/>
          <w:szCs w:val="24"/>
          <w:lang w:val="en-US" w:eastAsia="zh-CN"/>
        </w:rPr>
        <w:tab/>
      </w:r>
      <w:r w:rsidRPr="009C6C94">
        <w:rPr>
          <w:rFonts w:cs="Calibri" w:hint="eastAsia"/>
          <w:szCs w:val="24"/>
          <w:lang w:val="en-US" w:eastAsia="zh-CN"/>
        </w:rPr>
        <w:t>为了支持向新平台的迁移，最初估计需要在三年内</w:t>
      </w:r>
      <w:r w:rsidR="006D5B67" w:rsidRPr="009C6C94">
        <w:rPr>
          <w:rFonts w:cs="Calibri" w:hint="eastAsia"/>
          <w:szCs w:val="24"/>
          <w:lang w:val="en-US" w:eastAsia="zh-CN"/>
        </w:rPr>
        <w:t>投资</w:t>
      </w:r>
      <w:r w:rsidRPr="009C6C94">
        <w:rPr>
          <w:rFonts w:cs="Calibri" w:hint="eastAsia"/>
          <w:szCs w:val="24"/>
          <w:lang w:val="en-US" w:eastAsia="zh-CN"/>
        </w:rPr>
        <w:t>200</w:t>
      </w:r>
      <w:r w:rsidRPr="009C6C94">
        <w:rPr>
          <w:rFonts w:cs="Calibri" w:hint="eastAsia"/>
          <w:szCs w:val="24"/>
          <w:lang w:val="en-US" w:eastAsia="zh-CN"/>
        </w:rPr>
        <w:t>万瑞郎。</w:t>
      </w:r>
    </w:p>
    <w:p w14:paraId="541040F9" w14:textId="6E6CCF5E" w:rsidR="00BF5456" w:rsidRPr="009C6C94" w:rsidRDefault="00BF5456" w:rsidP="00BF5456">
      <w:pPr>
        <w:pStyle w:val="PlainText"/>
        <w:spacing w:before="360" w:after="120"/>
        <w:jc w:val="both"/>
        <w:rPr>
          <w:rFonts w:eastAsia="SimSun"/>
          <w:szCs w:val="24"/>
          <w:lang w:val="en" w:eastAsia="zh-CN"/>
        </w:rPr>
      </w:pPr>
      <w:r w:rsidRPr="009C6C94">
        <w:rPr>
          <w:rFonts w:eastAsia="SimSun"/>
          <w:b/>
          <w:bCs/>
          <w:szCs w:val="24"/>
          <w:lang w:val="en" w:eastAsia="zh-CN"/>
        </w:rPr>
        <w:t>4</w:t>
      </w:r>
      <w:r w:rsidR="009C6C94">
        <w:rPr>
          <w:rFonts w:eastAsia="SimSun"/>
          <w:b/>
          <w:bCs/>
          <w:szCs w:val="24"/>
          <w:lang w:val="en" w:eastAsia="zh-CN"/>
        </w:rPr>
        <w:tab/>
      </w:r>
      <w:r w:rsidR="00942D05" w:rsidRPr="009C6C94">
        <w:rPr>
          <w:rFonts w:eastAsia="SimSun" w:hint="eastAsia"/>
          <w:b/>
          <w:bCs/>
          <w:szCs w:val="24"/>
          <w:lang w:eastAsia="zh-CN"/>
        </w:rPr>
        <w:t>结论</w:t>
      </w:r>
    </w:p>
    <w:p w14:paraId="0E99813A" w14:textId="12E18F00" w:rsidR="00BF5456" w:rsidRPr="009C6C94" w:rsidRDefault="0049067E" w:rsidP="0079183C">
      <w:pPr>
        <w:pStyle w:val="PlainText"/>
        <w:spacing w:before="120" w:after="120"/>
        <w:ind w:firstLineChars="200" w:firstLine="480"/>
        <w:jc w:val="both"/>
        <w:rPr>
          <w:rFonts w:eastAsia="SimSun"/>
          <w:szCs w:val="24"/>
          <w:lang w:eastAsia="zh-CN"/>
        </w:rPr>
      </w:pPr>
      <w:r w:rsidRPr="009C6C94">
        <w:rPr>
          <w:rFonts w:eastAsia="SimSun" w:hint="eastAsia"/>
          <w:szCs w:val="24"/>
          <w:lang w:val="en-US" w:eastAsia="zh-CN"/>
        </w:rPr>
        <w:t>国际电联的信息基础设施需要紧急升级和投资，这样才能使其继续有的放矢和安全可用，满足国际电联工作人员、成员和其他利益攸关方不断变化的需求，更好地满足未来业务连续性和灾后恢复需求，并为未来国际电联总部办公楼的新工作环境做好准备。</w:t>
      </w:r>
    </w:p>
    <w:p w14:paraId="31FF4FB5" w14:textId="0481EB24" w:rsidR="00BF5456" w:rsidRPr="009C6C94" w:rsidRDefault="0049067E" w:rsidP="0079183C">
      <w:pPr>
        <w:pStyle w:val="PlainText"/>
        <w:spacing w:before="120" w:after="120"/>
        <w:ind w:firstLineChars="200" w:firstLine="480"/>
        <w:jc w:val="both"/>
        <w:rPr>
          <w:rFonts w:eastAsia="SimSun"/>
          <w:szCs w:val="24"/>
          <w:lang w:eastAsia="zh-CN"/>
        </w:rPr>
      </w:pPr>
      <w:r w:rsidRPr="009C6C94">
        <w:rPr>
          <w:rFonts w:eastAsia="SimSun" w:hint="eastAsia"/>
          <w:szCs w:val="24"/>
          <w:lang w:val="en-US" w:eastAsia="zh-CN"/>
        </w:rPr>
        <w:t>请理事会注意到本报告及其所述投资请求，并就今后的筹资方式提出意见和建议。</w:t>
      </w:r>
    </w:p>
    <w:p w14:paraId="2AA1B117" w14:textId="49DBD6D0" w:rsidR="00BF5456" w:rsidRPr="009C6C94" w:rsidRDefault="0049067E" w:rsidP="0079183C">
      <w:pPr>
        <w:pStyle w:val="PlainText"/>
        <w:spacing w:before="120" w:after="120"/>
        <w:ind w:firstLineChars="200" w:firstLine="480"/>
        <w:jc w:val="both"/>
        <w:rPr>
          <w:rFonts w:eastAsia="SimSun"/>
          <w:szCs w:val="24"/>
          <w:lang w:val="en-US" w:eastAsia="zh-CN"/>
        </w:rPr>
      </w:pPr>
      <w:r w:rsidRPr="009C6C94">
        <w:rPr>
          <w:rFonts w:eastAsia="SimSun" w:hint="eastAsia"/>
          <w:szCs w:val="24"/>
          <w:lang w:val="en-US" w:eastAsia="zh-CN"/>
        </w:rPr>
        <w:t>预计未来五年内的投资资金需求将达到</w:t>
      </w:r>
      <w:r w:rsidRPr="009C6C94">
        <w:rPr>
          <w:rFonts w:eastAsia="SimSun" w:hint="eastAsia"/>
          <w:szCs w:val="24"/>
          <w:lang w:val="en-US" w:eastAsia="zh-CN"/>
        </w:rPr>
        <w:t>1300</w:t>
      </w:r>
      <w:proofErr w:type="gramStart"/>
      <w:r w:rsidRPr="009C6C94">
        <w:rPr>
          <w:rFonts w:eastAsia="SimSun" w:hint="eastAsia"/>
          <w:szCs w:val="24"/>
          <w:lang w:val="en-US" w:eastAsia="zh-CN"/>
        </w:rPr>
        <w:t>万瑞</w:t>
      </w:r>
      <w:proofErr w:type="gramEnd"/>
      <w:r w:rsidRPr="009C6C94">
        <w:rPr>
          <w:rFonts w:eastAsia="SimSun" w:hint="eastAsia"/>
          <w:szCs w:val="24"/>
          <w:lang w:val="en-US" w:eastAsia="zh-CN"/>
        </w:rPr>
        <w:t>郎，具体如下：</w:t>
      </w:r>
    </w:p>
    <w:p w14:paraId="18138D22" w14:textId="4356180D" w:rsidR="00BF5456" w:rsidRPr="009C6C94" w:rsidRDefault="0079183C" w:rsidP="0079183C">
      <w:pPr>
        <w:pStyle w:val="enumlev2"/>
        <w:rPr>
          <w:lang w:val="en-US" w:eastAsia="zh-CN"/>
        </w:rPr>
      </w:pPr>
      <w:r>
        <w:rPr>
          <w:rFonts w:hint="eastAsia"/>
          <w:lang w:val="en-US" w:eastAsia="zh-CN"/>
        </w:rPr>
        <w:lastRenderedPageBreak/>
        <w:t>1</w:t>
      </w:r>
      <w:r>
        <w:rPr>
          <w:lang w:val="en-US" w:eastAsia="zh-CN"/>
        </w:rPr>
        <w:t>)</w:t>
      </w:r>
      <w:r>
        <w:rPr>
          <w:lang w:val="en-US" w:eastAsia="zh-CN"/>
        </w:rPr>
        <w:tab/>
      </w:r>
      <w:r w:rsidR="0049067E" w:rsidRPr="009C6C94">
        <w:rPr>
          <w:rFonts w:hint="eastAsia"/>
          <w:lang w:val="en-US" w:eastAsia="zh-CN"/>
        </w:rPr>
        <w:t>信息和记录管理，</w:t>
      </w:r>
      <w:r w:rsidR="0049067E" w:rsidRPr="009C6C94">
        <w:rPr>
          <w:rFonts w:hint="eastAsia"/>
          <w:lang w:val="en-US" w:eastAsia="zh-CN"/>
        </w:rPr>
        <w:t>5</w:t>
      </w:r>
      <w:r w:rsidR="0049067E" w:rsidRPr="009C6C94">
        <w:rPr>
          <w:rFonts w:hint="eastAsia"/>
          <w:lang w:val="en-US" w:eastAsia="zh-CN"/>
        </w:rPr>
        <w:t>年内的估算费用为</w:t>
      </w:r>
      <w:r w:rsidR="0049067E" w:rsidRPr="009C6C94">
        <w:rPr>
          <w:rFonts w:hint="eastAsia"/>
          <w:lang w:val="en-US" w:eastAsia="zh-CN"/>
        </w:rPr>
        <w:t>800</w:t>
      </w:r>
      <w:r w:rsidR="0049067E" w:rsidRPr="009C6C94">
        <w:rPr>
          <w:rFonts w:hint="eastAsia"/>
          <w:lang w:val="en-US" w:eastAsia="zh-CN"/>
        </w:rPr>
        <w:t>万瑞郎</w:t>
      </w:r>
    </w:p>
    <w:p w14:paraId="292E10ED" w14:textId="58E58AA1" w:rsidR="004904EC" w:rsidRPr="009C6C94" w:rsidRDefault="0079183C" w:rsidP="0079183C">
      <w:pPr>
        <w:pStyle w:val="enumlev2"/>
        <w:rPr>
          <w:lang w:val="en-US" w:eastAsia="zh-CN"/>
        </w:rPr>
      </w:pPr>
      <w:r>
        <w:rPr>
          <w:rFonts w:hint="eastAsia"/>
          <w:lang w:val="en-US" w:eastAsia="zh-CN"/>
        </w:rPr>
        <w:t>2</w:t>
      </w:r>
      <w:r>
        <w:rPr>
          <w:lang w:val="en-US" w:eastAsia="zh-CN"/>
        </w:rPr>
        <w:t>)</w:t>
      </w:r>
      <w:r>
        <w:rPr>
          <w:lang w:val="en-US" w:eastAsia="zh-CN"/>
        </w:rPr>
        <w:tab/>
      </w:r>
      <w:r w:rsidR="0049067E" w:rsidRPr="009C6C94">
        <w:rPr>
          <w:rFonts w:hint="eastAsia"/>
          <w:lang w:val="en-US" w:eastAsia="zh-CN"/>
        </w:rPr>
        <w:t>国际电联的信息技术工作工具，未来四年内的估算费用为</w:t>
      </w:r>
      <w:r w:rsidR="0049067E" w:rsidRPr="009C6C94">
        <w:rPr>
          <w:rFonts w:hint="eastAsia"/>
          <w:lang w:val="en-US" w:eastAsia="zh-CN"/>
        </w:rPr>
        <w:t>300</w:t>
      </w:r>
      <w:r w:rsidR="0049067E" w:rsidRPr="009C6C94">
        <w:rPr>
          <w:rFonts w:hint="eastAsia"/>
          <w:lang w:val="en-US" w:eastAsia="zh-CN"/>
        </w:rPr>
        <w:t>万</w:t>
      </w:r>
      <w:r w:rsidR="004904EC" w:rsidRPr="009C6C94">
        <w:rPr>
          <w:rFonts w:hint="eastAsia"/>
          <w:lang w:val="en-US" w:eastAsia="zh-CN"/>
        </w:rPr>
        <w:t>瑞郎（</w:t>
      </w:r>
      <w:r w:rsidR="0049067E" w:rsidRPr="009C6C94">
        <w:rPr>
          <w:rFonts w:hint="eastAsia"/>
          <w:lang w:val="en-US" w:eastAsia="zh-CN"/>
        </w:rPr>
        <w:t>包括</w:t>
      </w:r>
      <w:r w:rsidR="004904EC" w:rsidRPr="009C6C94">
        <w:rPr>
          <w:rFonts w:hint="eastAsia"/>
          <w:lang w:val="en-US" w:eastAsia="zh-CN"/>
        </w:rPr>
        <w:t>待定的用于</w:t>
      </w:r>
      <w:r w:rsidR="004904EC" w:rsidRPr="009C6C94">
        <w:rPr>
          <w:lang w:val="en-US" w:eastAsia="zh-CN"/>
        </w:rPr>
        <w:t>ERP/CRM</w:t>
      </w:r>
      <w:r w:rsidR="004904EC" w:rsidRPr="009C6C94">
        <w:rPr>
          <w:rFonts w:hint="eastAsia"/>
          <w:lang w:val="en-US" w:eastAsia="zh-CN"/>
        </w:rPr>
        <w:t>的</w:t>
      </w:r>
      <w:r w:rsidR="0049067E" w:rsidRPr="009C6C94">
        <w:rPr>
          <w:rFonts w:hint="eastAsia"/>
          <w:lang w:val="en-US" w:eastAsia="zh-CN"/>
        </w:rPr>
        <w:t>200</w:t>
      </w:r>
      <w:r w:rsidR="0049067E" w:rsidRPr="009C6C94">
        <w:rPr>
          <w:rFonts w:hint="eastAsia"/>
          <w:lang w:val="en-US" w:eastAsia="zh-CN"/>
        </w:rPr>
        <w:t>万</w:t>
      </w:r>
      <w:r w:rsidR="004904EC" w:rsidRPr="009C6C94">
        <w:rPr>
          <w:rFonts w:hint="eastAsia"/>
          <w:lang w:val="en-US" w:eastAsia="zh-CN"/>
        </w:rPr>
        <w:t>瑞郎）</w:t>
      </w:r>
    </w:p>
    <w:p w14:paraId="619E97D7" w14:textId="79042F81" w:rsidR="00BF5456" w:rsidRPr="004904EC" w:rsidRDefault="0079183C" w:rsidP="0079183C">
      <w:pPr>
        <w:pStyle w:val="enumlev2"/>
        <w:rPr>
          <w:rFonts w:asciiTheme="minorHAnsi" w:eastAsiaTheme="minorEastAsia" w:hAnsiTheme="minorHAnsi" w:cstheme="minorHAnsi"/>
          <w:lang w:val="en-US" w:eastAsia="zh-CN"/>
        </w:rPr>
      </w:pPr>
      <w:r>
        <w:rPr>
          <w:rFonts w:hint="eastAsia"/>
          <w:lang w:val="en-US" w:eastAsia="zh-CN"/>
        </w:rPr>
        <w:t>3</w:t>
      </w:r>
      <w:r>
        <w:rPr>
          <w:lang w:val="en-US" w:eastAsia="zh-CN"/>
        </w:rPr>
        <w:t>)</w:t>
      </w:r>
      <w:r>
        <w:rPr>
          <w:lang w:val="en-US" w:eastAsia="zh-CN"/>
        </w:rPr>
        <w:tab/>
      </w:r>
      <w:r w:rsidR="004904EC" w:rsidRPr="009C6C94">
        <w:rPr>
          <w:rFonts w:hint="eastAsia"/>
          <w:lang w:val="en-US" w:eastAsia="zh-CN"/>
        </w:rPr>
        <w:t>通信</w:t>
      </w:r>
      <w:r w:rsidR="004904EC" w:rsidRPr="009C6C94">
        <w:rPr>
          <w:rFonts w:hint="eastAsia"/>
          <w:lang w:val="en-US" w:eastAsia="zh-CN"/>
        </w:rPr>
        <w:t>/</w:t>
      </w:r>
      <w:r w:rsidR="004904EC" w:rsidRPr="009C6C94">
        <w:rPr>
          <w:rFonts w:hint="eastAsia"/>
          <w:lang w:val="en-US" w:eastAsia="zh-CN"/>
        </w:rPr>
        <w:t>新的网络平台在三年期间内的估算费用为</w:t>
      </w:r>
      <w:r w:rsidR="004904EC" w:rsidRPr="009C6C94">
        <w:rPr>
          <w:rFonts w:hint="eastAsia"/>
          <w:lang w:val="en-US" w:eastAsia="zh-CN"/>
        </w:rPr>
        <w:t>200</w:t>
      </w:r>
      <w:r w:rsidR="004904EC" w:rsidRPr="009C6C94">
        <w:rPr>
          <w:rFonts w:hint="eastAsia"/>
          <w:lang w:val="en-US" w:eastAsia="zh-CN"/>
        </w:rPr>
        <w:t>万瑞郎。</w:t>
      </w:r>
    </w:p>
    <w:p w14:paraId="1057C31B" w14:textId="77777777" w:rsidR="00BF5456" w:rsidRPr="004904EC" w:rsidRDefault="00BF5456" w:rsidP="002317AC">
      <w:pPr>
        <w:rPr>
          <w:rFonts w:asciiTheme="minorHAnsi" w:eastAsiaTheme="minorEastAsia" w:hAnsiTheme="minorHAnsi" w:cstheme="minorHAnsi"/>
          <w:szCs w:val="24"/>
          <w:lang w:val="en-US" w:eastAsia="zh-CN"/>
        </w:rPr>
      </w:pPr>
    </w:p>
    <w:bookmarkEnd w:id="6"/>
    <w:p w14:paraId="5F66111E" w14:textId="5C0DD87B" w:rsidR="009A542C" w:rsidRPr="00123ECA" w:rsidRDefault="009A542C" w:rsidP="009A542C">
      <w:pPr>
        <w:snapToGrid w:val="0"/>
        <w:spacing w:before="840"/>
        <w:jc w:val="center"/>
        <w:rPr>
          <w:szCs w:val="24"/>
        </w:rPr>
      </w:pPr>
      <w:r>
        <w:rPr>
          <w:szCs w:val="24"/>
        </w:rPr>
        <w:t>__________________</w:t>
      </w:r>
    </w:p>
    <w:p w14:paraId="3AB371D7" w14:textId="5C24A249" w:rsidR="00195FED" w:rsidRDefault="00195FED" w:rsidP="00B45365">
      <w:pPr>
        <w:pStyle w:val="ListParagraph"/>
        <w:jc w:val="center"/>
        <w:rPr>
          <w:lang w:eastAsia="zh-CN"/>
        </w:rPr>
      </w:pP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F320E" w14:textId="77777777" w:rsidR="001A67B8" w:rsidRDefault="001A67B8">
      <w:r>
        <w:separator/>
      </w:r>
    </w:p>
  </w:endnote>
  <w:endnote w:type="continuationSeparator" w:id="0">
    <w:p w14:paraId="0AFD4EF7" w14:textId="77777777" w:rsidR="001A67B8" w:rsidRDefault="001A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DBA3" w14:textId="2E284CF9" w:rsidR="00B40A53" w:rsidRPr="004E4BFF" w:rsidRDefault="0079183C" w:rsidP="00F705DF">
    <w:pPr>
      <w:pStyle w:val="Footer"/>
    </w:pPr>
    <w:r w:rsidRPr="006945AE">
      <w:rPr>
        <w:color w:val="BFBFBF" w:themeColor="background1" w:themeShade="BF"/>
      </w:rPr>
      <w:fldChar w:fldCharType="begin"/>
    </w:r>
    <w:r w:rsidRPr="006945AE">
      <w:rPr>
        <w:color w:val="BFBFBF" w:themeColor="background1" w:themeShade="BF"/>
      </w:rPr>
      <w:instrText xml:space="preserve"> FILENAME \p  \* MERGEFORMAT </w:instrText>
    </w:r>
    <w:r w:rsidRPr="006945AE">
      <w:rPr>
        <w:color w:val="BFBFBF" w:themeColor="background1" w:themeShade="BF"/>
      </w:rPr>
      <w:fldChar w:fldCharType="separate"/>
    </w:r>
    <w:r w:rsidRPr="006945AE">
      <w:rPr>
        <w:color w:val="BFBFBF" w:themeColor="background1" w:themeShade="BF"/>
      </w:rPr>
      <w:t>P:\CHI\SG\CONSEIL\C20\000\053C.docx</w:t>
    </w:r>
    <w:r w:rsidRPr="006945AE">
      <w:rPr>
        <w:color w:val="BFBFBF" w:themeColor="background1" w:themeShade="BF"/>
      </w:rPr>
      <w:fldChar w:fldCharType="end"/>
    </w:r>
    <w:r w:rsidR="004E4BFF" w:rsidRPr="006945AE">
      <w:rPr>
        <w:color w:val="BFBFBF" w:themeColor="background1" w:themeShade="BF"/>
      </w:rPr>
      <w:t xml:space="preserve"> (</w:t>
    </w:r>
    <w:r w:rsidR="00F10A59" w:rsidRPr="006945AE">
      <w:rPr>
        <w:color w:val="BFBFBF" w:themeColor="background1" w:themeShade="BF"/>
      </w:rPr>
      <w:t>4</w:t>
    </w:r>
    <w:r w:rsidRPr="006945AE">
      <w:rPr>
        <w:color w:val="BFBFBF" w:themeColor="background1" w:themeShade="BF"/>
      </w:rPr>
      <w:t>67365</w:t>
    </w:r>
    <w:r w:rsidR="004E4BFF" w:rsidRPr="006945AE">
      <w:rPr>
        <w:color w:val="BFBFBF" w:themeColor="background1" w:themeShade="BF"/>
      </w:rPr>
      <w:t>)</w:t>
    </w:r>
    <w:r w:rsidR="004E4BF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3D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7DBB1DCB" w14:textId="249ADDB9" w:rsidR="00B40A53" w:rsidRDefault="003C4D62" w:rsidP="003C4D6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CB9E" w14:textId="77777777" w:rsidR="001A67B8" w:rsidRDefault="001A67B8">
      <w:r>
        <w:t>____________________</w:t>
      </w:r>
    </w:p>
  </w:footnote>
  <w:footnote w:type="continuationSeparator" w:id="0">
    <w:p w14:paraId="3206C439" w14:textId="77777777" w:rsidR="001A67B8" w:rsidRDefault="001A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5FF8C" w14:textId="5752FD8F" w:rsidR="00AC516F" w:rsidRDefault="00AC516F" w:rsidP="00CE6F22">
    <w:pPr>
      <w:pStyle w:val="Header"/>
    </w:pPr>
    <w:r>
      <w:fldChar w:fldCharType="begin"/>
    </w:r>
    <w:r>
      <w:instrText>PAGE</w:instrText>
    </w:r>
    <w:r>
      <w:fldChar w:fldCharType="separate"/>
    </w:r>
    <w:r w:rsidR="00AC5BA2">
      <w:rPr>
        <w:noProof/>
      </w:rPr>
      <w:t>2</w:t>
    </w:r>
    <w:r>
      <w:rPr>
        <w:noProof/>
      </w:rPr>
      <w:fldChar w:fldCharType="end"/>
    </w:r>
  </w:p>
  <w:p w14:paraId="73D9778C" w14:textId="5FF222B3" w:rsidR="00AC516F" w:rsidRDefault="0098459B" w:rsidP="00D453EE">
    <w:pPr>
      <w:pStyle w:val="Header"/>
      <w:rPr>
        <w:lang w:eastAsia="zh-CN"/>
      </w:rPr>
    </w:pPr>
    <w:r>
      <w:t>C</w:t>
    </w:r>
    <w:r w:rsidR="0009409E">
      <w:t>20</w:t>
    </w:r>
    <w:r w:rsidR="004672E6">
      <w:t>/</w:t>
    </w:r>
    <w:r w:rsidR="00A53B07">
      <w:t>5</w:t>
    </w:r>
    <w:r w:rsidR="0079183C">
      <w:rPr>
        <w:lang w:eastAsia="zh-CN"/>
      </w:rPr>
      <w:t>3</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F551E"/>
    <w:multiLevelType w:val="hybridMultilevel"/>
    <w:tmpl w:val="FFFFFFFF"/>
    <w:lvl w:ilvl="0" w:tplc="40207718">
      <w:start w:val="1"/>
      <w:numFmt w:val="bullet"/>
      <w:lvlText w:val=""/>
      <w:lvlJc w:val="left"/>
      <w:pPr>
        <w:ind w:left="720" w:hanging="360"/>
      </w:pPr>
      <w:rPr>
        <w:rFonts w:ascii="Symbol" w:hAnsi="Symbol" w:hint="default"/>
      </w:rPr>
    </w:lvl>
    <w:lvl w:ilvl="1" w:tplc="5510A4E6">
      <w:start w:val="1"/>
      <w:numFmt w:val="bullet"/>
      <w:lvlText w:val=""/>
      <w:lvlJc w:val="left"/>
      <w:pPr>
        <w:ind w:left="1440" w:hanging="360"/>
      </w:pPr>
      <w:rPr>
        <w:rFonts w:ascii="Symbol" w:hAnsi="Symbol" w:hint="default"/>
      </w:rPr>
    </w:lvl>
    <w:lvl w:ilvl="2" w:tplc="73B6671A">
      <w:start w:val="1"/>
      <w:numFmt w:val="bullet"/>
      <w:lvlText w:val=""/>
      <w:lvlJc w:val="left"/>
      <w:pPr>
        <w:ind w:left="2160" w:hanging="360"/>
      </w:pPr>
      <w:rPr>
        <w:rFonts w:ascii="Wingdings" w:hAnsi="Wingdings" w:hint="default"/>
      </w:rPr>
    </w:lvl>
    <w:lvl w:ilvl="3" w:tplc="DB3409BC">
      <w:start w:val="1"/>
      <w:numFmt w:val="bullet"/>
      <w:lvlText w:val=""/>
      <w:lvlJc w:val="left"/>
      <w:pPr>
        <w:ind w:left="2880" w:hanging="360"/>
      </w:pPr>
      <w:rPr>
        <w:rFonts w:ascii="Symbol" w:hAnsi="Symbol" w:hint="default"/>
      </w:rPr>
    </w:lvl>
    <w:lvl w:ilvl="4" w:tplc="CCE64CD2">
      <w:start w:val="1"/>
      <w:numFmt w:val="bullet"/>
      <w:lvlText w:val="o"/>
      <w:lvlJc w:val="left"/>
      <w:pPr>
        <w:ind w:left="3600" w:hanging="360"/>
      </w:pPr>
      <w:rPr>
        <w:rFonts w:ascii="Courier New" w:hAnsi="Courier New" w:hint="default"/>
      </w:rPr>
    </w:lvl>
    <w:lvl w:ilvl="5" w:tplc="8E42FAEC">
      <w:start w:val="1"/>
      <w:numFmt w:val="bullet"/>
      <w:lvlText w:val=""/>
      <w:lvlJc w:val="left"/>
      <w:pPr>
        <w:ind w:left="4320" w:hanging="360"/>
      </w:pPr>
      <w:rPr>
        <w:rFonts w:ascii="Wingdings" w:hAnsi="Wingdings" w:hint="default"/>
      </w:rPr>
    </w:lvl>
    <w:lvl w:ilvl="6" w:tplc="FC06210A">
      <w:start w:val="1"/>
      <w:numFmt w:val="bullet"/>
      <w:lvlText w:val=""/>
      <w:lvlJc w:val="left"/>
      <w:pPr>
        <w:ind w:left="5040" w:hanging="360"/>
      </w:pPr>
      <w:rPr>
        <w:rFonts w:ascii="Symbol" w:hAnsi="Symbol" w:hint="default"/>
      </w:rPr>
    </w:lvl>
    <w:lvl w:ilvl="7" w:tplc="F4E80AEE">
      <w:start w:val="1"/>
      <w:numFmt w:val="bullet"/>
      <w:lvlText w:val="o"/>
      <w:lvlJc w:val="left"/>
      <w:pPr>
        <w:ind w:left="5760" w:hanging="360"/>
      </w:pPr>
      <w:rPr>
        <w:rFonts w:ascii="Courier New" w:hAnsi="Courier New" w:hint="default"/>
      </w:rPr>
    </w:lvl>
    <w:lvl w:ilvl="8" w:tplc="A8344F02">
      <w:start w:val="1"/>
      <w:numFmt w:val="bullet"/>
      <w:lvlText w:val=""/>
      <w:lvlJc w:val="left"/>
      <w:pPr>
        <w:ind w:left="6480" w:hanging="360"/>
      </w:pPr>
      <w:rPr>
        <w:rFonts w:ascii="Wingdings" w:hAnsi="Wingdings" w:hint="default"/>
      </w:rPr>
    </w:lvl>
  </w:abstractNum>
  <w:abstractNum w:abstractNumId="2" w15:restartNumberingAfterBreak="0">
    <w:nsid w:val="141F2920"/>
    <w:multiLevelType w:val="hybridMultilevel"/>
    <w:tmpl w:val="FFFFFFFF"/>
    <w:lvl w:ilvl="0" w:tplc="FFFFFFFF">
      <w:start w:val="1"/>
      <w:numFmt w:val="bullet"/>
      <w:lvlText w:val=""/>
      <w:lvlJc w:val="left"/>
      <w:pPr>
        <w:ind w:left="720" w:hanging="360"/>
      </w:pPr>
      <w:rPr>
        <w:rFonts w:ascii="Symbol" w:hAnsi="Symbol" w:hint="default"/>
      </w:rPr>
    </w:lvl>
    <w:lvl w:ilvl="1" w:tplc="AEDE291C">
      <w:start w:val="1"/>
      <w:numFmt w:val="bullet"/>
      <w:lvlText w:val="o"/>
      <w:lvlJc w:val="left"/>
      <w:pPr>
        <w:ind w:left="1440" w:hanging="360"/>
      </w:pPr>
      <w:rPr>
        <w:rFonts w:ascii="Courier New" w:hAnsi="Courier New" w:hint="default"/>
      </w:rPr>
    </w:lvl>
    <w:lvl w:ilvl="2" w:tplc="64AA22C2">
      <w:start w:val="1"/>
      <w:numFmt w:val="bullet"/>
      <w:lvlText w:val=""/>
      <w:lvlJc w:val="left"/>
      <w:pPr>
        <w:ind w:left="2160" w:hanging="360"/>
      </w:pPr>
      <w:rPr>
        <w:rFonts w:ascii="Wingdings" w:hAnsi="Wingdings" w:hint="default"/>
      </w:rPr>
    </w:lvl>
    <w:lvl w:ilvl="3" w:tplc="E898B692">
      <w:start w:val="1"/>
      <w:numFmt w:val="bullet"/>
      <w:lvlText w:val=""/>
      <w:lvlJc w:val="left"/>
      <w:pPr>
        <w:ind w:left="2880" w:hanging="360"/>
      </w:pPr>
      <w:rPr>
        <w:rFonts w:ascii="Symbol" w:hAnsi="Symbol" w:hint="default"/>
      </w:rPr>
    </w:lvl>
    <w:lvl w:ilvl="4" w:tplc="873C9DE4">
      <w:start w:val="1"/>
      <w:numFmt w:val="bullet"/>
      <w:lvlText w:val="o"/>
      <w:lvlJc w:val="left"/>
      <w:pPr>
        <w:ind w:left="3600" w:hanging="360"/>
      </w:pPr>
      <w:rPr>
        <w:rFonts w:ascii="Courier New" w:hAnsi="Courier New" w:hint="default"/>
      </w:rPr>
    </w:lvl>
    <w:lvl w:ilvl="5" w:tplc="A0F0C9D2">
      <w:start w:val="1"/>
      <w:numFmt w:val="bullet"/>
      <w:lvlText w:val=""/>
      <w:lvlJc w:val="left"/>
      <w:pPr>
        <w:ind w:left="4320" w:hanging="360"/>
      </w:pPr>
      <w:rPr>
        <w:rFonts w:ascii="Wingdings" w:hAnsi="Wingdings" w:hint="default"/>
      </w:rPr>
    </w:lvl>
    <w:lvl w:ilvl="6" w:tplc="F2F072CE">
      <w:start w:val="1"/>
      <w:numFmt w:val="bullet"/>
      <w:lvlText w:val=""/>
      <w:lvlJc w:val="left"/>
      <w:pPr>
        <w:ind w:left="5040" w:hanging="360"/>
      </w:pPr>
      <w:rPr>
        <w:rFonts w:ascii="Symbol" w:hAnsi="Symbol" w:hint="default"/>
      </w:rPr>
    </w:lvl>
    <w:lvl w:ilvl="7" w:tplc="BCF0C8A6">
      <w:start w:val="1"/>
      <w:numFmt w:val="bullet"/>
      <w:lvlText w:val="o"/>
      <w:lvlJc w:val="left"/>
      <w:pPr>
        <w:ind w:left="5760" w:hanging="360"/>
      </w:pPr>
      <w:rPr>
        <w:rFonts w:ascii="Courier New" w:hAnsi="Courier New" w:hint="default"/>
      </w:rPr>
    </w:lvl>
    <w:lvl w:ilvl="8" w:tplc="24588FE0">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112F7"/>
    <w:multiLevelType w:val="hybridMultilevel"/>
    <w:tmpl w:val="8F8C8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C049E0"/>
    <w:multiLevelType w:val="hybridMultilevel"/>
    <w:tmpl w:val="C310B5E2"/>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47333F12"/>
    <w:multiLevelType w:val="hybridMultilevel"/>
    <w:tmpl w:val="983EF7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03715"/>
    <w:multiLevelType w:val="hybridMultilevel"/>
    <w:tmpl w:val="D15A1E20"/>
    <w:lvl w:ilvl="0" w:tplc="66D6BB58">
      <w:start w:val="1"/>
      <w:numFmt w:val="upperRoman"/>
      <w:lvlText w:val="%1."/>
      <w:lvlJc w:val="right"/>
      <w:pPr>
        <w:ind w:left="360" w:hanging="360"/>
      </w:pPr>
    </w:lvl>
    <w:lvl w:ilvl="1" w:tplc="99AAB338">
      <w:start w:val="1"/>
      <w:numFmt w:val="lowerLetter"/>
      <w:lvlText w:val="%2."/>
      <w:lvlJc w:val="left"/>
      <w:pPr>
        <w:ind w:left="1080" w:hanging="360"/>
      </w:pPr>
      <w:rPr>
        <w:b/>
        <w:bCs/>
        <w:i/>
        <w:iCs/>
      </w:rPr>
    </w:lvl>
    <w:lvl w:ilvl="2" w:tplc="EF68213C">
      <w:start w:val="1"/>
      <w:numFmt w:val="lowerRoman"/>
      <w:lvlText w:val="%3."/>
      <w:lvlJc w:val="right"/>
      <w:pPr>
        <w:ind w:left="1800" w:hanging="180"/>
      </w:pPr>
    </w:lvl>
    <w:lvl w:ilvl="3" w:tplc="71F8B394">
      <w:start w:val="1"/>
      <w:numFmt w:val="decimal"/>
      <w:lvlText w:val="%4."/>
      <w:lvlJc w:val="left"/>
      <w:pPr>
        <w:ind w:left="2520" w:hanging="360"/>
      </w:pPr>
    </w:lvl>
    <w:lvl w:ilvl="4" w:tplc="A1AE1406" w:tentative="1">
      <w:start w:val="1"/>
      <w:numFmt w:val="lowerLetter"/>
      <w:lvlText w:val="%5."/>
      <w:lvlJc w:val="left"/>
      <w:pPr>
        <w:ind w:left="3240" w:hanging="360"/>
      </w:pPr>
    </w:lvl>
    <w:lvl w:ilvl="5" w:tplc="890E6834" w:tentative="1">
      <w:start w:val="1"/>
      <w:numFmt w:val="lowerRoman"/>
      <w:lvlText w:val="%6."/>
      <w:lvlJc w:val="right"/>
      <w:pPr>
        <w:ind w:left="3960" w:hanging="180"/>
      </w:pPr>
    </w:lvl>
    <w:lvl w:ilvl="6" w:tplc="02C81594" w:tentative="1">
      <w:start w:val="1"/>
      <w:numFmt w:val="decimal"/>
      <w:lvlText w:val="%7."/>
      <w:lvlJc w:val="left"/>
      <w:pPr>
        <w:ind w:left="4680" w:hanging="360"/>
      </w:pPr>
    </w:lvl>
    <w:lvl w:ilvl="7" w:tplc="11B242B6" w:tentative="1">
      <w:start w:val="1"/>
      <w:numFmt w:val="lowerLetter"/>
      <w:lvlText w:val="%8."/>
      <w:lvlJc w:val="left"/>
      <w:pPr>
        <w:ind w:left="5400" w:hanging="360"/>
      </w:pPr>
    </w:lvl>
    <w:lvl w:ilvl="8" w:tplc="BD5C073A" w:tentative="1">
      <w:start w:val="1"/>
      <w:numFmt w:val="lowerRoman"/>
      <w:lvlText w:val="%9."/>
      <w:lvlJc w:val="right"/>
      <w:pPr>
        <w:ind w:left="6120" w:hanging="180"/>
      </w:pPr>
    </w:lvl>
  </w:abstractNum>
  <w:abstractNum w:abstractNumId="10" w15:restartNumberingAfterBreak="0">
    <w:nsid w:val="61721C50"/>
    <w:multiLevelType w:val="hybridMultilevel"/>
    <w:tmpl w:val="ECC25184"/>
    <w:lvl w:ilvl="0" w:tplc="B77470FC">
      <w:start w:val="1"/>
      <w:numFmt w:val="decimal"/>
      <w:lvlText w:val="%1."/>
      <w:lvlJc w:val="left"/>
      <w:pPr>
        <w:ind w:left="360" w:hanging="360"/>
      </w:pPr>
    </w:lvl>
    <w:lvl w:ilvl="1" w:tplc="F9A24F9A">
      <w:start w:val="1"/>
      <w:numFmt w:val="lowerLetter"/>
      <w:lvlText w:val="%2."/>
      <w:lvlJc w:val="left"/>
      <w:pPr>
        <w:ind w:left="1080" w:hanging="360"/>
      </w:pPr>
    </w:lvl>
    <w:lvl w:ilvl="2" w:tplc="24A40B0A">
      <w:start w:val="1"/>
      <w:numFmt w:val="bullet"/>
      <w:lvlText w:val=""/>
      <w:lvlJc w:val="left"/>
      <w:pPr>
        <w:ind w:left="1800" w:hanging="180"/>
      </w:pPr>
      <w:rPr>
        <w:rFonts w:ascii="Symbol" w:hAnsi="Symbol" w:hint="default"/>
      </w:rPr>
    </w:lvl>
    <w:lvl w:ilvl="3" w:tplc="EE20DCD4" w:tentative="1">
      <w:start w:val="1"/>
      <w:numFmt w:val="decimal"/>
      <w:lvlText w:val="%4."/>
      <w:lvlJc w:val="left"/>
      <w:pPr>
        <w:ind w:left="2520" w:hanging="360"/>
      </w:pPr>
    </w:lvl>
    <w:lvl w:ilvl="4" w:tplc="54942E72" w:tentative="1">
      <w:start w:val="1"/>
      <w:numFmt w:val="lowerLetter"/>
      <w:lvlText w:val="%5."/>
      <w:lvlJc w:val="left"/>
      <w:pPr>
        <w:ind w:left="3240" w:hanging="360"/>
      </w:pPr>
    </w:lvl>
    <w:lvl w:ilvl="5" w:tplc="564AB642" w:tentative="1">
      <w:start w:val="1"/>
      <w:numFmt w:val="lowerRoman"/>
      <w:lvlText w:val="%6."/>
      <w:lvlJc w:val="right"/>
      <w:pPr>
        <w:ind w:left="3960" w:hanging="180"/>
      </w:pPr>
    </w:lvl>
    <w:lvl w:ilvl="6" w:tplc="83F6ED08" w:tentative="1">
      <w:start w:val="1"/>
      <w:numFmt w:val="decimal"/>
      <w:lvlText w:val="%7."/>
      <w:lvlJc w:val="left"/>
      <w:pPr>
        <w:ind w:left="4680" w:hanging="360"/>
      </w:pPr>
    </w:lvl>
    <w:lvl w:ilvl="7" w:tplc="ED3E1D9C" w:tentative="1">
      <w:start w:val="1"/>
      <w:numFmt w:val="lowerLetter"/>
      <w:lvlText w:val="%8."/>
      <w:lvlJc w:val="left"/>
      <w:pPr>
        <w:ind w:left="5400" w:hanging="360"/>
      </w:pPr>
    </w:lvl>
    <w:lvl w:ilvl="8" w:tplc="338AA136" w:tentative="1">
      <w:start w:val="1"/>
      <w:numFmt w:val="lowerRoman"/>
      <w:lvlText w:val="%9."/>
      <w:lvlJc w:val="right"/>
      <w:pPr>
        <w:ind w:left="6120" w:hanging="180"/>
      </w:p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3208C1"/>
    <w:multiLevelType w:val="hybridMultilevel"/>
    <w:tmpl w:val="215E58FC"/>
    <w:lvl w:ilvl="0" w:tplc="FFFFFFFF">
      <w:start w:val="1"/>
      <w:numFmt w:val="bullet"/>
      <w:lvlText w:val="-"/>
      <w:lvlJc w:val="left"/>
      <w:pPr>
        <w:ind w:left="1069" w:hanging="360"/>
      </w:pPr>
      <w:rPr>
        <w:rFonts w:ascii="Calibri" w:hAnsi="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6"/>
  </w:num>
  <w:num w:numId="4">
    <w:abstractNumId w:val="11"/>
  </w:num>
  <w:num w:numId="5">
    <w:abstractNumId w:val="14"/>
  </w:num>
  <w:num w:numId="6">
    <w:abstractNumId w:val="13"/>
  </w:num>
  <w:num w:numId="7">
    <w:abstractNumId w:val="3"/>
  </w:num>
  <w:num w:numId="8">
    <w:abstractNumId w:val="12"/>
  </w:num>
  <w:num w:numId="9">
    <w:abstractNumId w:val="7"/>
  </w:num>
  <w:num w:numId="10">
    <w:abstractNumId w:val="5"/>
  </w:num>
  <w:num w:numId="11">
    <w:abstractNumId w:val="10"/>
  </w:num>
  <w:num w:numId="12">
    <w:abstractNumId w:val="9"/>
  </w:num>
  <w:num w:numId="13">
    <w:abstractNumId w:val="15"/>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B8"/>
    <w:rsid w:val="00001B77"/>
    <w:rsid w:val="0000517A"/>
    <w:rsid w:val="00017F82"/>
    <w:rsid w:val="000251C8"/>
    <w:rsid w:val="00031E72"/>
    <w:rsid w:val="000404D2"/>
    <w:rsid w:val="000853C0"/>
    <w:rsid w:val="0009409E"/>
    <w:rsid w:val="000A1C21"/>
    <w:rsid w:val="000D15EA"/>
    <w:rsid w:val="00100D84"/>
    <w:rsid w:val="00124C9D"/>
    <w:rsid w:val="001257E8"/>
    <w:rsid w:val="001342E1"/>
    <w:rsid w:val="00157773"/>
    <w:rsid w:val="00161358"/>
    <w:rsid w:val="0018251A"/>
    <w:rsid w:val="00184AA7"/>
    <w:rsid w:val="00190272"/>
    <w:rsid w:val="00190883"/>
    <w:rsid w:val="00193244"/>
    <w:rsid w:val="00195C6C"/>
    <w:rsid w:val="00195FED"/>
    <w:rsid w:val="001A4BD6"/>
    <w:rsid w:val="001A67B8"/>
    <w:rsid w:val="001B7F4A"/>
    <w:rsid w:val="001D399D"/>
    <w:rsid w:val="001D5A18"/>
    <w:rsid w:val="001F5BF0"/>
    <w:rsid w:val="002317AC"/>
    <w:rsid w:val="002677AF"/>
    <w:rsid w:val="0027192C"/>
    <w:rsid w:val="00280EB8"/>
    <w:rsid w:val="00286093"/>
    <w:rsid w:val="00295C4A"/>
    <w:rsid w:val="00296D49"/>
    <w:rsid w:val="002A6670"/>
    <w:rsid w:val="002E0883"/>
    <w:rsid w:val="00303502"/>
    <w:rsid w:val="00316F0C"/>
    <w:rsid w:val="00325C25"/>
    <w:rsid w:val="00372C8F"/>
    <w:rsid w:val="00372EFB"/>
    <w:rsid w:val="00380ECE"/>
    <w:rsid w:val="00393DDF"/>
    <w:rsid w:val="00397F55"/>
    <w:rsid w:val="003B0FD8"/>
    <w:rsid w:val="003B4454"/>
    <w:rsid w:val="003C2E37"/>
    <w:rsid w:val="003C4D62"/>
    <w:rsid w:val="003F1415"/>
    <w:rsid w:val="0040144C"/>
    <w:rsid w:val="00401786"/>
    <w:rsid w:val="0040179E"/>
    <w:rsid w:val="00403EB7"/>
    <w:rsid w:val="00430BF0"/>
    <w:rsid w:val="00437A2E"/>
    <w:rsid w:val="004611E5"/>
    <w:rsid w:val="004672E6"/>
    <w:rsid w:val="00471722"/>
    <w:rsid w:val="00474ED1"/>
    <w:rsid w:val="004904EC"/>
    <w:rsid w:val="0049067E"/>
    <w:rsid w:val="00493085"/>
    <w:rsid w:val="004A36EC"/>
    <w:rsid w:val="004D163F"/>
    <w:rsid w:val="004E39CD"/>
    <w:rsid w:val="004E4BFF"/>
    <w:rsid w:val="004E6C98"/>
    <w:rsid w:val="004F2598"/>
    <w:rsid w:val="0051142D"/>
    <w:rsid w:val="0051152A"/>
    <w:rsid w:val="005403F7"/>
    <w:rsid w:val="00540632"/>
    <w:rsid w:val="00541CF4"/>
    <w:rsid w:val="005451E8"/>
    <w:rsid w:val="005507F2"/>
    <w:rsid w:val="00550FC2"/>
    <w:rsid w:val="00555541"/>
    <w:rsid w:val="00556024"/>
    <w:rsid w:val="005759CC"/>
    <w:rsid w:val="00586B96"/>
    <w:rsid w:val="00596680"/>
    <w:rsid w:val="005A5A43"/>
    <w:rsid w:val="005A72E1"/>
    <w:rsid w:val="005B4EAD"/>
    <w:rsid w:val="005C6632"/>
    <w:rsid w:val="005D1C9E"/>
    <w:rsid w:val="005F33B1"/>
    <w:rsid w:val="00654257"/>
    <w:rsid w:val="0065435A"/>
    <w:rsid w:val="00684E9F"/>
    <w:rsid w:val="006945AE"/>
    <w:rsid w:val="006A2DD3"/>
    <w:rsid w:val="006A5AF8"/>
    <w:rsid w:val="006C36CD"/>
    <w:rsid w:val="006C5888"/>
    <w:rsid w:val="006D5B67"/>
    <w:rsid w:val="00700D1F"/>
    <w:rsid w:val="007205CB"/>
    <w:rsid w:val="00726073"/>
    <w:rsid w:val="00734FE8"/>
    <w:rsid w:val="007360CE"/>
    <w:rsid w:val="00736796"/>
    <w:rsid w:val="00744767"/>
    <w:rsid w:val="00772315"/>
    <w:rsid w:val="00775157"/>
    <w:rsid w:val="007813AE"/>
    <w:rsid w:val="0079183C"/>
    <w:rsid w:val="007A37DB"/>
    <w:rsid w:val="007E0C7F"/>
    <w:rsid w:val="007E189D"/>
    <w:rsid w:val="007E560B"/>
    <w:rsid w:val="00811259"/>
    <w:rsid w:val="00813AA2"/>
    <w:rsid w:val="008173A3"/>
    <w:rsid w:val="00823FC0"/>
    <w:rsid w:val="008418F5"/>
    <w:rsid w:val="00851353"/>
    <w:rsid w:val="0086059C"/>
    <w:rsid w:val="00864589"/>
    <w:rsid w:val="00890AFB"/>
    <w:rsid w:val="00890FC4"/>
    <w:rsid w:val="00895905"/>
    <w:rsid w:val="008A1B4D"/>
    <w:rsid w:val="008B2ABE"/>
    <w:rsid w:val="008C07F9"/>
    <w:rsid w:val="008C66E8"/>
    <w:rsid w:val="00902B42"/>
    <w:rsid w:val="009164A9"/>
    <w:rsid w:val="009258CB"/>
    <w:rsid w:val="0093362E"/>
    <w:rsid w:val="00942D05"/>
    <w:rsid w:val="00944563"/>
    <w:rsid w:val="009515AB"/>
    <w:rsid w:val="00953160"/>
    <w:rsid w:val="009625D8"/>
    <w:rsid w:val="0098459B"/>
    <w:rsid w:val="00997185"/>
    <w:rsid w:val="009A0B00"/>
    <w:rsid w:val="009A542C"/>
    <w:rsid w:val="009C2458"/>
    <w:rsid w:val="009C4A7B"/>
    <w:rsid w:val="009C6123"/>
    <w:rsid w:val="009C6C94"/>
    <w:rsid w:val="009F1E3E"/>
    <w:rsid w:val="00A1213C"/>
    <w:rsid w:val="00A13400"/>
    <w:rsid w:val="00A272FF"/>
    <w:rsid w:val="00A35B9F"/>
    <w:rsid w:val="00A5354B"/>
    <w:rsid w:val="00A53B07"/>
    <w:rsid w:val="00A57F75"/>
    <w:rsid w:val="00A71B57"/>
    <w:rsid w:val="00A8258B"/>
    <w:rsid w:val="00A8640C"/>
    <w:rsid w:val="00A8766D"/>
    <w:rsid w:val="00AB42C1"/>
    <w:rsid w:val="00AC516F"/>
    <w:rsid w:val="00AC5BA2"/>
    <w:rsid w:val="00AE2926"/>
    <w:rsid w:val="00AF7427"/>
    <w:rsid w:val="00B0184B"/>
    <w:rsid w:val="00B035CD"/>
    <w:rsid w:val="00B05DF8"/>
    <w:rsid w:val="00B0769D"/>
    <w:rsid w:val="00B217F8"/>
    <w:rsid w:val="00B332EA"/>
    <w:rsid w:val="00B40A53"/>
    <w:rsid w:val="00B45365"/>
    <w:rsid w:val="00B46A65"/>
    <w:rsid w:val="00B60184"/>
    <w:rsid w:val="00B62D20"/>
    <w:rsid w:val="00B66E1F"/>
    <w:rsid w:val="00B77971"/>
    <w:rsid w:val="00B80AFD"/>
    <w:rsid w:val="00B81E75"/>
    <w:rsid w:val="00B87491"/>
    <w:rsid w:val="00B87BDC"/>
    <w:rsid w:val="00BA18E0"/>
    <w:rsid w:val="00BD1A5A"/>
    <w:rsid w:val="00BD7A9B"/>
    <w:rsid w:val="00BD7BE1"/>
    <w:rsid w:val="00BF416B"/>
    <w:rsid w:val="00BF5456"/>
    <w:rsid w:val="00C0541A"/>
    <w:rsid w:val="00C43239"/>
    <w:rsid w:val="00C64E4E"/>
    <w:rsid w:val="00C66E64"/>
    <w:rsid w:val="00C746BF"/>
    <w:rsid w:val="00C761A0"/>
    <w:rsid w:val="00C85F7E"/>
    <w:rsid w:val="00C90D53"/>
    <w:rsid w:val="00CA13FF"/>
    <w:rsid w:val="00CC0B54"/>
    <w:rsid w:val="00CD47F0"/>
    <w:rsid w:val="00CD5566"/>
    <w:rsid w:val="00CD64D7"/>
    <w:rsid w:val="00CE5458"/>
    <w:rsid w:val="00CE6F22"/>
    <w:rsid w:val="00CF41F6"/>
    <w:rsid w:val="00CF7D3E"/>
    <w:rsid w:val="00D02B4E"/>
    <w:rsid w:val="00D105AA"/>
    <w:rsid w:val="00D10906"/>
    <w:rsid w:val="00D21F11"/>
    <w:rsid w:val="00D36817"/>
    <w:rsid w:val="00D453EE"/>
    <w:rsid w:val="00D5666C"/>
    <w:rsid w:val="00D666BC"/>
    <w:rsid w:val="00D83542"/>
    <w:rsid w:val="00D92F45"/>
    <w:rsid w:val="00D94637"/>
    <w:rsid w:val="00D9725C"/>
    <w:rsid w:val="00DA7006"/>
    <w:rsid w:val="00DB23BE"/>
    <w:rsid w:val="00DB4095"/>
    <w:rsid w:val="00DC6427"/>
    <w:rsid w:val="00DD66A1"/>
    <w:rsid w:val="00DE196D"/>
    <w:rsid w:val="00DF6B49"/>
    <w:rsid w:val="00E067C5"/>
    <w:rsid w:val="00E265BF"/>
    <w:rsid w:val="00E378D8"/>
    <w:rsid w:val="00E43A12"/>
    <w:rsid w:val="00E51CE3"/>
    <w:rsid w:val="00E67C67"/>
    <w:rsid w:val="00E7078E"/>
    <w:rsid w:val="00E77476"/>
    <w:rsid w:val="00E8228B"/>
    <w:rsid w:val="00E944CD"/>
    <w:rsid w:val="00EB386C"/>
    <w:rsid w:val="00EE5706"/>
    <w:rsid w:val="00EF373D"/>
    <w:rsid w:val="00F05E2B"/>
    <w:rsid w:val="00F10A59"/>
    <w:rsid w:val="00F11595"/>
    <w:rsid w:val="00F116D9"/>
    <w:rsid w:val="00F13BC9"/>
    <w:rsid w:val="00F227A3"/>
    <w:rsid w:val="00F357B2"/>
    <w:rsid w:val="00F36556"/>
    <w:rsid w:val="00F6303D"/>
    <w:rsid w:val="00F705DF"/>
    <w:rsid w:val="00F70622"/>
    <w:rsid w:val="00F771A9"/>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AE366E"/>
  <w15:docId w15:val="{618DFB77-F729-421D-A5F7-DAFD5D9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1A67B8"/>
    <w:rPr>
      <w:color w:val="605E5C"/>
      <w:shd w:val="clear" w:color="auto" w:fill="E1DFDD"/>
    </w:rPr>
  </w:style>
  <w:style w:type="character" w:customStyle="1" w:styleId="FontStyle21">
    <w:name w:val="Font Style21"/>
    <w:basedOn w:val="DefaultParagraphFont"/>
    <w:uiPriority w:val="99"/>
    <w:rsid w:val="001A67B8"/>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rsid w:val="001A67B8"/>
    <w:rPr>
      <w:rFonts w:ascii="Calibri" w:eastAsia="Times New Roman" w:hAnsi="Calibri"/>
      <w:sz w:val="24"/>
      <w:lang w:val="en-GB" w:eastAsia="en-US"/>
    </w:rPr>
  </w:style>
  <w:style w:type="paragraph" w:styleId="BalloonText">
    <w:name w:val="Balloon Text"/>
    <w:basedOn w:val="Normal"/>
    <w:link w:val="BalloonTextChar"/>
    <w:semiHidden/>
    <w:unhideWhenUsed/>
    <w:rsid w:val="009A542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542C"/>
    <w:rPr>
      <w:rFonts w:ascii="Segoe UI" w:hAnsi="Segoe UI" w:cs="Segoe UI"/>
      <w:sz w:val="18"/>
      <w:szCs w:val="18"/>
      <w:lang w:val="en-GB" w:eastAsia="en-US"/>
    </w:rPr>
  </w:style>
  <w:style w:type="paragraph" w:styleId="PlainText">
    <w:name w:val="Plain Text"/>
    <w:basedOn w:val="Normal"/>
    <w:link w:val="PlainTextChar"/>
    <w:uiPriority w:val="99"/>
    <w:unhideWhenUsed/>
    <w:rsid w:val="00BF5456"/>
    <w:pPr>
      <w:tabs>
        <w:tab w:val="clear" w:pos="794"/>
        <w:tab w:val="clear" w:pos="1191"/>
        <w:tab w:val="clear" w:pos="1588"/>
        <w:tab w:val="clear" w:pos="198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BF5456"/>
    <w:rPr>
      <w:rFonts w:ascii="Calibri" w:eastAsiaTheme="minorHAnsi" w:hAnsi="Calibri" w:cs="Calibri"/>
      <w:sz w:val="24"/>
      <w:szCs w:val="21"/>
      <w:lang w:val="en-GB" w:eastAsia="en-US"/>
    </w:rPr>
  </w:style>
  <w:style w:type="character" w:customStyle="1" w:styleId="transsent">
    <w:name w:val="transsent"/>
    <w:basedOn w:val="DefaultParagraphFont"/>
    <w:rsid w:val="00F2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C5A5-4070-43BC-BAF9-AD8CAF74C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2A486-B539-43FB-9410-EA804B258C87}">
  <ds:schemaRefs>
    <ds:schemaRef ds:uri="http://schemas.microsoft.com/sharepoint/v3/contenttype/forms"/>
  </ds:schemaRefs>
</ds:datastoreItem>
</file>

<file path=customXml/itemProps3.xml><?xml version="1.0" encoding="utf-8"?>
<ds:datastoreItem xmlns:ds="http://schemas.openxmlformats.org/officeDocument/2006/customXml" ds:itemID="{A975E62F-F875-476A-A746-7D9FFA6C0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3576CA-6535-4EA2-8ACE-CF619C01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5</Pages>
  <Words>3857</Words>
  <Characters>1025</Characters>
  <Application>Microsoft Office Word</Application>
  <DocSecurity>4</DocSecurity>
  <Lines>8</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information management</dc:title>
  <dc:subject>Council 2020</dc:subject>
  <dc:creator>Zheng, Bingyue</dc:creator>
  <cp:keywords>C2020, C20</cp:keywords>
  <dc:description/>
  <cp:lastModifiedBy>Brouard, Ricarda</cp:lastModifiedBy>
  <cp:revision>2</cp:revision>
  <cp:lastPrinted>2015-02-24T13:23:00Z</cp:lastPrinted>
  <dcterms:created xsi:type="dcterms:W3CDTF">2020-04-27T14:40:00Z</dcterms:created>
  <dcterms:modified xsi:type="dcterms:W3CDTF">2020-04-27T14:40:00Z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