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3B2F517" w14:textId="77777777">
        <w:trPr>
          <w:cantSplit/>
        </w:trPr>
        <w:tc>
          <w:tcPr>
            <w:tcW w:w="6911" w:type="dxa"/>
          </w:tcPr>
          <w:p w14:paraId="1F3840EE" w14:textId="53B26780"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B48CD">
              <w:rPr>
                <w:rFonts w:cs="Arial" w:hint="eastAsia"/>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3B48CD">
              <w:rPr>
                <w:rFonts w:hint="eastAsia"/>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3B48CD">
              <w:rPr>
                <w:rFonts w:hint="eastAsia"/>
                <w:b/>
                <w:bCs/>
                <w:color w:val="000000"/>
                <w:lang w:eastAsia="zh-CN"/>
              </w:rPr>
              <w:t>9</w:t>
            </w:r>
            <w:r w:rsidR="00A5354B">
              <w:rPr>
                <w:b/>
                <w:bCs/>
                <w:color w:val="000000"/>
                <w:lang w:eastAsia="zh-CN"/>
              </w:rPr>
              <w:t>-</w:t>
            </w:r>
            <w:r w:rsidR="003B48CD">
              <w:rPr>
                <w:rFonts w:hint="eastAsia"/>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4C1F9C10" w14:textId="77777777" w:rsidR="00700D1F" w:rsidRDefault="00AB42C1" w:rsidP="00864589">
            <w:pPr>
              <w:spacing w:before="0"/>
              <w:jc w:val="right"/>
            </w:pPr>
            <w:bookmarkStart w:id="0" w:name="ditulogo"/>
            <w:bookmarkEnd w:id="0"/>
            <w:r>
              <w:rPr>
                <w:noProof/>
                <w:lang w:val="en-US" w:eastAsia="zh-CN"/>
              </w:rPr>
              <w:drawing>
                <wp:inline distT="0" distB="0" distL="0" distR="0" wp14:anchorId="6DF97115" wp14:editId="1574353B">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14:paraId="0EFAC76A" w14:textId="77777777">
        <w:trPr>
          <w:cantSplit/>
        </w:trPr>
        <w:tc>
          <w:tcPr>
            <w:tcW w:w="6911" w:type="dxa"/>
            <w:tcBorders>
              <w:bottom w:val="single" w:sz="12" w:space="0" w:color="auto"/>
            </w:tcBorders>
          </w:tcPr>
          <w:p w14:paraId="3371670C"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08AFC39" w14:textId="77777777" w:rsidR="00700D1F" w:rsidRPr="00617BE4" w:rsidRDefault="00700D1F" w:rsidP="00001B77">
            <w:pPr>
              <w:spacing w:before="0"/>
              <w:rPr>
                <w:rFonts w:ascii="Verdana" w:hAnsi="Verdana"/>
                <w:szCs w:val="24"/>
              </w:rPr>
            </w:pPr>
          </w:p>
        </w:tc>
      </w:tr>
      <w:tr w:rsidR="00700D1F" w:rsidRPr="00617BE4" w14:paraId="6DBD4F03" w14:textId="77777777">
        <w:trPr>
          <w:cantSplit/>
        </w:trPr>
        <w:tc>
          <w:tcPr>
            <w:tcW w:w="6911" w:type="dxa"/>
            <w:tcBorders>
              <w:top w:val="single" w:sz="12" w:space="0" w:color="auto"/>
            </w:tcBorders>
          </w:tcPr>
          <w:p w14:paraId="45C0E38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13E5B0D3" w14:textId="77777777" w:rsidR="00700D1F" w:rsidRPr="00617BE4" w:rsidRDefault="00700D1F" w:rsidP="00001B77">
            <w:pPr>
              <w:spacing w:before="0"/>
              <w:rPr>
                <w:rFonts w:ascii="Verdana" w:hAnsi="Verdana"/>
                <w:szCs w:val="24"/>
              </w:rPr>
            </w:pPr>
          </w:p>
        </w:tc>
      </w:tr>
      <w:tr w:rsidR="00700D1F" w14:paraId="1B07F0DD" w14:textId="77777777">
        <w:trPr>
          <w:cantSplit/>
          <w:trHeight w:val="23"/>
        </w:trPr>
        <w:tc>
          <w:tcPr>
            <w:tcW w:w="6911" w:type="dxa"/>
            <w:vMerge w:val="restart"/>
          </w:tcPr>
          <w:p w14:paraId="128D276B" w14:textId="1DC1992D"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4879BC" w:rsidRPr="000456B9">
              <w:rPr>
                <w:rFonts w:asciiTheme="minorHAnsi" w:hAnsiTheme="minorHAnsi"/>
                <w:b/>
              </w:rPr>
              <w:t xml:space="preserve">ADM </w:t>
            </w:r>
            <w:r w:rsidR="003B48CD">
              <w:rPr>
                <w:rFonts w:asciiTheme="minorHAnsi" w:hAnsiTheme="minorHAnsi" w:hint="eastAsia"/>
                <w:b/>
                <w:lang w:eastAsia="zh-CN"/>
              </w:rPr>
              <w:t>20</w:t>
            </w:r>
          </w:p>
        </w:tc>
        <w:tc>
          <w:tcPr>
            <w:tcW w:w="3120" w:type="dxa"/>
          </w:tcPr>
          <w:p w14:paraId="4C2DFB21" w14:textId="0E43948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B48CD">
              <w:rPr>
                <w:rFonts w:hint="eastAsia"/>
                <w:b/>
                <w:bCs/>
                <w:szCs w:val="24"/>
                <w:lang w:eastAsia="zh-CN"/>
              </w:rPr>
              <w:t>20</w:t>
            </w:r>
            <w:r w:rsidRPr="00FC5386">
              <w:rPr>
                <w:b/>
                <w:bCs/>
                <w:szCs w:val="24"/>
                <w:lang w:eastAsia="zh-CN"/>
              </w:rPr>
              <w:t>/</w:t>
            </w:r>
            <w:r w:rsidR="004879BC">
              <w:rPr>
                <w:b/>
                <w:bCs/>
                <w:szCs w:val="24"/>
                <w:lang w:eastAsia="zh-CN"/>
              </w:rPr>
              <w:t>48</w:t>
            </w:r>
            <w:r w:rsidRPr="00FC5386">
              <w:rPr>
                <w:b/>
                <w:bCs/>
                <w:szCs w:val="24"/>
                <w:lang w:eastAsia="zh-CN"/>
              </w:rPr>
              <w:t>-C</w:t>
            </w:r>
          </w:p>
        </w:tc>
      </w:tr>
      <w:bookmarkEnd w:id="1"/>
      <w:tr w:rsidR="00700D1F" w14:paraId="0F6116C7" w14:textId="77777777">
        <w:trPr>
          <w:cantSplit/>
          <w:trHeight w:val="23"/>
        </w:trPr>
        <w:tc>
          <w:tcPr>
            <w:tcW w:w="6911" w:type="dxa"/>
            <w:vMerge/>
          </w:tcPr>
          <w:p w14:paraId="1AB019E4" w14:textId="77777777" w:rsidR="00700D1F" w:rsidRDefault="00700D1F" w:rsidP="00001B77">
            <w:pPr>
              <w:tabs>
                <w:tab w:val="left" w:pos="851"/>
              </w:tabs>
              <w:rPr>
                <w:b/>
                <w:lang w:eastAsia="zh-CN"/>
              </w:rPr>
            </w:pPr>
          </w:p>
        </w:tc>
        <w:tc>
          <w:tcPr>
            <w:tcW w:w="3120" w:type="dxa"/>
          </w:tcPr>
          <w:p w14:paraId="70DDFDDE" w14:textId="026CF6AF" w:rsidR="00700D1F" w:rsidRPr="00FC5386" w:rsidRDefault="00700D1F" w:rsidP="00D453EE">
            <w:pPr>
              <w:tabs>
                <w:tab w:val="left" w:pos="993"/>
              </w:tabs>
              <w:spacing w:before="0"/>
              <w:rPr>
                <w:b/>
                <w:bCs/>
                <w:szCs w:val="24"/>
                <w:lang w:eastAsia="zh-CN"/>
              </w:rPr>
            </w:pPr>
            <w:r w:rsidRPr="00FC5386">
              <w:rPr>
                <w:b/>
                <w:bCs/>
                <w:szCs w:val="24"/>
                <w:lang w:eastAsia="zh-CN"/>
              </w:rPr>
              <w:t>20</w:t>
            </w:r>
            <w:r w:rsidR="003B48CD">
              <w:rPr>
                <w:rFonts w:hint="eastAsia"/>
                <w:b/>
                <w:bCs/>
                <w:szCs w:val="24"/>
                <w:lang w:eastAsia="zh-CN"/>
              </w:rPr>
              <w:t>20</w:t>
            </w:r>
            <w:r w:rsidRPr="00FC5386">
              <w:rPr>
                <w:rFonts w:hint="eastAsia"/>
                <w:b/>
                <w:bCs/>
                <w:szCs w:val="24"/>
                <w:lang w:eastAsia="zh-CN"/>
              </w:rPr>
              <w:t>年</w:t>
            </w:r>
            <w:r w:rsidR="004879BC">
              <w:rPr>
                <w:rFonts w:asciiTheme="minorHAnsi" w:hAnsiTheme="minorHAnsi" w:cstheme="minorHAnsi"/>
                <w:b/>
                <w:bCs/>
                <w:szCs w:val="24"/>
                <w:lang w:eastAsia="zh-CN"/>
              </w:rPr>
              <w:t>5</w:t>
            </w:r>
            <w:r w:rsidRPr="00FC5386">
              <w:rPr>
                <w:rFonts w:hint="eastAsia"/>
                <w:b/>
                <w:bCs/>
                <w:szCs w:val="24"/>
                <w:lang w:eastAsia="zh-CN"/>
              </w:rPr>
              <w:t>月</w:t>
            </w:r>
            <w:r w:rsidR="004879BC">
              <w:rPr>
                <w:rFonts w:asciiTheme="minorHAnsi" w:hAnsiTheme="minorHAnsi" w:cstheme="minorHAnsi"/>
                <w:b/>
                <w:bCs/>
                <w:szCs w:val="24"/>
                <w:lang w:eastAsia="zh-CN"/>
              </w:rPr>
              <w:t>21</w:t>
            </w:r>
            <w:r w:rsidRPr="00FC5386">
              <w:rPr>
                <w:rFonts w:hint="eastAsia"/>
                <w:b/>
                <w:bCs/>
                <w:szCs w:val="24"/>
                <w:lang w:eastAsia="zh-CN"/>
              </w:rPr>
              <w:t>日</w:t>
            </w:r>
          </w:p>
        </w:tc>
      </w:tr>
      <w:tr w:rsidR="00700D1F" w14:paraId="08095C4D" w14:textId="77777777">
        <w:trPr>
          <w:cantSplit/>
          <w:trHeight w:val="23"/>
        </w:trPr>
        <w:tc>
          <w:tcPr>
            <w:tcW w:w="6911" w:type="dxa"/>
            <w:vMerge/>
          </w:tcPr>
          <w:p w14:paraId="1AB37DC7" w14:textId="77777777" w:rsidR="00700D1F" w:rsidRDefault="00700D1F" w:rsidP="00001B77">
            <w:pPr>
              <w:tabs>
                <w:tab w:val="left" w:pos="851"/>
              </w:tabs>
              <w:rPr>
                <w:b/>
                <w:lang w:eastAsia="zh-CN"/>
              </w:rPr>
            </w:pPr>
          </w:p>
        </w:tc>
        <w:tc>
          <w:tcPr>
            <w:tcW w:w="3120" w:type="dxa"/>
          </w:tcPr>
          <w:p w14:paraId="72ECF895"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67C6B7E1" w14:textId="77777777">
        <w:trPr>
          <w:cantSplit/>
        </w:trPr>
        <w:tc>
          <w:tcPr>
            <w:tcW w:w="10031" w:type="dxa"/>
          </w:tcPr>
          <w:p w14:paraId="6A26A64D" w14:textId="77777777" w:rsidR="0093362E" w:rsidRDefault="00DC5A19" w:rsidP="00001B77">
            <w:pPr>
              <w:pStyle w:val="Source"/>
              <w:rPr>
                <w:lang w:eastAsia="zh-CN"/>
              </w:rPr>
            </w:pPr>
            <w:r w:rsidRPr="00701C2A">
              <w:rPr>
                <w:rFonts w:asciiTheme="minorHAnsi" w:eastAsiaTheme="minorEastAsia" w:hAnsiTheme="minorHAnsi"/>
                <w:lang w:val="fr-CH" w:eastAsia="zh-CN"/>
              </w:rPr>
              <w:t>秘书长的</w:t>
            </w:r>
            <w:r w:rsidRPr="00701C2A">
              <w:rPr>
                <w:rFonts w:asciiTheme="minorHAnsi" w:eastAsiaTheme="minorEastAsia" w:hAnsiTheme="minorHAnsi"/>
                <w:lang w:eastAsia="zh-CN"/>
              </w:rPr>
              <w:t>说明</w:t>
            </w:r>
          </w:p>
        </w:tc>
      </w:tr>
      <w:tr w:rsidR="0093362E" w14:paraId="20943A55" w14:textId="77777777">
        <w:trPr>
          <w:cantSplit/>
        </w:trPr>
        <w:tc>
          <w:tcPr>
            <w:tcW w:w="10031" w:type="dxa"/>
          </w:tcPr>
          <w:p w14:paraId="4D891FC2" w14:textId="433BF913" w:rsidR="0093362E" w:rsidRDefault="00DC5A19" w:rsidP="00001B77">
            <w:pPr>
              <w:pStyle w:val="Title1"/>
              <w:rPr>
                <w:bCs/>
                <w:lang w:eastAsia="zh-CN"/>
              </w:rPr>
            </w:pPr>
            <w:r w:rsidRPr="00701C2A">
              <w:rPr>
                <w:rFonts w:asciiTheme="minorHAnsi" w:eastAsiaTheme="minorEastAsia" w:hAnsiTheme="minorHAnsi"/>
                <w:lang w:eastAsia="zh-CN"/>
              </w:rPr>
              <w:t>国际电联总部办公场所项目</w:t>
            </w:r>
            <w:r w:rsidR="00B23A85">
              <w:rPr>
                <w:rFonts w:asciiTheme="minorHAnsi" w:eastAsiaTheme="minorEastAsia" w:hAnsiTheme="minorHAnsi"/>
                <w:lang w:eastAsia="zh-CN"/>
              </w:rPr>
              <w:br/>
            </w:r>
            <w:r w:rsidRPr="00701C2A">
              <w:rPr>
                <w:rFonts w:asciiTheme="minorHAnsi" w:eastAsiaTheme="minorEastAsia" w:hAnsiTheme="minorHAnsi"/>
                <w:lang w:eastAsia="zh-CN"/>
              </w:rPr>
              <w:t>成员国顾问组工作的总结报告</w:t>
            </w:r>
          </w:p>
        </w:tc>
      </w:tr>
    </w:tbl>
    <w:p w14:paraId="6E9E7DFC" w14:textId="5E840E88" w:rsidR="00DC5A19" w:rsidRPr="00701C2A" w:rsidRDefault="00DC5A19" w:rsidP="00D92CDC">
      <w:pPr>
        <w:spacing w:before="600" w:after="1200"/>
        <w:ind w:firstLineChars="200" w:firstLine="480"/>
        <w:jc w:val="both"/>
        <w:rPr>
          <w:rFonts w:asciiTheme="minorHAnsi" w:eastAsiaTheme="minorEastAsia" w:hAnsiTheme="minorHAnsi"/>
          <w:lang w:eastAsia="zh-CN"/>
        </w:rPr>
      </w:pPr>
      <w:r w:rsidRPr="00701C2A">
        <w:rPr>
          <w:rFonts w:asciiTheme="minorHAnsi" w:eastAsiaTheme="minorEastAsia" w:hAnsiTheme="minorHAnsi"/>
          <w:lang w:eastAsia="zh-CN"/>
        </w:rPr>
        <w:t>我荣幸地将</w:t>
      </w:r>
      <w:r w:rsidRPr="00701C2A">
        <w:rPr>
          <w:rFonts w:asciiTheme="minorHAnsi" w:eastAsiaTheme="minorEastAsia" w:hAnsiTheme="minorHAnsi"/>
          <w:b/>
          <w:bCs/>
          <w:lang w:eastAsia="zh-CN"/>
        </w:rPr>
        <w:t>成员国顾问组（</w:t>
      </w:r>
      <w:r w:rsidRPr="00701C2A">
        <w:rPr>
          <w:rFonts w:asciiTheme="minorHAnsi" w:eastAsiaTheme="minorEastAsia" w:hAnsiTheme="minorHAnsi"/>
          <w:b/>
          <w:bCs/>
          <w:lang w:eastAsia="zh-CN"/>
        </w:rPr>
        <w:t>MSAG</w:t>
      </w:r>
      <w:r w:rsidRPr="00701C2A">
        <w:rPr>
          <w:rFonts w:asciiTheme="minorHAnsi" w:eastAsiaTheme="minorEastAsia" w:hAnsiTheme="minorHAnsi"/>
          <w:b/>
          <w:bCs/>
          <w:lang w:eastAsia="zh-CN"/>
        </w:rPr>
        <w:t>）</w:t>
      </w:r>
      <w:r w:rsidRPr="00701C2A">
        <w:rPr>
          <w:rFonts w:asciiTheme="minorHAnsi" w:eastAsiaTheme="minorEastAsia" w:hAnsiTheme="minorHAnsi"/>
          <w:lang w:eastAsia="zh-CN"/>
        </w:rPr>
        <w:t>工作的总结报告转呈理事国。</w:t>
      </w:r>
    </w:p>
    <w:p w14:paraId="51543212" w14:textId="77777777" w:rsidR="00DC5A19" w:rsidRPr="00701C2A" w:rsidRDefault="00DC5A19" w:rsidP="00DC5A19">
      <w:pPr>
        <w:tabs>
          <w:tab w:val="clear" w:pos="794"/>
          <w:tab w:val="clear" w:pos="1191"/>
          <w:tab w:val="clear" w:pos="1588"/>
          <w:tab w:val="clear" w:pos="1985"/>
          <w:tab w:val="center" w:pos="7088"/>
        </w:tabs>
        <w:rPr>
          <w:rFonts w:asciiTheme="minorHAnsi" w:eastAsiaTheme="minorEastAsia" w:hAnsiTheme="minorHAnsi"/>
          <w:lang w:eastAsia="zh-CN"/>
        </w:rPr>
      </w:pPr>
      <w:r w:rsidRPr="00701C2A">
        <w:rPr>
          <w:rFonts w:asciiTheme="minorHAnsi" w:eastAsiaTheme="minorEastAsia" w:hAnsiTheme="minorHAnsi"/>
          <w:lang w:eastAsia="zh-CN"/>
        </w:rPr>
        <w:tab/>
      </w:r>
      <w:r w:rsidRPr="00701C2A">
        <w:rPr>
          <w:rFonts w:asciiTheme="minorHAnsi" w:eastAsiaTheme="minorEastAsia" w:hAnsiTheme="minorHAnsi"/>
          <w:lang w:eastAsia="zh-CN"/>
        </w:rPr>
        <w:tab/>
      </w:r>
      <w:r w:rsidRPr="00701C2A">
        <w:rPr>
          <w:rFonts w:asciiTheme="minorHAnsi" w:eastAsiaTheme="minorEastAsia" w:hAnsiTheme="minorHAnsi"/>
          <w:lang w:eastAsia="zh-CN"/>
        </w:rPr>
        <w:t>秘书长</w:t>
      </w:r>
      <w:r w:rsidRPr="00701C2A">
        <w:rPr>
          <w:rFonts w:asciiTheme="minorHAnsi" w:eastAsiaTheme="minorEastAsia" w:hAnsiTheme="minorHAnsi"/>
          <w:lang w:eastAsia="zh-CN"/>
        </w:rPr>
        <w:br/>
      </w:r>
      <w:r w:rsidRPr="00701C2A">
        <w:rPr>
          <w:rFonts w:asciiTheme="minorHAnsi" w:eastAsiaTheme="minorEastAsia" w:hAnsiTheme="minorHAnsi"/>
          <w:lang w:eastAsia="zh-CN"/>
        </w:rPr>
        <w:tab/>
      </w:r>
      <w:r w:rsidRPr="00701C2A">
        <w:rPr>
          <w:rFonts w:asciiTheme="minorHAnsi" w:eastAsiaTheme="minorEastAsia" w:hAnsiTheme="minorHAnsi"/>
          <w:lang w:eastAsia="zh-CN"/>
        </w:rPr>
        <w:tab/>
      </w:r>
      <w:r w:rsidRPr="00701C2A">
        <w:rPr>
          <w:rFonts w:asciiTheme="minorHAnsi" w:eastAsiaTheme="minorEastAsia" w:hAnsiTheme="minorHAnsi"/>
          <w:lang w:eastAsia="zh-CN"/>
        </w:rPr>
        <w:t>赵厚麟</w:t>
      </w:r>
    </w:p>
    <w:p w14:paraId="2611AA64" w14:textId="77777777" w:rsidR="00DC5A19" w:rsidRPr="004A19C6" w:rsidRDefault="00DC5A19" w:rsidP="00DC5A19">
      <w:pPr>
        <w:tabs>
          <w:tab w:val="clear" w:pos="794"/>
          <w:tab w:val="clear" w:pos="1191"/>
          <w:tab w:val="clear" w:pos="1588"/>
          <w:tab w:val="clear" w:pos="1985"/>
        </w:tabs>
        <w:overflowPunct/>
        <w:autoSpaceDE/>
        <w:autoSpaceDN/>
        <w:adjustRightInd/>
        <w:spacing w:before="0"/>
        <w:textAlignment w:val="auto"/>
        <w:rPr>
          <w:rFonts w:asciiTheme="minorHAnsi" w:eastAsiaTheme="minorEastAsia" w:hAnsiTheme="minorHAnsi"/>
          <w:lang w:eastAsia="zh-CN"/>
        </w:rPr>
      </w:pPr>
      <w:r w:rsidRPr="004A19C6">
        <w:rPr>
          <w:rFonts w:asciiTheme="minorHAnsi" w:eastAsiaTheme="minorEastAsia" w:hAnsiTheme="minorHAnsi"/>
          <w:lang w:eastAsia="zh-CN"/>
        </w:rPr>
        <w:br w:type="page"/>
      </w:r>
    </w:p>
    <w:p w14:paraId="0EC28D9B" w14:textId="74642BE0" w:rsidR="009610D4" w:rsidRPr="00C22357" w:rsidRDefault="00407720" w:rsidP="00B81D61">
      <w:pPr>
        <w:pStyle w:val="Title1"/>
        <w:spacing w:after="360"/>
        <w:rPr>
          <w:rFonts w:cs="Calibri"/>
          <w:b/>
          <w:color w:val="800000"/>
          <w:sz w:val="22"/>
          <w:highlight w:val="lightGray"/>
          <w:lang w:eastAsia="zh-CN"/>
        </w:rPr>
      </w:pPr>
      <w:bookmarkStart w:id="2" w:name="lt_pId016"/>
      <w:r w:rsidRPr="00701C2A">
        <w:rPr>
          <w:rFonts w:asciiTheme="minorHAnsi" w:eastAsiaTheme="minorEastAsia" w:hAnsiTheme="minorHAnsi"/>
          <w:lang w:eastAsia="zh-CN"/>
        </w:rPr>
        <w:lastRenderedPageBreak/>
        <w:t>国际电联总部办公场所项目</w:t>
      </w:r>
      <w:r w:rsidR="00B23A85">
        <w:rPr>
          <w:rFonts w:asciiTheme="minorHAnsi" w:eastAsiaTheme="minorEastAsia" w:hAnsiTheme="minorHAnsi"/>
          <w:lang w:eastAsia="zh-CN"/>
        </w:rPr>
        <w:br/>
      </w:r>
      <w:r w:rsidRPr="00701C2A">
        <w:rPr>
          <w:rFonts w:asciiTheme="minorHAnsi" w:eastAsiaTheme="minorEastAsia" w:hAnsiTheme="minorHAnsi"/>
          <w:lang w:eastAsia="zh-CN"/>
        </w:rPr>
        <w:t>成员国顾问组工作的总结报告</w:t>
      </w:r>
      <w:bookmarkEnd w:id="2"/>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DC5A19" w:rsidRPr="00701C2A" w14:paraId="05DF97DE" w14:textId="77777777" w:rsidTr="009610D4">
        <w:trPr>
          <w:trHeight w:val="3372"/>
        </w:trPr>
        <w:tc>
          <w:tcPr>
            <w:tcW w:w="8080" w:type="dxa"/>
            <w:tcBorders>
              <w:top w:val="single" w:sz="12" w:space="0" w:color="auto"/>
              <w:left w:val="single" w:sz="12" w:space="0" w:color="auto"/>
              <w:bottom w:val="single" w:sz="12" w:space="0" w:color="auto"/>
              <w:right w:val="single" w:sz="12" w:space="0" w:color="auto"/>
            </w:tcBorders>
            <w:hideMark/>
          </w:tcPr>
          <w:p w14:paraId="58BF2D87" w14:textId="77777777" w:rsidR="00DC5A19" w:rsidRPr="00701C2A" w:rsidRDefault="00DC5A19" w:rsidP="00EF2255">
            <w:pPr>
              <w:pStyle w:val="Headingb"/>
              <w:rPr>
                <w:rFonts w:asciiTheme="minorHAnsi" w:eastAsiaTheme="minorEastAsia" w:hAnsiTheme="minorHAnsi"/>
                <w:lang w:val="en-US" w:eastAsia="zh-CN"/>
              </w:rPr>
            </w:pPr>
            <w:r w:rsidRPr="00701C2A">
              <w:rPr>
                <w:rFonts w:asciiTheme="minorHAnsi" w:eastAsiaTheme="minorEastAsia" w:hAnsiTheme="minorHAnsi"/>
                <w:lang w:val="en-US" w:eastAsia="zh-CN"/>
              </w:rPr>
              <w:t>概要</w:t>
            </w:r>
          </w:p>
          <w:p w14:paraId="3942730E" w14:textId="77777777" w:rsidR="00DC5A19" w:rsidRPr="00701C2A" w:rsidRDefault="00DC5A19" w:rsidP="00EF2255">
            <w:pPr>
              <w:ind w:firstLineChars="200" w:firstLine="480"/>
              <w:jc w:val="both"/>
              <w:rPr>
                <w:rFonts w:asciiTheme="minorHAnsi" w:eastAsiaTheme="minorEastAsia" w:hAnsiTheme="minorHAnsi"/>
                <w:lang w:val="en-US" w:eastAsia="zh-CN"/>
              </w:rPr>
            </w:pPr>
            <w:r w:rsidRPr="00701C2A">
              <w:rPr>
                <w:rFonts w:asciiTheme="minorHAnsi" w:eastAsiaTheme="minorEastAsia" w:hAnsiTheme="minorHAnsi"/>
                <w:lang w:val="en-US" w:eastAsia="zh-CN"/>
              </w:rPr>
              <w:t>本文件提供了国际电联总部办公场所项目成员国顾问组（</w:t>
            </w:r>
            <w:r w:rsidRPr="00701C2A">
              <w:rPr>
                <w:rFonts w:asciiTheme="minorHAnsi" w:eastAsiaTheme="minorEastAsia" w:hAnsiTheme="minorHAnsi"/>
                <w:lang w:val="en-US" w:eastAsia="zh-CN"/>
              </w:rPr>
              <w:t>MSAG</w:t>
            </w:r>
            <w:r w:rsidRPr="00701C2A">
              <w:rPr>
                <w:rFonts w:asciiTheme="minorHAnsi" w:eastAsiaTheme="minorEastAsia" w:hAnsiTheme="minorHAnsi"/>
                <w:lang w:val="en-US" w:eastAsia="zh-CN"/>
              </w:rPr>
              <w:t>）工作的总结报告。</w:t>
            </w:r>
          </w:p>
          <w:p w14:paraId="45449FDA" w14:textId="77777777" w:rsidR="00DC5A19" w:rsidRPr="00701C2A" w:rsidRDefault="00DC5A19" w:rsidP="00EF2255">
            <w:pPr>
              <w:pStyle w:val="Headingb"/>
              <w:jc w:val="both"/>
              <w:rPr>
                <w:rFonts w:asciiTheme="minorHAnsi" w:eastAsiaTheme="minorEastAsia" w:hAnsiTheme="minorHAnsi"/>
                <w:lang w:val="en-US" w:eastAsia="zh-CN"/>
              </w:rPr>
            </w:pPr>
            <w:r w:rsidRPr="00701C2A">
              <w:rPr>
                <w:rFonts w:asciiTheme="minorHAnsi" w:eastAsiaTheme="minorEastAsia" w:hAnsiTheme="minorHAnsi"/>
                <w:lang w:val="en-US" w:eastAsia="zh-CN"/>
              </w:rPr>
              <w:t>需采取的行动</w:t>
            </w:r>
          </w:p>
          <w:p w14:paraId="74B537C6" w14:textId="77777777" w:rsidR="00DC5A19" w:rsidRPr="00701C2A" w:rsidRDefault="00DC5A19" w:rsidP="00EF2255">
            <w:pPr>
              <w:ind w:firstLineChars="200" w:firstLine="480"/>
              <w:jc w:val="both"/>
              <w:rPr>
                <w:rFonts w:asciiTheme="minorHAnsi" w:eastAsiaTheme="minorEastAsia" w:hAnsiTheme="minorHAnsi"/>
                <w:lang w:val="en-US" w:eastAsia="zh-CN"/>
              </w:rPr>
            </w:pPr>
            <w:r w:rsidRPr="00701C2A">
              <w:rPr>
                <w:rFonts w:asciiTheme="minorHAnsi" w:eastAsiaTheme="minorEastAsia" w:hAnsiTheme="minorHAnsi"/>
                <w:lang w:val="en-US" w:eastAsia="zh-CN"/>
              </w:rPr>
              <w:t>请理事会将本报告</w:t>
            </w:r>
            <w:r w:rsidRPr="00701C2A">
              <w:rPr>
                <w:rFonts w:asciiTheme="minorHAnsi" w:eastAsiaTheme="minorEastAsia" w:hAnsiTheme="minorHAnsi"/>
                <w:b/>
                <w:bCs/>
                <w:lang w:val="en-US" w:eastAsia="zh-CN"/>
              </w:rPr>
              <w:t>记录在案</w:t>
            </w:r>
            <w:r w:rsidRPr="00701C2A">
              <w:rPr>
                <w:rFonts w:asciiTheme="minorHAnsi" w:eastAsiaTheme="minorEastAsia" w:hAnsiTheme="minorHAnsi"/>
                <w:lang w:val="en-US" w:eastAsia="zh-CN"/>
              </w:rPr>
              <w:t>并酌情</w:t>
            </w:r>
            <w:r w:rsidRPr="00701C2A">
              <w:rPr>
                <w:rFonts w:asciiTheme="minorHAnsi" w:eastAsiaTheme="minorEastAsia" w:hAnsiTheme="minorHAnsi"/>
                <w:b/>
                <w:bCs/>
                <w:lang w:val="en-US" w:eastAsia="zh-CN"/>
              </w:rPr>
              <w:t>提供进一步指导</w:t>
            </w:r>
            <w:r w:rsidRPr="00701C2A">
              <w:rPr>
                <w:rFonts w:asciiTheme="minorHAnsi" w:eastAsiaTheme="minorEastAsia" w:hAnsiTheme="minorHAnsi"/>
                <w:lang w:val="en-US" w:eastAsia="zh-CN"/>
              </w:rPr>
              <w:t>。</w:t>
            </w:r>
          </w:p>
          <w:p w14:paraId="67298F01" w14:textId="77777777" w:rsidR="00DC5A19" w:rsidRPr="00701C2A" w:rsidRDefault="00DC5A19" w:rsidP="00EF2255">
            <w:pPr>
              <w:pStyle w:val="Table"/>
              <w:keepNext w:val="0"/>
              <w:spacing w:before="0" w:after="0"/>
              <w:rPr>
                <w:rFonts w:asciiTheme="minorHAnsi" w:eastAsiaTheme="minorEastAsia" w:hAnsiTheme="minorHAnsi"/>
                <w:caps w:val="0"/>
                <w:sz w:val="22"/>
                <w:lang w:val="en-US" w:eastAsia="zh-CN"/>
              </w:rPr>
            </w:pPr>
            <w:r w:rsidRPr="00701C2A">
              <w:rPr>
                <w:rFonts w:asciiTheme="minorHAnsi" w:eastAsiaTheme="minorEastAsia" w:hAnsiTheme="minorHAnsi"/>
                <w:caps w:val="0"/>
                <w:sz w:val="22"/>
                <w:lang w:val="en-US" w:eastAsia="zh-CN"/>
              </w:rPr>
              <w:t>____________</w:t>
            </w:r>
          </w:p>
          <w:p w14:paraId="405FFEBE" w14:textId="77777777" w:rsidR="00DC5A19" w:rsidRPr="00701C2A" w:rsidRDefault="00DC5A19" w:rsidP="00EF2255">
            <w:pPr>
              <w:pStyle w:val="Headingb"/>
              <w:rPr>
                <w:rFonts w:asciiTheme="minorHAnsi" w:eastAsiaTheme="minorEastAsia" w:hAnsiTheme="minorHAnsi"/>
                <w:lang w:val="en-US" w:eastAsia="zh-CN"/>
              </w:rPr>
            </w:pPr>
            <w:r w:rsidRPr="00701C2A">
              <w:rPr>
                <w:rFonts w:asciiTheme="minorHAnsi" w:eastAsiaTheme="minorEastAsia" w:hAnsiTheme="minorHAnsi"/>
                <w:lang w:val="en-US" w:eastAsia="zh-CN"/>
              </w:rPr>
              <w:t>参考文件</w:t>
            </w:r>
          </w:p>
          <w:bookmarkStart w:id="3" w:name="lt_pId024"/>
          <w:p w14:paraId="3DBC8FA6" w14:textId="4CA4D288" w:rsidR="00DC5A19" w:rsidRPr="00B543DE" w:rsidRDefault="00554315" w:rsidP="00EF2255">
            <w:pPr>
              <w:spacing w:after="120"/>
              <w:rPr>
                <w:rFonts w:ascii="STKaiti" w:eastAsia="STKaiti" w:hAnsi="STKaiti"/>
                <w:strike/>
                <w:lang w:val="en-US" w:eastAsia="zh-CN"/>
              </w:rPr>
            </w:pPr>
            <w:r>
              <w:rPr>
                <w:rStyle w:val="Hyperlink"/>
                <w:rFonts w:eastAsia="STKaiti"/>
                <w:szCs w:val="24"/>
                <w:lang w:eastAsia="zh-CN"/>
              </w:rPr>
              <w:fldChar w:fldCharType="begin"/>
            </w:r>
            <w:r>
              <w:rPr>
                <w:rStyle w:val="Hyperlink"/>
                <w:rFonts w:eastAsia="STKaiti"/>
                <w:szCs w:val="24"/>
                <w:lang w:eastAsia="zh-CN"/>
              </w:rPr>
              <w:instrText xml:space="preserve"> HYPERLINK "https://www.itu.int/md/S16-CL-C-0124/en" </w:instrText>
            </w:r>
            <w:r>
              <w:rPr>
                <w:rStyle w:val="Hyperlink"/>
                <w:rFonts w:eastAsia="STKaiti"/>
                <w:szCs w:val="24"/>
                <w:lang w:eastAsia="zh-CN"/>
              </w:rPr>
              <w:fldChar w:fldCharType="separate"/>
            </w:r>
            <w:r>
              <w:rPr>
                <w:rStyle w:val="Hyperlink"/>
                <w:rFonts w:eastAsia="STKaiti" w:hint="eastAsia"/>
                <w:szCs w:val="24"/>
                <w:lang w:eastAsia="zh-CN"/>
              </w:rPr>
              <w:t>理事会第</w:t>
            </w:r>
            <w:r>
              <w:rPr>
                <w:rStyle w:val="Hyperlink"/>
                <w:rFonts w:eastAsia="STKaiti"/>
                <w:szCs w:val="24"/>
                <w:lang w:eastAsia="zh-CN"/>
              </w:rPr>
              <w:t>588</w:t>
            </w:r>
            <w:r>
              <w:rPr>
                <w:rStyle w:val="Hyperlink"/>
                <w:rFonts w:eastAsia="STKaiti" w:hint="eastAsia"/>
                <w:szCs w:val="24"/>
                <w:lang w:eastAsia="zh-CN"/>
              </w:rPr>
              <w:t>号决定</w:t>
            </w:r>
            <w:r>
              <w:rPr>
                <w:rStyle w:val="Hyperlink"/>
                <w:rFonts w:eastAsia="STKaiti"/>
                <w:szCs w:val="24"/>
                <w:lang w:eastAsia="zh-CN"/>
              </w:rPr>
              <w:fldChar w:fldCharType="end"/>
            </w:r>
            <w:r w:rsidRPr="007B6149">
              <w:rPr>
                <w:rFonts w:hint="eastAsia"/>
                <w:lang w:eastAsia="zh-CN"/>
              </w:rPr>
              <w:t>；</w:t>
            </w:r>
            <w:hyperlink r:id="rId12" w:history="1">
              <w:r w:rsidR="00B23A85" w:rsidRPr="00B23A85">
                <w:rPr>
                  <w:rFonts w:ascii="STKaiti" w:eastAsia="STKaiti" w:hAnsi="STKaiti" w:cs="SimSun" w:hint="eastAsia"/>
                  <w:color w:val="0000FF"/>
                  <w:u w:val="single"/>
                  <w:lang w:eastAsia="zh-CN"/>
                </w:rPr>
                <w:t>理事会第</w:t>
              </w:r>
              <w:r w:rsidR="00B23A85" w:rsidRPr="00B23A85">
                <w:rPr>
                  <w:rFonts w:ascii="STKaiti" w:eastAsia="STKaiti" w:hAnsi="STKaiti"/>
                  <w:color w:val="0000FF"/>
                  <w:u w:val="single"/>
                  <w:lang w:eastAsia="zh-CN"/>
                </w:rPr>
                <w:t>619</w:t>
              </w:r>
            </w:hyperlink>
            <w:r w:rsidR="00B23A85" w:rsidRPr="00B23A85">
              <w:rPr>
                <w:rFonts w:ascii="STKaiti" w:eastAsia="STKaiti" w:hAnsi="STKaiti" w:cs="SimSun" w:hint="eastAsia"/>
                <w:color w:val="0000FF"/>
                <w:u w:val="single"/>
                <w:lang w:eastAsia="zh-CN"/>
              </w:rPr>
              <w:t>号决定</w:t>
            </w:r>
            <w:r w:rsidR="00B23A85" w:rsidRPr="007B6149">
              <w:rPr>
                <w:rFonts w:hint="eastAsia"/>
                <w:lang w:eastAsia="zh-CN"/>
              </w:rPr>
              <w:t>；</w:t>
            </w:r>
            <w:hyperlink r:id="rId13" w:history="1">
              <w:r>
                <w:rPr>
                  <w:rStyle w:val="Hyperlink"/>
                  <w:rFonts w:eastAsia="STKaiti" w:hint="eastAsia"/>
                  <w:szCs w:val="24"/>
                  <w:lang w:eastAsia="zh-CN"/>
                </w:rPr>
                <w:t>第</w:t>
              </w:r>
              <w:r>
                <w:rPr>
                  <w:rStyle w:val="Hyperlink"/>
                  <w:rFonts w:eastAsia="STKaiti"/>
                  <w:szCs w:val="24"/>
                  <w:lang w:eastAsia="zh-CN"/>
                </w:rPr>
                <w:t>212</w:t>
              </w:r>
              <w:r>
                <w:rPr>
                  <w:rStyle w:val="Hyperlink"/>
                  <w:rFonts w:eastAsia="STKaiti" w:hint="eastAsia"/>
                  <w:szCs w:val="24"/>
                  <w:lang w:eastAsia="zh-CN"/>
                </w:rPr>
                <w:t>号决议（</w:t>
              </w:r>
              <w:r>
                <w:rPr>
                  <w:rStyle w:val="Hyperlink"/>
                  <w:rFonts w:eastAsia="STKaiti"/>
                  <w:szCs w:val="24"/>
                  <w:lang w:eastAsia="zh-CN"/>
                </w:rPr>
                <w:t>2018</w:t>
              </w:r>
              <w:r>
                <w:rPr>
                  <w:rStyle w:val="Hyperlink"/>
                  <w:rFonts w:eastAsia="STKaiti" w:hint="eastAsia"/>
                  <w:szCs w:val="24"/>
                  <w:lang w:eastAsia="zh-CN"/>
                </w:rPr>
                <w:t>年，迪拜）</w:t>
              </w:r>
            </w:hyperlink>
            <w:r w:rsidRPr="007B6149">
              <w:rPr>
                <w:rFonts w:hint="eastAsia"/>
                <w:lang w:eastAsia="zh-CN"/>
              </w:rPr>
              <w:t>；</w:t>
            </w:r>
            <w:hyperlink r:id="rId14" w:history="1">
              <w:r w:rsidR="00B23A85" w:rsidRPr="00B23A85">
                <w:rPr>
                  <w:rStyle w:val="Hyperlink"/>
                  <w:rFonts w:ascii="STKaiti" w:eastAsia="STKaiti" w:hAnsi="STKaiti"/>
                  <w:lang w:eastAsia="zh-CN"/>
                </w:rPr>
                <w:t>C19/48</w:t>
              </w:r>
            </w:hyperlink>
            <w:bookmarkEnd w:id="3"/>
            <w:r w:rsidR="00B23A85" w:rsidRPr="00B23A85">
              <w:rPr>
                <w:rStyle w:val="Hyperlink"/>
                <w:rFonts w:ascii="STKaiti" w:eastAsia="STKaiti" w:hAnsi="STKaiti" w:hint="eastAsia"/>
                <w:lang w:eastAsia="zh-CN"/>
              </w:rPr>
              <w:t>号文件</w:t>
            </w:r>
          </w:p>
        </w:tc>
      </w:tr>
    </w:tbl>
    <w:p w14:paraId="3009098D" w14:textId="0AB280C9" w:rsidR="00B23A85" w:rsidRDefault="00B23A85" w:rsidP="007B6149">
      <w:pPr>
        <w:spacing w:before="360"/>
        <w:ind w:firstLineChars="200" w:firstLine="480"/>
        <w:rPr>
          <w:lang w:eastAsia="zh-CN"/>
        </w:rPr>
      </w:pPr>
      <w:bookmarkStart w:id="4" w:name="dstart"/>
      <w:bookmarkStart w:id="5" w:name="dbreak"/>
      <w:bookmarkStart w:id="6" w:name="lt_pId026"/>
      <w:bookmarkStart w:id="7" w:name="lt_pId025"/>
      <w:bookmarkEnd w:id="4"/>
      <w:bookmarkEnd w:id="5"/>
      <w:r w:rsidRPr="004A19C6">
        <w:rPr>
          <w:rFonts w:hint="eastAsia"/>
          <w:lang w:eastAsia="zh-CN"/>
        </w:rPr>
        <w:t>自理事会</w:t>
      </w:r>
      <w:r w:rsidRPr="004A19C6">
        <w:rPr>
          <w:rFonts w:hint="eastAsia"/>
          <w:lang w:eastAsia="zh-CN"/>
        </w:rPr>
        <w:t>201</w:t>
      </w:r>
      <w:r>
        <w:rPr>
          <w:rFonts w:hint="eastAsia"/>
          <w:lang w:eastAsia="zh-CN"/>
        </w:rPr>
        <w:t>9</w:t>
      </w:r>
      <w:r w:rsidRPr="004A19C6">
        <w:rPr>
          <w:rFonts w:hint="eastAsia"/>
          <w:lang w:eastAsia="zh-CN"/>
        </w:rPr>
        <w:t>年</w:t>
      </w:r>
      <w:r>
        <w:rPr>
          <w:rFonts w:hint="eastAsia"/>
          <w:lang w:eastAsia="zh-CN"/>
        </w:rPr>
        <w:t>6</w:t>
      </w:r>
      <w:r w:rsidRPr="004A19C6">
        <w:rPr>
          <w:rFonts w:hint="eastAsia"/>
          <w:lang w:eastAsia="zh-CN"/>
        </w:rPr>
        <w:t>月</w:t>
      </w:r>
      <w:r>
        <w:rPr>
          <w:rFonts w:hint="eastAsia"/>
          <w:lang w:eastAsia="zh-CN"/>
        </w:rPr>
        <w:t>会议</w:t>
      </w:r>
      <w:r w:rsidRPr="004A19C6">
        <w:rPr>
          <w:rFonts w:hint="eastAsia"/>
          <w:lang w:eastAsia="zh-CN"/>
        </w:rPr>
        <w:t>以来，</w:t>
      </w:r>
      <w:r w:rsidRPr="00701C2A">
        <w:rPr>
          <w:rFonts w:eastAsiaTheme="minorEastAsia"/>
          <w:lang w:val="en-US" w:eastAsia="zh-CN"/>
        </w:rPr>
        <w:t>国际电联总部办公场所项目成员国顾问组（</w:t>
      </w:r>
      <w:r w:rsidRPr="00701C2A">
        <w:rPr>
          <w:rFonts w:eastAsiaTheme="minorEastAsia"/>
          <w:lang w:val="en-US" w:eastAsia="zh-CN"/>
        </w:rPr>
        <w:t>MSAG</w:t>
      </w:r>
      <w:r w:rsidRPr="00701C2A">
        <w:rPr>
          <w:rFonts w:eastAsiaTheme="minorEastAsia"/>
          <w:lang w:val="en-US" w:eastAsia="zh-CN"/>
        </w:rPr>
        <w:t>）</w:t>
      </w:r>
      <w:r w:rsidRPr="004A19C6">
        <w:rPr>
          <w:rFonts w:hint="eastAsia"/>
          <w:lang w:eastAsia="zh-CN"/>
        </w:rPr>
        <w:t>举行了三次会议。</w:t>
      </w:r>
      <w:r w:rsidR="00464A95">
        <w:rPr>
          <w:rFonts w:hint="eastAsia"/>
          <w:lang w:eastAsia="zh-CN"/>
        </w:rPr>
        <w:t>前两次会议分别于</w:t>
      </w:r>
      <w:r w:rsidR="00464A95">
        <w:rPr>
          <w:rFonts w:hint="eastAsia"/>
          <w:lang w:eastAsia="zh-CN"/>
        </w:rPr>
        <w:t>2019</w:t>
      </w:r>
      <w:r w:rsidR="00464A95">
        <w:rPr>
          <w:rFonts w:hint="eastAsia"/>
          <w:lang w:eastAsia="zh-CN"/>
        </w:rPr>
        <w:t>年</w:t>
      </w:r>
      <w:r w:rsidR="00464A95">
        <w:rPr>
          <w:rFonts w:hint="eastAsia"/>
          <w:lang w:eastAsia="zh-CN"/>
        </w:rPr>
        <w:t>9</w:t>
      </w:r>
      <w:r w:rsidR="00464A95">
        <w:rPr>
          <w:rFonts w:hint="eastAsia"/>
          <w:lang w:eastAsia="zh-CN"/>
        </w:rPr>
        <w:t>月</w:t>
      </w:r>
      <w:r w:rsidR="00464A95">
        <w:rPr>
          <w:rFonts w:hint="eastAsia"/>
          <w:lang w:eastAsia="zh-CN"/>
        </w:rPr>
        <w:t>19</w:t>
      </w:r>
      <w:r w:rsidR="00464A95">
        <w:rPr>
          <w:rFonts w:hint="eastAsia"/>
          <w:lang w:eastAsia="zh-CN"/>
        </w:rPr>
        <w:t>日和</w:t>
      </w:r>
      <w:r w:rsidR="00464A95">
        <w:rPr>
          <w:rFonts w:hint="eastAsia"/>
          <w:lang w:eastAsia="zh-CN"/>
        </w:rPr>
        <w:t>2020</w:t>
      </w:r>
      <w:r w:rsidR="00464A95">
        <w:rPr>
          <w:rFonts w:hint="eastAsia"/>
          <w:lang w:eastAsia="zh-CN"/>
        </w:rPr>
        <w:t>年</w:t>
      </w:r>
      <w:r w:rsidR="00464A95">
        <w:rPr>
          <w:rFonts w:hint="eastAsia"/>
          <w:lang w:eastAsia="zh-CN"/>
        </w:rPr>
        <w:t>2</w:t>
      </w:r>
      <w:r w:rsidR="00464A95">
        <w:rPr>
          <w:rFonts w:hint="eastAsia"/>
          <w:lang w:eastAsia="zh-CN"/>
        </w:rPr>
        <w:t>月</w:t>
      </w:r>
      <w:r w:rsidR="00464A95">
        <w:rPr>
          <w:rFonts w:hint="eastAsia"/>
          <w:lang w:eastAsia="zh-CN"/>
        </w:rPr>
        <w:t>10</w:t>
      </w:r>
      <w:r w:rsidR="00464A95">
        <w:rPr>
          <w:rFonts w:hint="eastAsia"/>
          <w:lang w:eastAsia="zh-CN"/>
        </w:rPr>
        <w:t>日在日内瓦召开，提供了远程参会的可能性，由</w:t>
      </w:r>
      <w:r w:rsidRPr="00B23A85">
        <w:rPr>
          <w:rFonts w:asciiTheme="minorHAnsi" w:eastAsia="Times New Roman" w:hAnsiTheme="minorHAnsi"/>
          <w:spacing w:val="-2"/>
          <w:lang w:eastAsia="zh-CN"/>
        </w:rPr>
        <w:t>Dietmar Plesse</w:t>
      </w:r>
      <w:r w:rsidR="00464A95">
        <w:rPr>
          <w:rFonts w:asciiTheme="minorEastAsia" w:eastAsiaTheme="minorEastAsia" w:hAnsiTheme="minorEastAsia" w:hint="eastAsia"/>
          <w:spacing w:val="-2"/>
          <w:lang w:eastAsia="zh-CN"/>
        </w:rPr>
        <w:t>先生</w:t>
      </w:r>
      <w:r w:rsidR="00190EC0">
        <w:rPr>
          <w:rFonts w:ascii="SimSun" w:hAnsi="SimSun" w:cs="SimSun" w:hint="eastAsia"/>
          <w:spacing w:val="-2"/>
          <w:lang w:eastAsia="zh-CN"/>
        </w:rPr>
        <w:t>（</w:t>
      </w:r>
      <w:r w:rsidR="00464A95">
        <w:rPr>
          <w:rFonts w:asciiTheme="minorEastAsia" w:eastAsiaTheme="minorEastAsia" w:hAnsiTheme="minorEastAsia" w:hint="eastAsia"/>
          <w:spacing w:val="-2"/>
          <w:lang w:eastAsia="zh-CN"/>
        </w:rPr>
        <w:t>德国</w:t>
      </w:r>
      <w:r w:rsidR="00190EC0">
        <w:rPr>
          <w:rFonts w:ascii="SimSun" w:hAnsi="SimSun" w:cs="SimSun" w:hint="eastAsia"/>
          <w:spacing w:val="-2"/>
          <w:lang w:eastAsia="zh-CN"/>
        </w:rPr>
        <w:t>）</w:t>
      </w:r>
      <w:r w:rsidR="00464A95">
        <w:rPr>
          <w:rFonts w:asciiTheme="minorEastAsia" w:eastAsiaTheme="minorEastAsia" w:hAnsiTheme="minorEastAsia" w:hint="eastAsia"/>
          <w:spacing w:val="-2"/>
          <w:lang w:eastAsia="zh-CN"/>
        </w:rPr>
        <w:t>担任主席，第三次是</w:t>
      </w:r>
      <w:r w:rsidR="00464A95" w:rsidRPr="00190EC0">
        <w:rPr>
          <w:lang w:eastAsia="zh-CN"/>
        </w:rPr>
        <w:t>2020</w:t>
      </w:r>
      <w:r w:rsidR="00464A95" w:rsidRPr="00190EC0">
        <w:rPr>
          <w:lang w:eastAsia="zh-CN"/>
        </w:rPr>
        <w:t>年</w:t>
      </w:r>
      <w:r w:rsidR="00464A95" w:rsidRPr="00190EC0">
        <w:rPr>
          <w:lang w:eastAsia="zh-CN"/>
        </w:rPr>
        <w:t>5</w:t>
      </w:r>
      <w:r w:rsidR="00464A95" w:rsidRPr="00190EC0">
        <w:rPr>
          <w:lang w:eastAsia="zh-CN"/>
        </w:rPr>
        <w:t>月</w:t>
      </w:r>
      <w:r w:rsidR="00464A95" w:rsidRPr="00190EC0">
        <w:rPr>
          <w:lang w:eastAsia="zh-CN"/>
        </w:rPr>
        <w:t>7</w:t>
      </w:r>
      <w:r w:rsidR="00464A95" w:rsidRPr="00190EC0">
        <w:rPr>
          <w:lang w:eastAsia="zh-CN"/>
        </w:rPr>
        <w:t>日</w:t>
      </w:r>
      <w:r w:rsidR="00464A95">
        <w:rPr>
          <w:rFonts w:asciiTheme="minorEastAsia" w:eastAsiaTheme="minorEastAsia" w:hAnsiTheme="minorEastAsia" w:hint="eastAsia"/>
          <w:spacing w:val="-2"/>
          <w:lang w:eastAsia="zh-CN"/>
        </w:rPr>
        <w:t>举行的虚拟会议，由</w:t>
      </w:r>
      <w:r w:rsidRPr="00B23A85">
        <w:rPr>
          <w:rFonts w:asciiTheme="minorHAnsi" w:eastAsia="Times New Roman" w:hAnsiTheme="minorHAnsi"/>
          <w:lang w:eastAsia="zh-CN"/>
        </w:rPr>
        <w:t xml:space="preserve">Greg </w:t>
      </w:r>
      <w:proofErr w:type="spellStart"/>
      <w:r w:rsidRPr="00B23A85">
        <w:rPr>
          <w:rFonts w:asciiTheme="minorHAnsi" w:eastAsia="Times New Roman" w:hAnsiTheme="minorHAnsi"/>
          <w:lang w:eastAsia="zh-CN"/>
        </w:rPr>
        <w:t>Ratta</w:t>
      </w:r>
      <w:proofErr w:type="spellEnd"/>
      <w:r w:rsidR="00464A95">
        <w:rPr>
          <w:rFonts w:asciiTheme="minorEastAsia" w:eastAsiaTheme="minorEastAsia" w:hAnsiTheme="minorEastAsia" w:hint="eastAsia"/>
          <w:lang w:eastAsia="zh-CN"/>
        </w:rPr>
        <w:t>先生</w:t>
      </w:r>
      <w:r w:rsidR="00190EC0">
        <w:rPr>
          <w:rFonts w:ascii="SimSun" w:hAnsi="SimSun" w:cs="SimSun" w:hint="eastAsia"/>
          <w:lang w:eastAsia="zh-CN"/>
        </w:rPr>
        <w:t>（</w:t>
      </w:r>
      <w:r w:rsidR="00464A95">
        <w:rPr>
          <w:rFonts w:asciiTheme="minorEastAsia" w:eastAsiaTheme="minorEastAsia" w:hAnsiTheme="minorEastAsia" w:hint="eastAsia"/>
          <w:lang w:eastAsia="zh-CN"/>
        </w:rPr>
        <w:t>美国</w:t>
      </w:r>
      <w:r w:rsidR="00190EC0">
        <w:rPr>
          <w:rFonts w:ascii="SimSun" w:hAnsi="SimSun" w:cs="SimSun" w:hint="eastAsia"/>
          <w:lang w:eastAsia="zh-CN"/>
        </w:rPr>
        <w:t>）</w:t>
      </w:r>
      <w:r w:rsidR="00464A95">
        <w:rPr>
          <w:rFonts w:asciiTheme="minorEastAsia" w:eastAsiaTheme="minorEastAsia" w:hAnsiTheme="minorEastAsia" w:hint="eastAsia"/>
          <w:lang w:eastAsia="zh-CN"/>
        </w:rPr>
        <w:t>担任主席。</w:t>
      </w:r>
      <w:bookmarkEnd w:id="6"/>
      <w:r w:rsidRPr="004A19C6">
        <w:rPr>
          <w:rFonts w:hint="eastAsia"/>
          <w:lang w:eastAsia="zh-CN"/>
        </w:rPr>
        <w:t>可通过以下链接查阅这些会议的完整报告</w:t>
      </w:r>
      <w:r>
        <w:rPr>
          <w:rFonts w:hint="eastAsia"/>
          <w:lang w:eastAsia="zh-CN"/>
        </w:rPr>
        <w:t>：</w:t>
      </w:r>
      <w:hyperlink r:id="rId15" w:history="1">
        <w:r w:rsidRPr="00FE7CFF">
          <w:rPr>
            <w:rStyle w:val="Hyperlink"/>
            <w:rFonts w:asciiTheme="minorHAnsi" w:hAnsiTheme="minorHAnsi"/>
            <w:lang w:eastAsia="zh-CN"/>
          </w:rPr>
          <w:t>https://www.itu.int/en/hq-building/Pages/default.aspx</w:t>
        </w:r>
      </w:hyperlink>
      <w:r>
        <w:rPr>
          <w:lang w:eastAsia="zh-CN"/>
        </w:rPr>
        <w:t>（需</w:t>
      </w:r>
      <w:r w:rsidRPr="00FE7CFF">
        <w:rPr>
          <w:lang w:eastAsia="zh-CN"/>
        </w:rPr>
        <w:t>TIES</w:t>
      </w:r>
      <w:r>
        <w:rPr>
          <w:lang w:eastAsia="zh-CN"/>
        </w:rPr>
        <w:t>密码）。</w:t>
      </w:r>
    </w:p>
    <w:bookmarkEnd w:id="7"/>
    <w:p w14:paraId="5570DA59" w14:textId="476B3772" w:rsidR="00B23A85" w:rsidRPr="00B23A85" w:rsidRDefault="00B23A85" w:rsidP="00190EC0">
      <w:pPr>
        <w:pStyle w:val="Heading1"/>
        <w:rPr>
          <w:lang w:eastAsia="zh-CN"/>
        </w:rPr>
      </w:pPr>
      <w:r w:rsidRPr="00B23A85">
        <w:rPr>
          <w:lang w:eastAsia="zh-CN"/>
        </w:rPr>
        <w:t>1</w:t>
      </w:r>
      <w:r w:rsidRPr="00B23A85">
        <w:rPr>
          <w:lang w:eastAsia="zh-CN"/>
        </w:rPr>
        <w:tab/>
      </w:r>
      <w:r w:rsidR="00652562">
        <w:rPr>
          <w:rFonts w:asciiTheme="minorEastAsia" w:eastAsiaTheme="minorEastAsia" w:hAnsiTheme="minorEastAsia" w:hint="eastAsia"/>
          <w:lang w:eastAsia="zh-CN"/>
        </w:rPr>
        <w:t>近期</w:t>
      </w:r>
      <w:r w:rsidR="00652562">
        <w:rPr>
          <w:lang w:eastAsia="zh-CN"/>
        </w:rPr>
        <w:t>MSAG</w:t>
      </w:r>
      <w:r w:rsidR="00652562">
        <w:rPr>
          <w:rFonts w:asciiTheme="minorEastAsia" w:eastAsiaTheme="minorEastAsia" w:hAnsiTheme="minorEastAsia" w:hint="eastAsia"/>
          <w:lang w:eastAsia="zh-CN"/>
        </w:rPr>
        <w:t>会议总结</w:t>
      </w:r>
    </w:p>
    <w:p w14:paraId="65755E6C" w14:textId="0C05970A" w:rsidR="00B23A85" w:rsidRPr="00B23A85" w:rsidRDefault="00652562" w:rsidP="00190EC0">
      <w:pPr>
        <w:tabs>
          <w:tab w:val="clear" w:pos="794"/>
          <w:tab w:val="clear" w:pos="1191"/>
          <w:tab w:val="clear" w:pos="1588"/>
          <w:tab w:val="clear" w:pos="1985"/>
          <w:tab w:val="left" w:pos="567"/>
          <w:tab w:val="left" w:pos="1134"/>
          <w:tab w:val="left" w:pos="1701"/>
          <w:tab w:val="left" w:pos="2268"/>
          <w:tab w:val="left" w:pos="2835"/>
        </w:tabs>
        <w:ind w:firstLineChars="200" w:firstLine="480"/>
        <w:jc w:val="both"/>
        <w:rPr>
          <w:rFonts w:asciiTheme="minorHAnsi" w:eastAsia="Times New Roman" w:hAnsiTheme="minorHAnsi" w:cstheme="minorHAnsi"/>
          <w:lang w:eastAsia="zh-CN"/>
        </w:rPr>
      </w:pPr>
      <w:r w:rsidRPr="00652562">
        <w:rPr>
          <w:lang w:eastAsia="zh-CN"/>
        </w:rPr>
        <w:t>虽然理事会第</w:t>
      </w:r>
      <w:r w:rsidRPr="00652562">
        <w:rPr>
          <w:lang w:eastAsia="zh-CN"/>
        </w:rPr>
        <w:t>619</w:t>
      </w:r>
      <w:r w:rsidRPr="00652562">
        <w:rPr>
          <w:lang w:eastAsia="zh-CN"/>
        </w:rPr>
        <w:t>号</w:t>
      </w:r>
      <w:r>
        <w:rPr>
          <w:rFonts w:hint="eastAsia"/>
          <w:lang w:eastAsia="zh-CN"/>
        </w:rPr>
        <w:t>决议责成</w:t>
      </w:r>
      <w:r w:rsidRPr="00652562">
        <w:rPr>
          <w:lang w:eastAsia="zh-CN"/>
        </w:rPr>
        <w:t>秘书长每季度向</w:t>
      </w:r>
      <w:r w:rsidRPr="00652562">
        <w:rPr>
          <w:lang w:eastAsia="zh-CN"/>
        </w:rPr>
        <w:t>MSAG</w:t>
      </w:r>
      <w:r w:rsidRPr="00652562">
        <w:rPr>
          <w:lang w:eastAsia="zh-CN"/>
        </w:rPr>
        <w:t>提供最新情况，但</w:t>
      </w:r>
      <w:r w:rsidRPr="00652562">
        <w:rPr>
          <w:lang w:eastAsia="zh-CN"/>
        </w:rPr>
        <w:t>MSAG</w:t>
      </w:r>
      <w:r w:rsidRPr="00652562">
        <w:rPr>
          <w:lang w:eastAsia="zh-CN"/>
        </w:rPr>
        <w:t>在</w:t>
      </w:r>
      <w:r w:rsidRPr="00652562">
        <w:rPr>
          <w:lang w:eastAsia="zh-CN"/>
        </w:rPr>
        <w:t>2019</w:t>
      </w:r>
      <w:r w:rsidRPr="00652562">
        <w:rPr>
          <w:lang w:eastAsia="zh-CN"/>
        </w:rPr>
        <w:t>年只举行了三次会议。在</w:t>
      </w:r>
      <w:r w:rsidRPr="00652562">
        <w:rPr>
          <w:lang w:eastAsia="zh-CN"/>
        </w:rPr>
        <w:t>2019</w:t>
      </w:r>
      <w:r w:rsidRPr="00652562">
        <w:rPr>
          <w:lang w:eastAsia="zh-CN"/>
        </w:rPr>
        <w:t>年</w:t>
      </w:r>
      <w:r w:rsidRPr="00652562">
        <w:rPr>
          <w:lang w:eastAsia="zh-CN"/>
        </w:rPr>
        <w:t>9</w:t>
      </w:r>
      <w:r w:rsidRPr="00652562">
        <w:rPr>
          <w:lang w:eastAsia="zh-CN"/>
        </w:rPr>
        <w:t>月的会议上，主席要求不要在</w:t>
      </w:r>
      <w:r w:rsidRPr="00652562">
        <w:rPr>
          <w:lang w:eastAsia="zh-CN"/>
        </w:rPr>
        <w:t>12</w:t>
      </w:r>
      <w:r w:rsidRPr="00652562">
        <w:rPr>
          <w:lang w:eastAsia="zh-CN"/>
        </w:rPr>
        <w:t>月举行会议，因为离</w:t>
      </w:r>
      <w:r w:rsidRPr="00652562">
        <w:rPr>
          <w:lang w:eastAsia="zh-CN"/>
        </w:rPr>
        <w:t>2020</w:t>
      </w:r>
      <w:r w:rsidRPr="00652562">
        <w:rPr>
          <w:lang w:eastAsia="zh-CN"/>
        </w:rPr>
        <w:t>年</w:t>
      </w:r>
      <w:r w:rsidRPr="00652562">
        <w:rPr>
          <w:lang w:eastAsia="zh-CN"/>
        </w:rPr>
        <w:t>2</w:t>
      </w:r>
      <w:r w:rsidRPr="00652562">
        <w:rPr>
          <w:lang w:eastAsia="zh-CN"/>
        </w:rPr>
        <w:t>月的</w:t>
      </w:r>
      <w:r>
        <w:rPr>
          <w:rFonts w:hint="eastAsia"/>
          <w:lang w:eastAsia="zh-CN"/>
        </w:rPr>
        <w:t>理事会工作组</w:t>
      </w:r>
      <w:r w:rsidRPr="00652562">
        <w:rPr>
          <w:lang w:eastAsia="zh-CN"/>
        </w:rPr>
        <w:t>会议和下一次</w:t>
      </w:r>
      <w:r w:rsidRPr="00652562">
        <w:rPr>
          <w:lang w:eastAsia="zh-CN"/>
        </w:rPr>
        <w:t>MSAG</w:t>
      </w:r>
      <w:r w:rsidRPr="00652562">
        <w:rPr>
          <w:lang w:eastAsia="zh-CN"/>
        </w:rPr>
        <w:t>会议</w:t>
      </w:r>
      <w:r>
        <w:rPr>
          <w:rFonts w:hint="eastAsia"/>
          <w:lang w:eastAsia="zh-CN"/>
        </w:rPr>
        <w:t>时间</w:t>
      </w:r>
      <w:r w:rsidRPr="00652562">
        <w:rPr>
          <w:lang w:eastAsia="zh-CN"/>
        </w:rPr>
        <w:t>太近。自</w:t>
      </w:r>
      <w:r w:rsidRPr="00652562">
        <w:rPr>
          <w:lang w:eastAsia="zh-CN"/>
        </w:rPr>
        <w:t>2019</w:t>
      </w:r>
      <w:r w:rsidRPr="00652562">
        <w:rPr>
          <w:lang w:eastAsia="zh-CN"/>
        </w:rPr>
        <w:t>年</w:t>
      </w:r>
      <w:r w:rsidRPr="00652562">
        <w:rPr>
          <w:lang w:eastAsia="zh-CN"/>
        </w:rPr>
        <w:t>6</w:t>
      </w:r>
      <w:r w:rsidRPr="00652562">
        <w:rPr>
          <w:lang w:eastAsia="zh-CN"/>
        </w:rPr>
        <w:t>月理事会以来召开的会议概述如下。</w:t>
      </w:r>
    </w:p>
    <w:p w14:paraId="62B44A1F" w14:textId="2BA098D5" w:rsidR="00B23A85" w:rsidRPr="00B23A85" w:rsidRDefault="00B23A85" w:rsidP="00B23A85">
      <w:pPr>
        <w:tabs>
          <w:tab w:val="clear" w:pos="794"/>
          <w:tab w:val="clear" w:pos="1191"/>
          <w:tab w:val="clear" w:pos="1588"/>
          <w:tab w:val="clear" w:pos="1985"/>
          <w:tab w:val="left" w:pos="567"/>
          <w:tab w:val="left" w:pos="1134"/>
          <w:tab w:val="left" w:pos="1701"/>
          <w:tab w:val="left" w:pos="2268"/>
          <w:tab w:val="left" w:pos="2835"/>
        </w:tabs>
        <w:snapToGrid w:val="0"/>
        <w:spacing w:before="240" w:after="120"/>
        <w:jc w:val="both"/>
        <w:rPr>
          <w:color w:val="000000" w:themeColor="text1"/>
          <w:szCs w:val="24"/>
          <w:lang w:eastAsia="zh-CN"/>
        </w:rPr>
      </w:pPr>
      <w:r w:rsidRPr="00B23A85">
        <w:rPr>
          <w:rFonts w:asciiTheme="minorHAnsi" w:eastAsia="Times New Roman" w:hAnsiTheme="minorHAnsi"/>
          <w:color w:val="000000" w:themeColor="text1"/>
          <w:lang w:eastAsia="zh-CN"/>
        </w:rPr>
        <w:t>1.1.</w:t>
      </w:r>
      <w:r w:rsidRPr="00B23A85">
        <w:rPr>
          <w:rFonts w:asciiTheme="minorHAnsi" w:eastAsia="Times New Roman" w:hAnsiTheme="minorHAnsi"/>
          <w:color w:val="000000" w:themeColor="text1"/>
          <w:lang w:eastAsia="zh-CN"/>
        </w:rPr>
        <w:tab/>
      </w:r>
      <w:bookmarkStart w:id="8" w:name="lt_pId034"/>
      <w:r w:rsidR="00652562" w:rsidRPr="00652562">
        <w:rPr>
          <w:lang w:eastAsia="zh-CN"/>
        </w:rPr>
        <w:t>在</w:t>
      </w:r>
      <w:r w:rsidR="00652562" w:rsidRPr="00652562">
        <w:rPr>
          <w:b/>
          <w:lang w:eastAsia="zh-CN"/>
        </w:rPr>
        <w:t>第</w:t>
      </w:r>
      <w:r w:rsidR="00652562" w:rsidRPr="00652562">
        <w:rPr>
          <w:b/>
          <w:lang w:eastAsia="zh-CN"/>
        </w:rPr>
        <w:t>8</w:t>
      </w:r>
      <w:r w:rsidR="00652562" w:rsidRPr="00652562">
        <w:rPr>
          <w:b/>
          <w:lang w:eastAsia="zh-CN"/>
        </w:rPr>
        <w:t>次会议</w:t>
      </w:r>
      <w:r w:rsidR="00ED6C5F">
        <w:rPr>
          <w:rFonts w:hint="eastAsia"/>
          <w:lang w:eastAsia="zh-CN"/>
        </w:rPr>
        <w:t>（</w:t>
      </w:r>
      <w:r w:rsidR="00652562" w:rsidRPr="00652562">
        <w:rPr>
          <w:lang w:eastAsia="zh-CN"/>
        </w:rPr>
        <w:t>2019</w:t>
      </w:r>
      <w:r w:rsidR="00652562" w:rsidRPr="00652562">
        <w:rPr>
          <w:lang w:eastAsia="zh-CN"/>
        </w:rPr>
        <w:t>年</w:t>
      </w:r>
      <w:r w:rsidR="00652562" w:rsidRPr="00652562">
        <w:rPr>
          <w:lang w:eastAsia="zh-CN"/>
        </w:rPr>
        <w:t>9</w:t>
      </w:r>
      <w:r w:rsidR="00652562" w:rsidRPr="00652562">
        <w:rPr>
          <w:lang w:eastAsia="zh-CN"/>
        </w:rPr>
        <w:t>月</w:t>
      </w:r>
      <w:r w:rsidR="00652562" w:rsidRPr="00652562">
        <w:rPr>
          <w:lang w:eastAsia="zh-CN"/>
        </w:rPr>
        <w:t>19</w:t>
      </w:r>
      <w:r w:rsidR="00652562" w:rsidRPr="00652562">
        <w:rPr>
          <w:lang w:eastAsia="zh-CN"/>
        </w:rPr>
        <w:t>日</w:t>
      </w:r>
      <w:r w:rsidR="00ED6C5F">
        <w:rPr>
          <w:rFonts w:hint="eastAsia"/>
          <w:lang w:eastAsia="zh-CN"/>
        </w:rPr>
        <w:t>）</w:t>
      </w:r>
      <w:r w:rsidR="00652562" w:rsidRPr="00652562">
        <w:rPr>
          <w:lang w:eastAsia="zh-CN"/>
        </w:rPr>
        <w:t>期间，</w:t>
      </w:r>
      <w:r w:rsidR="00652562" w:rsidRPr="00652562">
        <w:rPr>
          <w:lang w:eastAsia="zh-CN"/>
        </w:rPr>
        <w:t>MSAG</w:t>
      </w:r>
      <w:r w:rsidR="00652562" w:rsidRPr="00652562">
        <w:rPr>
          <w:lang w:eastAsia="zh-CN"/>
        </w:rPr>
        <w:t>讨论了</w:t>
      </w:r>
      <w:r w:rsidR="00652562">
        <w:rPr>
          <w:rFonts w:hint="eastAsia"/>
          <w:lang w:eastAsia="zh-CN"/>
        </w:rPr>
        <w:t>国际电联</w:t>
      </w:r>
      <w:r w:rsidR="00652562" w:rsidRPr="00652562">
        <w:rPr>
          <w:lang w:eastAsia="zh-CN"/>
        </w:rPr>
        <w:t>总部</w:t>
      </w:r>
      <w:r w:rsidR="00652562">
        <w:rPr>
          <w:rFonts w:hint="eastAsia"/>
          <w:lang w:eastAsia="zh-CN"/>
        </w:rPr>
        <w:t>办公场所</w:t>
      </w:r>
      <w:r w:rsidR="00652562" w:rsidRPr="00652562">
        <w:rPr>
          <w:lang w:eastAsia="zh-CN"/>
        </w:rPr>
        <w:t>项目的进展情况，</w:t>
      </w:r>
      <w:r w:rsidR="00652562">
        <w:rPr>
          <w:rFonts w:hint="eastAsia"/>
          <w:lang w:eastAsia="zh-CN"/>
        </w:rPr>
        <w:t>这些情况已通过</w:t>
      </w:r>
      <w:hyperlink r:id="rId16" w:history="1">
        <w:r w:rsidR="00652562" w:rsidRPr="00B23A85">
          <w:rPr>
            <w:color w:val="0000FF"/>
            <w:szCs w:val="24"/>
            <w:u w:val="single"/>
            <w:lang w:eastAsia="zh-CN"/>
          </w:rPr>
          <w:t>C19/ADD/2</w:t>
        </w:r>
      </w:hyperlink>
      <w:r w:rsidR="00652562">
        <w:rPr>
          <w:rFonts w:hint="eastAsia"/>
          <w:lang w:eastAsia="zh-CN"/>
        </w:rPr>
        <w:t>和</w:t>
      </w:r>
      <w:r w:rsidR="007C5680">
        <w:fldChar w:fldCharType="begin"/>
      </w:r>
      <w:r w:rsidR="007C5680">
        <w:rPr>
          <w:lang w:eastAsia="zh-CN"/>
        </w:rPr>
        <w:instrText xml:space="preserve"> HYPERLINK "https://www.itu.int/md/S19-CLADD-INF/en" </w:instrText>
      </w:r>
      <w:r w:rsidR="007C5680">
        <w:fldChar w:fldCharType="separate"/>
      </w:r>
      <w:r w:rsidR="00652562" w:rsidRPr="00B23A85">
        <w:rPr>
          <w:color w:val="0000FF"/>
          <w:szCs w:val="24"/>
          <w:u w:val="single"/>
          <w:lang w:eastAsia="zh-CN"/>
        </w:rPr>
        <w:t>C19/ADD/INF</w:t>
      </w:r>
      <w:r w:rsidR="007C5680">
        <w:rPr>
          <w:color w:val="0000FF"/>
          <w:szCs w:val="24"/>
          <w:u w:val="single"/>
          <w:lang w:eastAsia="zh-CN"/>
        </w:rPr>
        <w:fldChar w:fldCharType="end"/>
      </w:r>
      <w:r w:rsidR="00652562">
        <w:rPr>
          <w:rFonts w:hint="eastAsia"/>
          <w:lang w:eastAsia="zh-CN"/>
        </w:rPr>
        <w:t>号文件</w:t>
      </w:r>
      <w:r w:rsidR="00652562" w:rsidRPr="00652562">
        <w:rPr>
          <w:lang w:eastAsia="zh-CN"/>
        </w:rPr>
        <w:t>向</w:t>
      </w:r>
      <w:r w:rsidR="00652562" w:rsidRPr="00652562">
        <w:rPr>
          <w:lang w:eastAsia="zh-CN"/>
        </w:rPr>
        <w:t>2019</w:t>
      </w:r>
      <w:r w:rsidR="00652562" w:rsidRPr="00652562">
        <w:rPr>
          <w:lang w:eastAsia="zh-CN"/>
        </w:rPr>
        <w:t>年</w:t>
      </w:r>
      <w:r w:rsidR="00652562" w:rsidRPr="00652562">
        <w:rPr>
          <w:lang w:eastAsia="zh-CN"/>
        </w:rPr>
        <w:t>9</w:t>
      </w:r>
      <w:r w:rsidR="00652562" w:rsidRPr="00652562">
        <w:rPr>
          <w:lang w:eastAsia="zh-CN"/>
        </w:rPr>
        <w:t>月</w:t>
      </w:r>
      <w:r w:rsidR="00652562" w:rsidRPr="00652562">
        <w:rPr>
          <w:lang w:eastAsia="zh-CN"/>
        </w:rPr>
        <w:t>27</w:t>
      </w:r>
      <w:r w:rsidR="00652562" w:rsidRPr="00652562">
        <w:rPr>
          <w:lang w:eastAsia="zh-CN"/>
        </w:rPr>
        <w:t>日召开的理事会</w:t>
      </w:r>
      <w:r w:rsidR="00652562">
        <w:rPr>
          <w:rFonts w:hint="eastAsia"/>
          <w:lang w:eastAsia="zh-CN"/>
        </w:rPr>
        <w:t>增开</w:t>
      </w:r>
      <w:r w:rsidR="00652562" w:rsidRPr="00652562">
        <w:rPr>
          <w:lang w:eastAsia="zh-CN"/>
        </w:rPr>
        <w:t>会议</w:t>
      </w:r>
      <w:r w:rsidR="00652562">
        <w:rPr>
          <w:rFonts w:hint="eastAsia"/>
          <w:lang w:eastAsia="zh-CN"/>
        </w:rPr>
        <w:t>做出</w:t>
      </w:r>
      <w:r w:rsidR="00652562" w:rsidRPr="00652562">
        <w:rPr>
          <w:lang w:eastAsia="zh-CN"/>
        </w:rPr>
        <w:t>介绍</w:t>
      </w:r>
      <w:r w:rsidR="00652562" w:rsidRPr="00652562">
        <w:rPr>
          <w:rFonts w:hint="eastAsia"/>
          <w:lang w:eastAsia="zh-CN"/>
        </w:rPr>
        <w:t>。</w:t>
      </w:r>
      <w:bookmarkStart w:id="9" w:name="lt_pId036"/>
      <w:bookmarkEnd w:id="8"/>
      <w:r w:rsidR="00CD38DD" w:rsidRPr="00CD38DD">
        <w:rPr>
          <w:rFonts w:hint="eastAsia"/>
          <w:lang w:eastAsia="zh-CN"/>
        </w:rPr>
        <w:t>关于波</w:t>
      </w:r>
      <w:proofErr w:type="gramStart"/>
      <w:r w:rsidR="00CD38DD" w:rsidRPr="00CD38DD">
        <w:rPr>
          <w:rFonts w:hint="eastAsia"/>
          <w:lang w:eastAsia="zh-CN"/>
        </w:rPr>
        <w:t>波</w:t>
      </w:r>
      <w:proofErr w:type="gramEnd"/>
      <w:r w:rsidR="00CD38DD" w:rsidRPr="00CD38DD">
        <w:rPr>
          <w:rFonts w:hint="eastAsia"/>
          <w:lang w:eastAsia="zh-CN"/>
        </w:rPr>
        <w:t>夫厅，秘书处确认，东道国认为在保留波</w:t>
      </w:r>
      <w:proofErr w:type="gramStart"/>
      <w:r w:rsidR="00CD38DD" w:rsidRPr="00CD38DD">
        <w:rPr>
          <w:rFonts w:hint="eastAsia"/>
          <w:lang w:eastAsia="zh-CN"/>
        </w:rPr>
        <w:t>波夫厅</w:t>
      </w:r>
      <w:proofErr w:type="gramEnd"/>
      <w:r w:rsidR="00CD38DD" w:rsidRPr="00CD38DD">
        <w:rPr>
          <w:rFonts w:hint="eastAsia"/>
          <w:lang w:eastAsia="zh-CN"/>
        </w:rPr>
        <w:t>供国际电</w:t>
      </w:r>
      <w:proofErr w:type="gramStart"/>
      <w:r w:rsidR="00CD38DD" w:rsidRPr="00CD38DD">
        <w:rPr>
          <w:rFonts w:hint="eastAsia"/>
          <w:lang w:eastAsia="zh-CN"/>
        </w:rPr>
        <w:t>联使用</w:t>
      </w:r>
      <w:proofErr w:type="gramEnd"/>
      <w:r w:rsidR="00CD38DD" w:rsidRPr="00CD38DD">
        <w:rPr>
          <w:rFonts w:hint="eastAsia"/>
          <w:lang w:eastAsia="zh-CN"/>
        </w:rPr>
        <w:t>的条件下出售塔楼没有法律障碍，只有实际和财务问题。</w:t>
      </w:r>
      <w:bookmarkEnd w:id="9"/>
      <w:r w:rsidR="007403F1" w:rsidRPr="007403F1">
        <w:rPr>
          <w:rFonts w:hint="eastAsia"/>
          <w:lang w:eastAsia="zh-CN"/>
        </w:rPr>
        <w:t>MSAG</w:t>
      </w:r>
      <w:r w:rsidR="007403F1" w:rsidRPr="007403F1">
        <w:rPr>
          <w:rFonts w:hint="eastAsia"/>
          <w:lang w:eastAsia="zh-CN"/>
        </w:rPr>
        <w:t>敦促俄罗斯联邦和秘书处</w:t>
      </w:r>
      <w:r w:rsidR="00464A95">
        <w:rPr>
          <w:rFonts w:hint="eastAsia"/>
          <w:lang w:eastAsia="zh-CN"/>
        </w:rPr>
        <w:t>就</w:t>
      </w:r>
      <w:r w:rsidR="007403F1" w:rsidRPr="007403F1">
        <w:rPr>
          <w:rFonts w:hint="eastAsia"/>
          <w:lang w:eastAsia="zh-CN"/>
        </w:rPr>
        <w:t>此达成协议。</w:t>
      </w:r>
      <w:r w:rsidR="007403F1" w:rsidRPr="007403F1">
        <w:rPr>
          <w:rFonts w:hint="eastAsia"/>
          <w:lang w:eastAsia="zh-CN"/>
        </w:rPr>
        <w:t>MSAG</w:t>
      </w:r>
      <w:r w:rsidR="00464A95">
        <w:rPr>
          <w:rFonts w:hint="eastAsia"/>
          <w:lang w:eastAsia="zh-CN"/>
        </w:rPr>
        <w:t>询问</w:t>
      </w:r>
      <w:r w:rsidR="007403F1" w:rsidRPr="007403F1">
        <w:rPr>
          <w:rFonts w:hint="eastAsia"/>
          <w:lang w:eastAsia="zh-CN"/>
        </w:rPr>
        <w:t>了其他间接费用，特别是</w:t>
      </w:r>
      <w:r w:rsidR="007403F1" w:rsidRPr="007403F1">
        <w:rPr>
          <w:rFonts w:hint="eastAsia"/>
          <w:lang w:eastAsia="zh-CN"/>
        </w:rPr>
        <w:t>2019-23</w:t>
      </w:r>
      <w:r w:rsidR="007403F1" w:rsidRPr="007403F1">
        <w:rPr>
          <w:rFonts w:hint="eastAsia"/>
          <w:lang w:eastAsia="zh-CN"/>
        </w:rPr>
        <w:t>年期间的这些费用，并讨论了在正常预算范围内进行适当财务处理的问题。在收到国际电联顾问</w:t>
      </w:r>
      <w:r w:rsidR="007403F1" w:rsidRPr="007403F1">
        <w:rPr>
          <w:rFonts w:hint="eastAsia"/>
          <w:lang w:eastAsia="zh-CN"/>
        </w:rPr>
        <w:t>H</w:t>
      </w:r>
      <w:r w:rsidR="007403F1" w:rsidRPr="007403F1">
        <w:rPr>
          <w:lang w:eastAsia="zh-CN"/>
        </w:rPr>
        <w:t>ill</w:t>
      </w:r>
      <w:r w:rsidR="007403F1" w:rsidRPr="007403F1">
        <w:rPr>
          <w:rFonts w:hint="eastAsia"/>
          <w:lang w:eastAsia="zh-CN"/>
        </w:rPr>
        <w:t>国际公司的专家</w:t>
      </w:r>
      <w:r w:rsidR="00464A95">
        <w:rPr>
          <w:rFonts w:hint="eastAsia"/>
          <w:lang w:eastAsia="zh-CN"/>
        </w:rPr>
        <w:t>有关</w:t>
      </w:r>
      <w:r w:rsidR="00464A95" w:rsidRPr="007403F1">
        <w:rPr>
          <w:rFonts w:hint="eastAsia"/>
          <w:lang w:eastAsia="zh-CN"/>
        </w:rPr>
        <w:t>在整个项目财务计划中分配一个适当的谨慎</w:t>
      </w:r>
      <w:r w:rsidR="00464A95">
        <w:rPr>
          <w:rFonts w:hint="eastAsia"/>
          <w:lang w:eastAsia="zh-CN"/>
        </w:rPr>
        <w:t>金额以</w:t>
      </w:r>
      <w:r w:rsidR="00464A95" w:rsidRPr="007403F1">
        <w:rPr>
          <w:rFonts w:hint="eastAsia"/>
          <w:lang w:eastAsia="zh-CN"/>
        </w:rPr>
        <w:t>覆盖项目全部直接成本风险</w:t>
      </w:r>
      <w:r w:rsidR="00464A95">
        <w:rPr>
          <w:rFonts w:hint="eastAsia"/>
          <w:lang w:eastAsia="zh-CN"/>
        </w:rPr>
        <w:t>的</w:t>
      </w:r>
      <w:r w:rsidR="007403F1" w:rsidRPr="007403F1">
        <w:rPr>
          <w:rFonts w:hint="eastAsia"/>
          <w:lang w:eastAsia="zh-CN"/>
        </w:rPr>
        <w:t>意见后，</w:t>
      </w:r>
      <w:r w:rsidR="007403F1" w:rsidRPr="007403F1">
        <w:rPr>
          <w:rFonts w:hint="eastAsia"/>
          <w:lang w:eastAsia="zh-CN"/>
        </w:rPr>
        <w:t>MSAG</w:t>
      </w:r>
      <w:r w:rsidR="00464A95">
        <w:rPr>
          <w:rFonts w:hint="eastAsia"/>
          <w:lang w:eastAsia="zh-CN"/>
        </w:rPr>
        <w:t>同意</w:t>
      </w:r>
      <w:r w:rsidR="007403F1" w:rsidRPr="007403F1">
        <w:rPr>
          <w:rFonts w:hint="eastAsia"/>
          <w:lang w:eastAsia="zh-CN"/>
        </w:rPr>
        <w:t>请理事会</w:t>
      </w:r>
      <w:r w:rsidR="00464A95">
        <w:rPr>
          <w:rFonts w:hint="eastAsia"/>
          <w:lang w:eastAsia="zh-CN"/>
        </w:rPr>
        <w:t>通过</w:t>
      </w:r>
      <w:r w:rsidR="007403F1" w:rsidRPr="007403F1">
        <w:rPr>
          <w:rFonts w:hint="eastAsia"/>
          <w:lang w:eastAsia="zh-CN"/>
        </w:rPr>
        <w:t>这一风险模式。</w:t>
      </w:r>
      <w:r w:rsidR="00D04603" w:rsidRPr="00652562">
        <w:rPr>
          <w:lang w:eastAsia="zh-CN"/>
        </w:rPr>
        <w:t>理事会</w:t>
      </w:r>
      <w:r w:rsidR="00D04603">
        <w:rPr>
          <w:rFonts w:hint="eastAsia"/>
          <w:lang w:eastAsia="zh-CN"/>
        </w:rPr>
        <w:t>2019</w:t>
      </w:r>
      <w:r w:rsidR="00D04603">
        <w:rPr>
          <w:rFonts w:hint="eastAsia"/>
          <w:lang w:eastAsia="zh-CN"/>
        </w:rPr>
        <w:t>年增开</w:t>
      </w:r>
      <w:r w:rsidR="00D04603" w:rsidRPr="00652562">
        <w:rPr>
          <w:lang w:eastAsia="zh-CN"/>
        </w:rPr>
        <w:t>会议期间审议</w:t>
      </w:r>
      <w:r w:rsidR="00D04603" w:rsidRPr="00652562">
        <w:rPr>
          <w:lang w:eastAsia="zh-CN"/>
        </w:rPr>
        <w:t>MSAG</w:t>
      </w:r>
      <w:r w:rsidR="00D04603">
        <w:rPr>
          <w:lang w:eastAsia="zh-CN"/>
        </w:rPr>
        <w:t>的建议</w:t>
      </w:r>
      <w:r w:rsidR="00D04603" w:rsidRPr="00652562">
        <w:rPr>
          <w:lang w:eastAsia="zh-CN"/>
        </w:rPr>
        <w:t>，</w:t>
      </w:r>
      <w:r w:rsidR="00D04603">
        <w:rPr>
          <w:rFonts w:hint="eastAsia"/>
          <w:lang w:eastAsia="zh-CN"/>
        </w:rPr>
        <w:t>并</w:t>
      </w:r>
      <w:r w:rsidR="00D04603" w:rsidRPr="00652562">
        <w:rPr>
          <w:lang w:eastAsia="zh-CN"/>
        </w:rPr>
        <w:t>制定了</w:t>
      </w:r>
      <w:r w:rsidR="007C5680">
        <w:fldChar w:fldCharType="begin"/>
      </w:r>
      <w:r w:rsidR="007C5680">
        <w:rPr>
          <w:lang w:eastAsia="zh-CN"/>
        </w:rPr>
        <w:instrText xml:space="preserve"> HYPERLINK "https://www.itu.int/md/S19-CLADD-C-0005/en" </w:instrText>
      </w:r>
      <w:r w:rsidR="007C5680">
        <w:fldChar w:fldCharType="separate"/>
      </w:r>
      <w:r w:rsidR="00D04603" w:rsidRPr="00190EC0">
        <w:rPr>
          <w:rFonts w:ascii="STKaiti" w:eastAsia="STKaiti" w:hAnsi="STKaiti" w:hint="eastAsia"/>
          <w:color w:val="0000FF"/>
          <w:u w:val="single"/>
          <w:lang w:eastAsia="zh-CN"/>
        </w:rPr>
        <w:t>理事会第</w:t>
      </w:r>
      <w:r w:rsidR="00D04603" w:rsidRPr="00190EC0">
        <w:rPr>
          <w:rFonts w:ascii="STKaiti" w:eastAsia="STKaiti" w:hAnsi="STKaiti"/>
          <w:color w:val="0000FF"/>
          <w:u w:val="single"/>
          <w:lang w:eastAsia="zh-CN"/>
        </w:rPr>
        <w:t>619</w:t>
      </w:r>
      <w:r w:rsidR="007C5680">
        <w:rPr>
          <w:rFonts w:ascii="STKaiti" w:eastAsia="STKaiti" w:hAnsi="STKaiti"/>
          <w:color w:val="0000FF"/>
          <w:u w:val="single"/>
          <w:lang w:eastAsia="zh-CN"/>
        </w:rPr>
        <w:fldChar w:fldCharType="end"/>
      </w:r>
      <w:r w:rsidR="00D04603" w:rsidRPr="00190EC0">
        <w:rPr>
          <w:rFonts w:ascii="STKaiti" w:eastAsia="STKaiti" w:hAnsi="STKaiti" w:hint="eastAsia"/>
          <w:color w:val="0000FF"/>
          <w:u w:val="single"/>
          <w:lang w:eastAsia="zh-CN"/>
        </w:rPr>
        <w:t>号决定</w:t>
      </w:r>
      <w:r w:rsidR="00D04603" w:rsidRPr="00652562">
        <w:rPr>
          <w:lang w:eastAsia="zh-CN"/>
        </w:rPr>
        <w:t>。</w:t>
      </w:r>
      <w:r w:rsidR="00D04603" w:rsidRPr="00652562">
        <w:rPr>
          <w:lang w:eastAsia="zh-CN"/>
        </w:rPr>
        <w:t>MSAG</w:t>
      </w:r>
      <w:r w:rsidR="00D04603" w:rsidRPr="00652562">
        <w:rPr>
          <w:lang w:eastAsia="zh-CN"/>
        </w:rPr>
        <w:t>估计，在七年期项目中，平均每年需要拨款</w:t>
      </w:r>
      <w:r w:rsidR="00D04603" w:rsidRPr="00652562">
        <w:rPr>
          <w:lang w:eastAsia="zh-CN"/>
        </w:rPr>
        <w:t>180</w:t>
      </w:r>
      <w:r w:rsidR="00D04603">
        <w:rPr>
          <w:lang w:eastAsia="zh-CN"/>
        </w:rPr>
        <w:t>万瑞</w:t>
      </w:r>
      <w:r w:rsidR="00D04603" w:rsidRPr="00652562">
        <w:rPr>
          <w:lang w:eastAsia="zh-CN"/>
        </w:rPr>
        <w:t>郎，才能达到风险</w:t>
      </w:r>
      <w:r w:rsidR="00D04603">
        <w:rPr>
          <w:rFonts w:hint="eastAsia"/>
          <w:lang w:eastAsia="zh-CN"/>
        </w:rPr>
        <w:t>管控</w:t>
      </w:r>
      <w:r w:rsidR="00D04603" w:rsidRPr="00652562">
        <w:rPr>
          <w:lang w:eastAsia="zh-CN"/>
        </w:rPr>
        <w:t>基金中商定的</w:t>
      </w:r>
      <w:r w:rsidR="00D04603" w:rsidRPr="00652562">
        <w:rPr>
          <w:lang w:eastAsia="zh-CN"/>
        </w:rPr>
        <w:t>1260</w:t>
      </w:r>
      <w:r w:rsidR="00D04603" w:rsidRPr="00652562">
        <w:rPr>
          <w:lang w:eastAsia="zh-CN"/>
        </w:rPr>
        <w:t>万瑞郎。</w:t>
      </w:r>
    </w:p>
    <w:p w14:paraId="6B78B460" w14:textId="7E9A32B2" w:rsidR="00D04603" w:rsidRDefault="00B23A85" w:rsidP="00B23A85">
      <w:pPr>
        <w:tabs>
          <w:tab w:val="clear" w:pos="794"/>
          <w:tab w:val="clear" w:pos="1191"/>
          <w:tab w:val="clear" w:pos="1588"/>
          <w:tab w:val="clear" w:pos="1985"/>
          <w:tab w:val="left" w:pos="567"/>
          <w:tab w:val="left" w:pos="630"/>
          <w:tab w:val="left" w:pos="1134"/>
          <w:tab w:val="left" w:pos="1701"/>
          <w:tab w:val="left" w:pos="2268"/>
          <w:tab w:val="left" w:pos="2835"/>
        </w:tabs>
        <w:spacing w:after="120"/>
        <w:jc w:val="both"/>
        <w:rPr>
          <w:lang w:eastAsia="zh-CN"/>
        </w:rPr>
      </w:pPr>
      <w:r w:rsidRPr="00B23A85">
        <w:rPr>
          <w:color w:val="000000" w:themeColor="text1"/>
          <w:lang w:eastAsia="zh-CN"/>
        </w:rPr>
        <w:t>1.2</w:t>
      </w:r>
      <w:r w:rsidRPr="00B23A85">
        <w:rPr>
          <w:color w:val="000000" w:themeColor="text1"/>
          <w:lang w:eastAsia="zh-CN"/>
        </w:rPr>
        <w:tab/>
      </w:r>
      <w:r w:rsidR="00652562" w:rsidRPr="00652562">
        <w:rPr>
          <w:lang w:eastAsia="zh-CN"/>
        </w:rPr>
        <w:t>在</w:t>
      </w:r>
      <w:r w:rsidR="00652562" w:rsidRPr="00D04603">
        <w:rPr>
          <w:b/>
          <w:lang w:eastAsia="zh-CN"/>
        </w:rPr>
        <w:t>第</w:t>
      </w:r>
      <w:r w:rsidR="00652562" w:rsidRPr="00D04603">
        <w:rPr>
          <w:b/>
          <w:lang w:eastAsia="zh-CN"/>
        </w:rPr>
        <w:t>9</w:t>
      </w:r>
      <w:r w:rsidR="00652562" w:rsidRPr="00D04603">
        <w:rPr>
          <w:b/>
          <w:lang w:eastAsia="zh-CN"/>
        </w:rPr>
        <w:t>次会议</w:t>
      </w:r>
      <w:r w:rsidR="00D92CDC">
        <w:rPr>
          <w:rFonts w:hint="eastAsia"/>
          <w:lang w:eastAsia="zh-CN"/>
        </w:rPr>
        <w:t>（</w:t>
      </w:r>
      <w:r w:rsidR="00652562" w:rsidRPr="00652562">
        <w:rPr>
          <w:lang w:eastAsia="zh-CN"/>
        </w:rPr>
        <w:t>2020</w:t>
      </w:r>
      <w:r w:rsidR="00652562" w:rsidRPr="00652562">
        <w:rPr>
          <w:lang w:eastAsia="zh-CN"/>
        </w:rPr>
        <w:t>年</w:t>
      </w:r>
      <w:r w:rsidR="00652562" w:rsidRPr="00652562">
        <w:rPr>
          <w:lang w:eastAsia="zh-CN"/>
        </w:rPr>
        <w:t>2</w:t>
      </w:r>
      <w:r w:rsidR="00652562" w:rsidRPr="00652562">
        <w:rPr>
          <w:lang w:eastAsia="zh-CN"/>
        </w:rPr>
        <w:t>月</w:t>
      </w:r>
      <w:r w:rsidR="00652562" w:rsidRPr="00652562">
        <w:rPr>
          <w:lang w:eastAsia="zh-CN"/>
        </w:rPr>
        <w:t>10</w:t>
      </w:r>
      <w:r w:rsidR="00652562" w:rsidRPr="00652562">
        <w:rPr>
          <w:lang w:eastAsia="zh-CN"/>
        </w:rPr>
        <w:t>日</w:t>
      </w:r>
      <w:r w:rsidR="00D92CDC">
        <w:rPr>
          <w:rFonts w:hint="eastAsia"/>
          <w:lang w:eastAsia="zh-CN"/>
        </w:rPr>
        <w:t>）</w:t>
      </w:r>
      <w:r w:rsidR="00652562" w:rsidRPr="00652562">
        <w:rPr>
          <w:lang w:eastAsia="zh-CN"/>
        </w:rPr>
        <w:t>期间，</w:t>
      </w:r>
      <w:r w:rsidR="00652562" w:rsidRPr="00652562">
        <w:rPr>
          <w:lang w:eastAsia="zh-CN"/>
        </w:rPr>
        <w:t>MSAG</w:t>
      </w:r>
      <w:r w:rsidR="00652562" w:rsidRPr="00652562">
        <w:rPr>
          <w:lang w:eastAsia="zh-CN"/>
        </w:rPr>
        <w:t>集中讨论了新总部的设计状况以及向瑞士当局发出的关于贷款申请的第二条信息。</w:t>
      </w:r>
      <w:r w:rsidR="00652562" w:rsidRPr="00652562">
        <w:rPr>
          <w:lang w:eastAsia="zh-CN"/>
        </w:rPr>
        <w:t>MSAG</w:t>
      </w:r>
      <w:r w:rsidR="00652562" w:rsidRPr="00652562">
        <w:rPr>
          <w:lang w:eastAsia="zh-CN"/>
        </w:rPr>
        <w:t>被告知，第二次贷款申请已按时发送</w:t>
      </w:r>
      <w:r w:rsidR="00ED6C5F">
        <w:rPr>
          <w:rFonts w:hint="eastAsia"/>
          <w:lang w:eastAsia="zh-CN"/>
        </w:rPr>
        <w:t>（</w:t>
      </w:r>
      <w:r w:rsidR="00652562" w:rsidRPr="00652562">
        <w:rPr>
          <w:lang w:eastAsia="zh-CN"/>
        </w:rPr>
        <w:t>2019</w:t>
      </w:r>
      <w:r w:rsidR="00652562" w:rsidRPr="00652562">
        <w:rPr>
          <w:lang w:eastAsia="zh-CN"/>
        </w:rPr>
        <w:t>年</w:t>
      </w:r>
      <w:r w:rsidR="00652562" w:rsidRPr="00652562">
        <w:rPr>
          <w:lang w:eastAsia="zh-CN"/>
        </w:rPr>
        <w:t>12</w:t>
      </w:r>
      <w:r w:rsidR="00652562" w:rsidRPr="00652562">
        <w:rPr>
          <w:lang w:eastAsia="zh-CN"/>
        </w:rPr>
        <w:t>月</w:t>
      </w:r>
      <w:r w:rsidR="00652562" w:rsidRPr="00652562">
        <w:rPr>
          <w:lang w:eastAsia="zh-CN"/>
        </w:rPr>
        <w:t>9</w:t>
      </w:r>
      <w:r w:rsidR="00652562" w:rsidRPr="00652562">
        <w:rPr>
          <w:lang w:eastAsia="zh-CN"/>
        </w:rPr>
        <w:t>日</w:t>
      </w:r>
      <w:r w:rsidR="00ED6C5F">
        <w:rPr>
          <w:rFonts w:hint="eastAsia"/>
          <w:lang w:eastAsia="zh-CN"/>
        </w:rPr>
        <w:t>）</w:t>
      </w:r>
      <w:r w:rsidR="00652562" w:rsidRPr="00652562">
        <w:rPr>
          <w:lang w:eastAsia="zh-CN"/>
        </w:rPr>
        <w:t>，目前正在瑞士当局办理，国际电联将于</w:t>
      </w:r>
      <w:r w:rsidR="00652562" w:rsidRPr="00652562">
        <w:rPr>
          <w:lang w:eastAsia="zh-CN"/>
        </w:rPr>
        <w:t>2</w:t>
      </w:r>
      <w:r w:rsidR="00652562" w:rsidRPr="00652562">
        <w:rPr>
          <w:lang w:eastAsia="zh-CN"/>
        </w:rPr>
        <w:t>月</w:t>
      </w:r>
      <w:r w:rsidR="00652562" w:rsidRPr="00652562">
        <w:rPr>
          <w:lang w:eastAsia="zh-CN"/>
        </w:rPr>
        <w:t>25</w:t>
      </w:r>
      <w:r w:rsidR="00652562" w:rsidRPr="00652562">
        <w:rPr>
          <w:lang w:eastAsia="zh-CN"/>
        </w:rPr>
        <w:t>日接待瑞士议会金融代表团的正</w:t>
      </w:r>
      <w:r w:rsidR="00652562" w:rsidRPr="00652562">
        <w:rPr>
          <w:lang w:eastAsia="zh-CN"/>
        </w:rPr>
        <w:lastRenderedPageBreak/>
        <w:t>式访问。</w:t>
      </w:r>
      <w:r w:rsidR="00652562" w:rsidRPr="00652562">
        <w:rPr>
          <w:lang w:eastAsia="zh-CN"/>
        </w:rPr>
        <w:t>MSAG</w:t>
      </w:r>
      <w:r w:rsidR="00652562" w:rsidRPr="00652562">
        <w:rPr>
          <w:lang w:eastAsia="zh-CN"/>
        </w:rPr>
        <w:t>还被告知，第二份贷款申请文件的费用估算部分已由第三方核实，确认新</w:t>
      </w:r>
      <w:r w:rsidR="001C3508">
        <w:rPr>
          <w:rFonts w:hint="eastAsia"/>
          <w:lang w:eastAsia="zh-CN"/>
        </w:rPr>
        <w:t>办公楼</w:t>
      </w:r>
      <w:r w:rsidR="00652562" w:rsidRPr="00652562">
        <w:rPr>
          <w:lang w:eastAsia="zh-CN"/>
        </w:rPr>
        <w:t>可在</w:t>
      </w:r>
      <w:r w:rsidR="00652562" w:rsidRPr="00652562">
        <w:rPr>
          <w:lang w:eastAsia="zh-CN"/>
        </w:rPr>
        <w:t>1.7</w:t>
      </w:r>
      <w:r w:rsidR="00652562" w:rsidRPr="00652562">
        <w:rPr>
          <w:lang w:eastAsia="zh-CN"/>
        </w:rPr>
        <w:t>亿瑞郎的</w:t>
      </w:r>
      <w:r w:rsidR="00D04603">
        <w:rPr>
          <w:rFonts w:hint="eastAsia"/>
          <w:lang w:eastAsia="zh-CN"/>
        </w:rPr>
        <w:t>批准</w:t>
      </w:r>
      <w:r w:rsidR="00652562" w:rsidRPr="00652562">
        <w:rPr>
          <w:lang w:eastAsia="zh-CN"/>
        </w:rPr>
        <w:t>预算内建造。</w:t>
      </w:r>
    </w:p>
    <w:p w14:paraId="5B86DC52" w14:textId="44591B82" w:rsidR="00B23A85" w:rsidRPr="00B23A85" w:rsidRDefault="00D04603"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color w:val="000000" w:themeColor="text1"/>
          <w:lang w:eastAsia="zh-CN"/>
        </w:rPr>
      </w:pPr>
      <w:bookmarkStart w:id="10" w:name="lt_pId047"/>
      <w:r w:rsidRPr="00652562">
        <w:rPr>
          <w:lang w:eastAsia="zh-CN"/>
        </w:rPr>
        <w:t>MSAG</w:t>
      </w:r>
      <w:r w:rsidRPr="00652562">
        <w:rPr>
          <w:lang w:eastAsia="zh-CN"/>
        </w:rPr>
        <w:t>希望了解国际电联会议</w:t>
      </w:r>
      <w:r>
        <w:rPr>
          <w:rFonts w:hint="eastAsia"/>
          <w:lang w:eastAsia="zh-CN"/>
        </w:rPr>
        <w:t>时间</w:t>
      </w:r>
      <w:r>
        <w:rPr>
          <w:lang w:eastAsia="zh-CN"/>
        </w:rPr>
        <w:t>安排的现状。</w:t>
      </w:r>
      <w:r w:rsidRPr="00652562">
        <w:rPr>
          <w:lang w:eastAsia="zh-CN"/>
        </w:rPr>
        <w:t>副秘书长解释说，理事会和</w:t>
      </w:r>
      <w:r>
        <w:rPr>
          <w:rFonts w:hint="eastAsia"/>
          <w:lang w:eastAsia="zh-CN"/>
        </w:rPr>
        <w:t>理事会工作组</w:t>
      </w:r>
      <w:r w:rsidRPr="00652562">
        <w:rPr>
          <w:lang w:eastAsia="zh-CN"/>
        </w:rPr>
        <w:t>的</w:t>
      </w:r>
      <w:r>
        <w:rPr>
          <w:rFonts w:hint="eastAsia"/>
          <w:lang w:eastAsia="zh-CN"/>
        </w:rPr>
        <w:t>会议</w:t>
      </w:r>
      <w:r w:rsidRPr="00652562">
        <w:rPr>
          <w:lang w:eastAsia="zh-CN"/>
        </w:rPr>
        <w:t>日期将提交</w:t>
      </w:r>
      <w:r w:rsidRPr="00652562">
        <w:rPr>
          <w:lang w:eastAsia="zh-CN"/>
        </w:rPr>
        <w:t>6</w:t>
      </w:r>
      <w:r w:rsidRPr="00652562">
        <w:rPr>
          <w:lang w:eastAsia="zh-CN"/>
        </w:rPr>
        <w:t>月</w:t>
      </w:r>
      <w:r>
        <w:rPr>
          <w:rFonts w:hint="eastAsia"/>
          <w:lang w:eastAsia="zh-CN"/>
        </w:rPr>
        <w:t>举行的</w:t>
      </w:r>
      <w:r w:rsidRPr="00652562">
        <w:rPr>
          <w:lang w:eastAsia="zh-CN"/>
        </w:rPr>
        <w:t>理事会</w:t>
      </w:r>
      <w:r>
        <w:rPr>
          <w:rFonts w:hint="eastAsia"/>
          <w:lang w:eastAsia="zh-CN"/>
        </w:rPr>
        <w:t>2020</w:t>
      </w:r>
      <w:r>
        <w:rPr>
          <w:rFonts w:hint="eastAsia"/>
          <w:lang w:eastAsia="zh-CN"/>
        </w:rPr>
        <w:t>年</w:t>
      </w:r>
      <w:r w:rsidRPr="00652562">
        <w:rPr>
          <w:lang w:eastAsia="zh-CN"/>
        </w:rPr>
        <w:t>会议批准。如果</w:t>
      </w:r>
      <w:r>
        <w:rPr>
          <w:rFonts w:hint="eastAsia"/>
          <w:lang w:eastAsia="zh-CN"/>
        </w:rPr>
        <w:t>建议</w:t>
      </w:r>
      <w:r w:rsidRPr="00652562">
        <w:rPr>
          <w:lang w:eastAsia="zh-CN"/>
        </w:rPr>
        <w:t>日期获得批准，</w:t>
      </w:r>
      <w:r>
        <w:rPr>
          <w:rFonts w:hint="eastAsia"/>
          <w:lang w:eastAsia="zh-CN"/>
        </w:rPr>
        <w:t>各部门</w:t>
      </w:r>
      <w:r w:rsidRPr="00652562">
        <w:rPr>
          <w:lang w:eastAsia="zh-CN"/>
        </w:rPr>
        <w:t>将能够更好地调整各自的会议。秘书处表示</w:t>
      </w:r>
      <w:r>
        <w:rPr>
          <w:rFonts w:hint="eastAsia"/>
          <w:lang w:eastAsia="zh-CN"/>
        </w:rPr>
        <w:t>，</w:t>
      </w:r>
      <w:r w:rsidRPr="00652562">
        <w:rPr>
          <w:lang w:eastAsia="zh-CN"/>
        </w:rPr>
        <w:t>打算继续努力为将在日内瓦举行的会议寻找设施</w:t>
      </w:r>
      <w:r w:rsidR="00190EC0">
        <w:rPr>
          <w:rFonts w:hint="eastAsia"/>
          <w:lang w:eastAsia="zh-CN"/>
        </w:rPr>
        <w:t>（</w:t>
      </w:r>
      <w:r w:rsidRPr="00652562">
        <w:rPr>
          <w:lang w:eastAsia="zh-CN"/>
        </w:rPr>
        <w:t>特别是理事会和</w:t>
      </w:r>
      <w:r>
        <w:rPr>
          <w:rFonts w:hint="eastAsia"/>
          <w:lang w:eastAsia="zh-CN"/>
        </w:rPr>
        <w:t>理事会工作组会议</w:t>
      </w:r>
      <w:r w:rsidR="00190EC0">
        <w:rPr>
          <w:rFonts w:hint="eastAsia"/>
          <w:lang w:eastAsia="zh-CN"/>
        </w:rPr>
        <w:t>）</w:t>
      </w:r>
      <w:r w:rsidRPr="00652562">
        <w:rPr>
          <w:lang w:eastAsia="zh-CN"/>
        </w:rPr>
        <w:t>，并最终与匈牙利就其他技术会议达成协议。</w:t>
      </w:r>
      <w:bookmarkEnd w:id="10"/>
    </w:p>
    <w:p w14:paraId="5FBF182B" w14:textId="5B1AA8CB" w:rsidR="00B23A85" w:rsidRPr="00190EC0" w:rsidRDefault="00D04603"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r w:rsidRPr="00652562">
        <w:rPr>
          <w:lang w:eastAsia="zh-CN"/>
        </w:rPr>
        <w:t>国际电联在出售</w:t>
      </w:r>
      <w:r>
        <w:rPr>
          <w:rFonts w:hint="eastAsia"/>
          <w:lang w:eastAsia="zh-CN"/>
        </w:rPr>
        <w:t>塔楼</w:t>
      </w:r>
      <w:r w:rsidRPr="00652562">
        <w:rPr>
          <w:lang w:eastAsia="zh-CN"/>
        </w:rPr>
        <w:t>后保留</w:t>
      </w:r>
      <w:r>
        <w:rPr>
          <w:rFonts w:hint="eastAsia"/>
          <w:lang w:eastAsia="zh-CN"/>
        </w:rPr>
        <w:t>对</w:t>
      </w:r>
      <w:r w:rsidRPr="00652562">
        <w:rPr>
          <w:lang w:eastAsia="zh-CN"/>
        </w:rPr>
        <w:t>波</w:t>
      </w:r>
      <w:proofErr w:type="gramStart"/>
      <w:r w:rsidRPr="00652562">
        <w:rPr>
          <w:lang w:eastAsia="zh-CN"/>
        </w:rPr>
        <w:t>波</w:t>
      </w:r>
      <w:proofErr w:type="gramEnd"/>
      <w:r w:rsidRPr="00652562">
        <w:rPr>
          <w:lang w:eastAsia="zh-CN"/>
        </w:rPr>
        <w:t>夫会议</w:t>
      </w:r>
      <w:r>
        <w:rPr>
          <w:rFonts w:hint="eastAsia"/>
          <w:lang w:eastAsia="zh-CN"/>
        </w:rPr>
        <w:t>厅</w:t>
      </w:r>
      <w:r w:rsidRPr="00652562">
        <w:rPr>
          <w:lang w:eastAsia="zh-CN"/>
        </w:rPr>
        <w:t>的使用对</w:t>
      </w:r>
      <w:r>
        <w:rPr>
          <w:rFonts w:hint="eastAsia"/>
          <w:lang w:eastAsia="zh-CN"/>
        </w:rPr>
        <w:t>该楼</w:t>
      </w:r>
      <w:r w:rsidRPr="00652562">
        <w:rPr>
          <w:lang w:eastAsia="zh-CN"/>
        </w:rPr>
        <w:t>价值</w:t>
      </w:r>
      <w:r w:rsidR="005A5F7E">
        <w:rPr>
          <w:rFonts w:hint="eastAsia"/>
          <w:lang w:eastAsia="zh-CN"/>
        </w:rPr>
        <w:t>造成</w:t>
      </w:r>
      <w:r w:rsidRPr="00652562">
        <w:rPr>
          <w:lang w:eastAsia="zh-CN"/>
        </w:rPr>
        <w:t>的财务影响</w:t>
      </w:r>
      <w:r w:rsidR="005A5F7E" w:rsidRPr="00652562">
        <w:rPr>
          <w:lang w:eastAsia="zh-CN"/>
        </w:rPr>
        <w:t>再次</w:t>
      </w:r>
      <w:r w:rsidR="005A5F7E">
        <w:rPr>
          <w:rFonts w:hint="eastAsia"/>
          <w:lang w:eastAsia="zh-CN"/>
        </w:rPr>
        <w:t>经过</w:t>
      </w:r>
      <w:r w:rsidR="005A5F7E" w:rsidRPr="00652562">
        <w:rPr>
          <w:lang w:eastAsia="zh-CN"/>
        </w:rPr>
        <w:t>讨论</w:t>
      </w:r>
      <w:r w:rsidRPr="00652562">
        <w:rPr>
          <w:lang w:eastAsia="zh-CN"/>
        </w:rPr>
        <w:t>。这一影响将由一</w:t>
      </w:r>
      <w:r w:rsidR="005A5F7E">
        <w:rPr>
          <w:rFonts w:hint="eastAsia"/>
          <w:lang w:eastAsia="zh-CN"/>
        </w:rPr>
        <w:t>家</w:t>
      </w:r>
      <w:r w:rsidRPr="00652562">
        <w:rPr>
          <w:lang w:eastAsia="zh-CN"/>
        </w:rPr>
        <w:t>房地产顾问</w:t>
      </w:r>
      <w:r w:rsidR="005A5F7E">
        <w:rPr>
          <w:rFonts w:hint="eastAsia"/>
          <w:lang w:eastAsia="zh-CN"/>
        </w:rPr>
        <w:t>机构</w:t>
      </w:r>
      <w:r w:rsidRPr="00652562">
        <w:rPr>
          <w:lang w:eastAsia="zh-CN"/>
        </w:rPr>
        <w:t>核实，并</w:t>
      </w:r>
      <w:r w:rsidR="001C3508">
        <w:rPr>
          <w:rFonts w:hint="eastAsia"/>
          <w:lang w:eastAsia="zh-CN"/>
        </w:rPr>
        <w:t>向</w:t>
      </w:r>
      <w:r w:rsidRPr="00652562">
        <w:rPr>
          <w:lang w:eastAsia="zh-CN"/>
        </w:rPr>
        <w:t>2020</w:t>
      </w:r>
      <w:r w:rsidRPr="00652562">
        <w:rPr>
          <w:lang w:eastAsia="zh-CN"/>
        </w:rPr>
        <w:t>年</w:t>
      </w:r>
      <w:r w:rsidRPr="00652562">
        <w:rPr>
          <w:lang w:eastAsia="zh-CN"/>
        </w:rPr>
        <w:t>6</w:t>
      </w:r>
      <w:r w:rsidRPr="00652562">
        <w:rPr>
          <w:lang w:eastAsia="zh-CN"/>
        </w:rPr>
        <w:t>月</w:t>
      </w:r>
      <w:r w:rsidR="005A5F7E">
        <w:rPr>
          <w:rFonts w:hint="eastAsia"/>
          <w:lang w:eastAsia="zh-CN"/>
        </w:rPr>
        <w:t>召开的</w:t>
      </w:r>
      <w:r w:rsidRPr="00652562">
        <w:rPr>
          <w:lang w:eastAsia="zh-CN"/>
        </w:rPr>
        <w:t>理事会</w:t>
      </w:r>
      <w:r w:rsidR="005A5F7E">
        <w:rPr>
          <w:rFonts w:hint="eastAsia"/>
          <w:lang w:eastAsia="zh-CN"/>
        </w:rPr>
        <w:t>会议</w:t>
      </w:r>
      <w:r w:rsidRPr="00652562">
        <w:rPr>
          <w:lang w:eastAsia="zh-CN"/>
        </w:rPr>
        <w:t>报告。这项研究将包括国际电联在每年规定的天数内</w:t>
      </w:r>
      <w:r w:rsidR="005A5F7E">
        <w:rPr>
          <w:rFonts w:hint="eastAsia"/>
          <w:lang w:eastAsia="zh-CN"/>
        </w:rPr>
        <w:t>是否</w:t>
      </w:r>
      <w:r w:rsidRPr="00652562">
        <w:rPr>
          <w:lang w:eastAsia="zh-CN"/>
        </w:rPr>
        <w:t>继续使用和维护装备齐全的波</w:t>
      </w:r>
      <w:proofErr w:type="gramStart"/>
      <w:r w:rsidRPr="00652562">
        <w:rPr>
          <w:lang w:eastAsia="zh-CN"/>
        </w:rPr>
        <w:t>波夫</w:t>
      </w:r>
      <w:r w:rsidR="005A5F7E">
        <w:rPr>
          <w:rFonts w:hint="eastAsia"/>
          <w:lang w:eastAsia="zh-CN"/>
        </w:rPr>
        <w:t>厅</w:t>
      </w:r>
      <w:proofErr w:type="gramEnd"/>
      <w:r w:rsidRPr="00652562">
        <w:rPr>
          <w:lang w:eastAsia="zh-CN"/>
        </w:rPr>
        <w:t>的</w:t>
      </w:r>
      <w:r w:rsidR="005A5F7E">
        <w:rPr>
          <w:rFonts w:hint="eastAsia"/>
          <w:lang w:eastAsia="zh-CN"/>
        </w:rPr>
        <w:t>情况下的</w:t>
      </w:r>
      <w:r w:rsidRPr="00652562">
        <w:rPr>
          <w:lang w:eastAsia="zh-CN"/>
        </w:rPr>
        <w:t>当前</w:t>
      </w:r>
      <w:r w:rsidR="005A5F7E">
        <w:rPr>
          <w:rFonts w:hint="eastAsia"/>
          <w:lang w:eastAsia="zh-CN"/>
        </w:rPr>
        <w:t>估算</w:t>
      </w:r>
      <w:r w:rsidRPr="00652562">
        <w:rPr>
          <w:lang w:eastAsia="zh-CN"/>
        </w:rPr>
        <w:t>市值。</w:t>
      </w:r>
    </w:p>
    <w:p w14:paraId="410F166B" w14:textId="5A1919D3" w:rsidR="00B23A85" w:rsidRPr="00190EC0" w:rsidRDefault="005A5F7E"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r w:rsidRPr="00652562">
        <w:rPr>
          <w:lang w:eastAsia="zh-CN"/>
        </w:rPr>
        <w:t>考虑到建筑物的安全要求，</w:t>
      </w:r>
      <w:r w:rsidRPr="00652562">
        <w:rPr>
          <w:lang w:eastAsia="zh-CN"/>
        </w:rPr>
        <w:t>MSAG</w:t>
      </w:r>
      <w:r w:rsidRPr="00652562">
        <w:rPr>
          <w:lang w:eastAsia="zh-CN"/>
        </w:rPr>
        <w:t>回顾</w:t>
      </w:r>
      <w:r>
        <w:rPr>
          <w:rFonts w:hint="eastAsia"/>
          <w:lang w:eastAsia="zh-CN"/>
        </w:rPr>
        <w:t>指出</w:t>
      </w:r>
      <w:r w:rsidRPr="00652562">
        <w:rPr>
          <w:lang w:eastAsia="zh-CN"/>
        </w:rPr>
        <w:t>，</w:t>
      </w:r>
      <w:r>
        <w:rPr>
          <w:rFonts w:hint="eastAsia"/>
          <w:lang w:eastAsia="zh-CN"/>
        </w:rPr>
        <w:t>理事会</w:t>
      </w:r>
      <w:r w:rsidRPr="00652562">
        <w:rPr>
          <w:lang w:eastAsia="zh-CN"/>
        </w:rPr>
        <w:t>已经决定，</w:t>
      </w:r>
      <w:r w:rsidRPr="005A5F7E">
        <w:rPr>
          <w:lang w:eastAsia="zh-CN"/>
        </w:rPr>
        <w:t>遵守联合国</w:t>
      </w:r>
      <w:proofErr w:type="gramStart"/>
      <w:r w:rsidRPr="005A5F7E">
        <w:rPr>
          <w:lang w:eastAsia="zh-CN"/>
        </w:rPr>
        <w:t>最低业务</w:t>
      </w:r>
      <w:proofErr w:type="gramEnd"/>
      <w:r w:rsidRPr="005A5F7E">
        <w:rPr>
          <w:lang w:eastAsia="zh-CN"/>
        </w:rPr>
        <w:t>安全标</w:t>
      </w:r>
      <w:r w:rsidRPr="005A5F7E">
        <w:rPr>
          <w:rFonts w:hint="eastAsia"/>
          <w:lang w:eastAsia="zh-CN"/>
        </w:rPr>
        <w:t>准</w:t>
      </w:r>
      <w:r>
        <w:rPr>
          <w:rFonts w:hint="eastAsia"/>
          <w:lang w:eastAsia="zh-CN"/>
        </w:rPr>
        <w:t>（</w:t>
      </w:r>
      <w:r w:rsidRPr="00B23A85">
        <w:rPr>
          <w:color w:val="000000" w:themeColor="text1"/>
          <w:lang w:eastAsia="zh-CN"/>
        </w:rPr>
        <w:t>UN MOSS</w:t>
      </w:r>
      <w:r>
        <w:rPr>
          <w:rFonts w:hint="eastAsia"/>
          <w:color w:val="000000" w:themeColor="text1"/>
          <w:lang w:eastAsia="zh-CN"/>
        </w:rPr>
        <w:t>）</w:t>
      </w:r>
      <w:r w:rsidRPr="00652562">
        <w:rPr>
          <w:lang w:eastAsia="zh-CN"/>
        </w:rPr>
        <w:t>和</w:t>
      </w:r>
      <w:r w:rsidRPr="005A5F7E">
        <w:rPr>
          <w:lang w:eastAsia="zh-CN"/>
        </w:rPr>
        <w:t>联合国安全和安保司（</w:t>
      </w:r>
      <w:r w:rsidRPr="005A5F7E">
        <w:rPr>
          <w:lang w:eastAsia="zh-CN"/>
        </w:rPr>
        <w:t>UNDSS</w:t>
      </w:r>
      <w:r w:rsidRPr="005A5F7E">
        <w:rPr>
          <w:rFonts w:hint="eastAsia"/>
          <w:lang w:eastAsia="zh-CN"/>
        </w:rPr>
        <w:t>）</w:t>
      </w:r>
      <w:r>
        <w:rPr>
          <w:rFonts w:hint="eastAsia"/>
          <w:lang w:eastAsia="zh-CN"/>
        </w:rPr>
        <w:t>的</w:t>
      </w:r>
      <w:r w:rsidRPr="00652562">
        <w:rPr>
          <w:lang w:eastAsia="zh-CN"/>
        </w:rPr>
        <w:t>建议重。秘书处报告说，东道国同意对</w:t>
      </w:r>
      <w:proofErr w:type="spellStart"/>
      <w:r w:rsidRPr="00B23A85">
        <w:rPr>
          <w:color w:val="000000" w:themeColor="text1"/>
          <w:lang w:eastAsia="zh-CN"/>
        </w:rPr>
        <w:t>Varembé</w:t>
      </w:r>
      <w:proofErr w:type="spellEnd"/>
      <w:r w:rsidRPr="00652562">
        <w:rPr>
          <w:lang w:eastAsia="zh-CN"/>
        </w:rPr>
        <w:t>街公共场地的拟议安</w:t>
      </w:r>
      <w:proofErr w:type="gramStart"/>
      <w:r w:rsidRPr="00652562">
        <w:rPr>
          <w:lang w:eastAsia="zh-CN"/>
        </w:rPr>
        <w:t>保要求</w:t>
      </w:r>
      <w:proofErr w:type="gramEnd"/>
      <w:r w:rsidRPr="00652562">
        <w:rPr>
          <w:lang w:eastAsia="zh-CN"/>
        </w:rPr>
        <w:t>进行可行性研究</w:t>
      </w:r>
      <w:r w:rsidR="00FB23D7">
        <w:rPr>
          <w:rFonts w:hint="eastAsia"/>
          <w:lang w:eastAsia="zh-CN"/>
        </w:rPr>
        <w:t>并就</w:t>
      </w:r>
      <w:r>
        <w:rPr>
          <w:rFonts w:hint="eastAsia"/>
          <w:lang w:eastAsia="zh-CN"/>
        </w:rPr>
        <w:t>大致</w:t>
      </w:r>
      <w:r w:rsidRPr="00652562">
        <w:rPr>
          <w:lang w:eastAsia="zh-CN"/>
        </w:rPr>
        <w:t>费用</w:t>
      </w:r>
      <w:r w:rsidR="00190EC0">
        <w:rPr>
          <w:rFonts w:hint="eastAsia"/>
          <w:lang w:eastAsia="zh-CN"/>
        </w:rPr>
        <w:t>（</w:t>
      </w:r>
      <w:r w:rsidRPr="00652562">
        <w:rPr>
          <w:lang w:eastAsia="zh-CN"/>
        </w:rPr>
        <w:t>+/- 30%</w:t>
      </w:r>
      <w:r w:rsidR="00190EC0">
        <w:rPr>
          <w:rFonts w:hint="eastAsia"/>
          <w:lang w:eastAsia="zh-CN"/>
        </w:rPr>
        <w:t>）</w:t>
      </w:r>
      <w:r w:rsidR="00FB23D7">
        <w:rPr>
          <w:rFonts w:hint="eastAsia"/>
          <w:lang w:eastAsia="zh-CN"/>
        </w:rPr>
        <w:t>达成一致。可行性研究</w:t>
      </w:r>
      <w:r w:rsidRPr="00652562">
        <w:rPr>
          <w:lang w:eastAsia="zh-CN"/>
        </w:rPr>
        <w:t>应在</w:t>
      </w:r>
      <w:r w:rsidRPr="00652562">
        <w:rPr>
          <w:lang w:eastAsia="zh-CN"/>
        </w:rPr>
        <w:t>2021</w:t>
      </w:r>
      <w:r w:rsidRPr="00652562">
        <w:rPr>
          <w:lang w:eastAsia="zh-CN"/>
        </w:rPr>
        <w:t>年</w:t>
      </w:r>
      <w:r w:rsidRPr="00652562">
        <w:rPr>
          <w:lang w:eastAsia="zh-CN"/>
        </w:rPr>
        <w:t>5</w:t>
      </w:r>
      <w:r w:rsidRPr="00652562">
        <w:rPr>
          <w:lang w:eastAsia="zh-CN"/>
        </w:rPr>
        <w:t>月前提供。</w:t>
      </w:r>
    </w:p>
    <w:p w14:paraId="7ADBD6D1" w14:textId="382A92A2" w:rsidR="00B23A85" w:rsidRPr="00B23A85" w:rsidRDefault="00FB23D7"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color w:val="000000" w:themeColor="text1"/>
          <w:lang w:eastAsia="zh-CN"/>
        </w:rPr>
      </w:pPr>
      <w:bookmarkStart w:id="11" w:name="lt_pId054"/>
      <w:r w:rsidRPr="00652562">
        <w:rPr>
          <w:lang w:eastAsia="zh-CN"/>
        </w:rPr>
        <w:t>MSAG</w:t>
      </w:r>
      <w:r w:rsidRPr="00652562">
        <w:rPr>
          <w:lang w:eastAsia="zh-CN"/>
        </w:rPr>
        <w:t>要求在下一份报告中明确说明补充风险</w:t>
      </w:r>
      <w:r>
        <w:rPr>
          <w:rFonts w:hint="eastAsia"/>
          <w:lang w:eastAsia="zh-CN"/>
        </w:rPr>
        <w:t>管控</w:t>
      </w:r>
      <w:r w:rsidRPr="00652562">
        <w:rPr>
          <w:lang w:eastAsia="zh-CN"/>
        </w:rPr>
        <w:t>基金资金的财务问题，因为在</w:t>
      </w:r>
      <w:r w:rsidRPr="00652562">
        <w:rPr>
          <w:lang w:eastAsia="zh-CN"/>
        </w:rPr>
        <w:t>2019</w:t>
      </w:r>
      <w:r w:rsidRPr="00652562">
        <w:rPr>
          <w:lang w:eastAsia="zh-CN"/>
        </w:rPr>
        <w:t>年节省的资金中，仅拨款</w:t>
      </w:r>
      <w:r w:rsidRPr="00652562">
        <w:rPr>
          <w:lang w:eastAsia="zh-CN"/>
        </w:rPr>
        <w:t>500</w:t>
      </w:r>
      <w:r w:rsidR="00610387">
        <w:rPr>
          <w:rFonts w:hint="eastAsia"/>
          <w:lang w:eastAsia="zh-CN"/>
        </w:rPr>
        <w:t>,</w:t>
      </w:r>
      <w:r w:rsidRPr="00652562">
        <w:rPr>
          <w:lang w:eastAsia="zh-CN"/>
        </w:rPr>
        <w:t>000</w:t>
      </w:r>
      <w:r w:rsidRPr="00652562">
        <w:rPr>
          <w:lang w:eastAsia="zh-CN"/>
        </w:rPr>
        <w:t>瑞郎，该基金无法在可接受的时间框架内达到所需的</w:t>
      </w:r>
      <w:r w:rsidRPr="00652562">
        <w:rPr>
          <w:lang w:eastAsia="zh-CN"/>
        </w:rPr>
        <w:t>1260</w:t>
      </w:r>
      <w:r w:rsidRPr="00652562">
        <w:rPr>
          <w:lang w:eastAsia="zh-CN"/>
        </w:rPr>
        <w:t>万瑞郎</w:t>
      </w:r>
      <w:r w:rsidRPr="00652562">
        <w:rPr>
          <w:rFonts w:hint="eastAsia"/>
          <w:lang w:eastAsia="zh-CN"/>
        </w:rPr>
        <w:t>。</w:t>
      </w:r>
      <w:bookmarkStart w:id="12" w:name="lt_pId057"/>
      <w:bookmarkEnd w:id="11"/>
      <w:r w:rsidR="00234185" w:rsidRPr="00234185">
        <w:rPr>
          <w:rFonts w:hint="eastAsia"/>
          <w:color w:val="000000" w:themeColor="text1"/>
          <w:lang w:eastAsia="zh-CN"/>
        </w:rPr>
        <w:t>副秘书长在</w:t>
      </w:r>
      <w:r w:rsidR="00234185" w:rsidRPr="00234185">
        <w:rPr>
          <w:rFonts w:hint="eastAsia"/>
          <w:color w:val="000000" w:themeColor="text1"/>
          <w:lang w:eastAsia="zh-CN"/>
        </w:rPr>
        <w:t>2020</w:t>
      </w:r>
      <w:r w:rsidR="00234185" w:rsidRPr="00234185">
        <w:rPr>
          <w:rFonts w:hint="eastAsia"/>
          <w:color w:val="000000" w:themeColor="text1"/>
          <w:lang w:eastAsia="zh-CN"/>
        </w:rPr>
        <w:t>年</w:t>
      </w:r>
      <w:r w:rsidR="00234185" w:rsidRPr="00234185">
        <w:rPr>
          <w:rFonts w:hint="eastAsia"/>
          <w:color w:val="000000" w:themeColor="text1"/>
          <w:lang w:eastAsia="zh-CN"/>
        </w:rPr>
        <w:t>2</w:t>
      </w:r>
      <w:r w:rsidR="00234185" w:rsidRPr="00234185">
        <w:rPr>
          <w:rFonts w:hint="eastAsia"/>
          <w:color w:val="000000" w:themeColor="text1"/>
          <w:lang w:eastAsia="zh-CN"/>
        </w:rPr>
        <w:t>月召开的理事会财务和人力工作组会议（</w:t>
      </w:r>
      <w:r w:rsidR="00234185" w:rsidRPr="00234185">
        <w:rPr>
          <w:color w:val="000000" w:themeColor="text1"/>
          <w:lang w:eastAsia="zh-CN"/>
        </w:rPr>
        <w:t>CWG-FHR</w:t>
      </w:r>
      <w:r w:rsidR="00234185" w:rsidRPr="00234185">
        <w:rPr>
          <w:rFonts w:hint="eastAsia"/>
          <w:color w:val="000000" w:themeColor="text1"/>
          <w:lang w:eastAsia="zh-CN"/>
        </w:rPr>
        <w:t>）中表示，</w:t>
      </w:r>
      <w:r w:rsidR="00234185" w:rsidRPr="00942D03">
        <w:rPr>
          <w:lang w:eastAsia="zh-CN"/>
        </w:rPr>
        <w:t>离职后健康保</w:t>
      </w:r>
      <w:r w:rsidR="00234185" w:rsidRPr="00942D03">
        <w:rPr>
          <w:rFonts w:hint="eastAsia"/>
          <w:lang w:eastAsia="zh-CN"/>
        </w:rPr>
        <w:t>险（</w:t>
      </w:r>
      <w:r w:rsidR="00234185">
        <w:rPr>
          <w:rFonts w:hint="eastAsia"/>
          <w:lang w:eastAsia="zh-CN"/>
        </w:rPr>
        <w:t>ASHI</w:t>
      </w:r>
      <w:r w:rsidR="00234185">
        <w:rPr>
          <w:rFonts w:hint="eastAsia"/>
          <w:lang w:eastAsia="zh-CN"/>
        </w:rPr>
        <w:t>）基金的</w:t>
      </w:r>
      <w:r w:rsidR="00234185">
        <w:rPr>
          <w:rFonts w:hint="eastAsia"/>
          <w:lang w:eastAsia="zh-CN"/>
        </w:rPr>
        <w:t>50</w:t>
      </w:r>
      <w:r w:rsidR="00234185">
        <w:rPr>
          <w:rFonts w:hint="eastAsia"/>
          <w:lang w:eastAsia="zh-CN"/>
        </w:rPr>
        <w:t>万瑞郎缴款可补充至风险管控基金的首批支付，施工结束时留在该账户中的任何资金都将存入</w:t>
      </w:r>
      <w:r w:rsidR="00234185">
        <w:rPr>
          <w:rFonts w:hint="eastAsia"/>
          <w:lang w:eastAsia="zh-CN"/>
        </w:rPr>
        <w:t>ASHI</w:t>
      </w:r>
      <w:r w:rsidR="00234185">
        <w:rPr>
          <w:rFonts w:hint="eastAsia"/>
          <w:lang w:eastAsia="zh-CN"/>
        </w:rPr>
        <w:t>基金，而非储备金账目。这将需要对第</w:t>
      </w:r>
      <w:r w:rsidR="00234185">
        <w:rPr>
          <w:rFonts w:hint="eastAsia"/>
          <w:lang w:eastAsia="zh-CN"/>
        </w:rPr>
        <w:t>619</w:t>
      </w:r>
      <w:r w:rsidR="003E0430">
        <w:rPr>
          <w:rFonts w:hint="eastAsia"/>
          <w:lang w:eastAsia="zh-CN"/>
        </w:rPr>
        <w:t>号决定进行修正。</w:t>
      </w:r>
      <w:r w:rsidR="003E0430" w:rsidRPr="003E0430">
        <w:rPr>
          <w:lang w:eastAsia="zh-CN"/>
        </w:rPr>
        <w:t>MSAG</w:t>
      </w:r>
      <w:r w:rsidR="003E0430" w:rsidRPr="003E0430">
        <w:rPr>
          <w:lang w:eastAsia="zh-CN"/>
        </w:rPr>
        <w:t>还要求</w:t>
      </w:r>
      <w:r w:rsidR="003E0430">
        <w:rPr>
          <w:rFonts w:hint="eastAsia"/>
          <w:lang w:eastAsia="zh-CN"/>
        </w:rPr>
        <w:t>就大会和出版部（</w:t>
      </w:r>
      <w:r w:rsidR="003E0430" w:rsidRPr="003E0430">
        <w:rPr>
          <w:lang w:eastAsia="zh-CN"/>
        </w:rPr>
        <w:t>C&amp;P</w:t>
      </w:r>
      <w:r w:rsidR="003E0430">
        <w:rPr>
          <w:rFonts w:hint="eastAsia"/>
          <w:lang w:eastAsia="zh-CN"/>
        </w:rPr>
        <w:t>）</w:t>
      </w:r>
      <w:r w:rsidR="003E0430" w:rsidRPr="003E0430">
        <w:rPr>
          <w:lang w:eastAsia="zh-CN"/>
        </w:rPr>
        <w:t>在</w:t>
      </w:r>
      <w:r w:rsidR="003E0430" w:rsidRPr="003E0430">
        <w:rPr>
          <w:lang w:eastAsia="zh-CN"/>
        </w:rPr>
        <w:t>2020</w:t>
      </w:r>
      <w:r w:rsidR="003E0430" w:rsidRPr="003E0430">
        <w:rPr>
          <w:lang w:eastAsia="zh-CN"/>
        </w:rPr>
        <w:t>年</w:t>
      </w:r>
      <w:r w:rsidR="003E0430" w:rsidRPr="003E0430">
        <w:rPr>
          <w:lang w:eastAsia="zh-CN"/>
        </w:rPr>
        <w:t>2</w:t>
      </w:r>
      <w:r w:rsidR="003E0430" w:rsidRPr="003E0430">
        <w:rPr>
          <w:lang w:eastAsia="zh-CN"/>
        </w:rPr>
        <w:t>月关于新</w:t>
      </w:r>
      <w:r w:rsidR="003E0430">
        <w:rPr>
          <w:rFonts w:hint="eastAsia"/>
          <w:lang w:eastAsia="zh-CN"/>
        </w:rPr>
        <w:t>办公</w:t>
      </w:r>
      <w:r w:rsidR="003E0430" w:rsidRPr="003E0430">
        <w:rPr>
          <w:lang w:eastAsia="zh-CN"/>
        </w:rPr>
        <w:t>楼的</w:t>
      </w:r>
      <w:r w:rsidR="003E0430">
        <w:rPr>
          <w:rFonts w:hint="eastAsia"/>
          <w:lang w:eastAsia="zh-CN"/>
        </w:rPr>
        <w:t>情况通报</w:t>
      </w:r>
      <w:r w:rsidR="003E0430" w:rsidRPr="003E0430">
        <w:rPr>
          <w:lang w:eastAsia="zh-CN"/>
        </w:rPr>
        <w:t>会议上提到的</w:t>
      </w:r>
      <w:r w:rsidR="003E0430" w:rsidRPr="003E0430">
        <w:rPr>
          <w:lang w:eastAsia="zh-CN"/>
        </w:rPr>
        <w:t>600</w:t>
      </w:r>
      <w:r w:rsidR="003E0430" w:rsidRPr="003E0430">
        <w:rPr>
          <w:lang w:eastAsia="zh-CN"/>
        </w:rPr>
        <w:t>万瑞郎会议搬迁费用</w:t>
      </w:r>
      <w:r w:rsidR="003E0430">
        <w:rPr>
          <w:rFonts w:hint="eastAsia"/>
          <w:lang w:eastAsia="zh-CN"/>
        </w:rPr>
        <w:t>做出</w:t>
      </w:r>
      <w:r w:rsidR="003E0430" w:rsidRPr="003E0430">
        <w:rPr>
          <w:lang w:eastAsia="zh-CN"/>
        </w:rPr>
        <w:t>澄清。</w:t>
      </w:r>
      <w:bookmarkEnd w:id="12"/>
    </w:p>
    <w:p w14:paraId="6A90B4EA" w14:textId="709A5DE9" w:rsidR="00F808FE" w:rsidRDefault="003E0430"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r w:rsidRPr="003E0430">
        <w:rPr>
          <w:lang w:eastAsia="zh-CN"/>
        </w:rPr>
        <w:t>秘书处提交了一份关于未来最终赞助</w:t>
      </w:r>
      <w:r w:rsidR="007A72D0">
        <w:rPr>
          <w:rFonts w:hint="eastAsia"/>
          <w:lang w:eastAsia="zh-CN"/>
        </w:rPr>
        <w:t>报价</w:t>
      </w:r>
      <w:r w:rsidRPr="003E0430">
        <w:rPr>
          <w:lang w:eastAsia="zh-CN"/>
        </w:rPr>
        <w:t>的接受标准的文件。与会者一致认为，理事会应讨论这份文件的影响，同时指出，只有赞助，而不是捐赠，可能会增加估</w:t>
      </w:r>
      <w:r w:rsidR="00F808FE">
        <w:rPr>
          <w:rFonts w:hint="eastAsia"/>
          <w:lang w:eastAsia="zh-CN"/>
        </w:rPr>
        <w:t>算</w:t>
      </w:r>
      <w:r w:rsidRPr="003E0430">
        <w:rPr>
          <w:lang w:eastAsia="zh-CN"/>
        </w:rPr>
        <w:t>的最终直接项目</w:t>
      </w:r>
      <w:r w:rsidR="001C3508">
        <w:rPr>
          <w:rFonts w:hint="eastAsia"/>
          <w:lang w:eastAsia="zh-CN"/>
        </w:rPr>
        <w:t>费用</w:t>
      </w:r>
      <w:r w:rsidRPr="003E0430">
        <w:rPr>
          <w:lang w:eastAsia="zh-CN"/>
        </w:rPr>
        <w:t>。</w:t>
      </w:r>
    </w:p>
    <w:p w14:paraId="7AD9C05A" w14:textId="6D119AE5" w:rsidR="00B23A85" w:rsidRPr="00B23A85" w:rsidRDefault="00F808FE" w:rsidP="00190EC0">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rFonts w:cs="Calibri"/>
          <w:color w:val="000000" w:themeColor="text1"/>
          <w:lang w:eastAsia="zh-CN"/>
        </w:rPr>
      </w:pPr>
      <w:bookmarkStart w:id="13" w:name="lt_pId060"/>
      <w:r w:rsidRPr="003E0430">
        <w:rPr>
          <w:lang w:eastAsia="zh-CN"/>
        </w:rPr>
        <w:t>在审查项目时间表时，</w:t>
      </w:r>
      <w:r w:rsidRPr="003E0430">
        <w:rPr>
          <w:lang w:eastAsia="zh-CN"/>
        </w:rPr>
        <w:t>MSAG</w:t>
      </w:r>
      <w:r w:rsidRPr="003E0430">
        <w:rPr>
          <w:lang w:eastAsia="zh-CN"/>
        </w:rPr>
        <w:t>注意到，由于需要在</w:t>
      </w:r>
      <w:r w:rsidRPr="003E0430">
        <w:rPr>
          <w:lang w:eastAsia="zh-CN"/>
        </w:rPr>
        <w:t>2019</w:t>
      </w:r>
      <w:r w:rsidRPr="003E0430">
        <w:rPr>
          <w:lang w:eastAsia="zh-CN"/>
        </w:rPr>
        <w:t>年</w:t>
      </w:r>
      <w:r w:rsidRPr="003E0430">
        <w:rPr>
          <w:lang w:eastAsia="zh-CN"/>
        </w:rPr>
        <w:t>9</w:t>
      </w:r>
      <w:r w:rsidRPr="003E0430">
        <w:rPr>
          <w:lang w:eastAsia="zh-CN"/>
        </w:rPr>
        <w:t>月举行理事会特别会议，在</w:t>
      </w:r>
      <w:r w:rsidRPr="003E0430">
        <w:rPr>
          <w:lang w:eastAsia="zh-CN"/>
        </w:rPr>
        <w:t>2019</w:t>
      </w:r>
      <w:r w:rsidRPr="003E0430">
        <w:rPr>
          <w:lang w:eastAsia="zh-CN"/>
        </w:rPr>
        <w:t>年夏季</w:t>
      </w:r>
      <w:r>
        <w:rPr>
          <w:rFonts w:hint="eastAsia"/>
          <w:lang w:eastAsia="zh-CN"/>
        </w:rPr>
        <w:t>例会</w:t>
      </w:r>
      <w:r w:rsidRPr="003E0430">
        <w:rPr>
          <w:lang w:eastAsia="zh-CN"/>
        </w:rPr>
        <w:t>之后立即向前推进有所延迟；然而，新</w:t>
      </w:r>
      <w:r>
        <w:rPr>
          <w:rFonts w:hint="eastAsia"/>
          <w:lang w:eastAsia="zh-CN"/>
        </w:rPr>
        <w:t>办公</w:t>
      </w:r>
      <w:r w:rsidRPr="003E0430">
        <w:rPr>
          <w:lang w:eastAsia="zh-CN"/>
        </w:rPr>
        <w:t>楼的交付并没有</w:t>
      </w:r>
      <w:r>
        <w:rPr>
          <w:rFonts w:hint="eastAsia"/>
          <w:lang w:eastAsia="zh-CN"/>
        </w:rPr>
        <w:t>拖延</w:t>
      </w:r>
      <w:r w:rsidRPr="003E0430">
        <w:rPr>
          <w:lang w:eastAsia="zh-CN"/>
        </w:rPr>
        <w:t>，因为新</w:t>
      </w:r>
      <w:r>
        <w:rPr>
          <w:rFonts w:hint="eastAsia"/>
          <w:lang w:eastAsia="zh-CN"/>
        </w:rPr>
        <w:t>办公</w:t>
      </w:r>
      <w:r w:rsidRPr="003E0430">
        <w:rPr>
          <w:lang w:eastAsia="zh-CN"/>
        </w:rPr>
        <w:t>楼的楼层将减少一层，从而缩短了施工时间。</w:t>
      </w:r>
      <w:bookmarkEnd w:id="13"/>
    </w:p>
    <w:p w14:paraId="0EB53422" w14:textId="23BA2739" w:rsidR="00B23A85" w:rsidRPr="00190EC0" w:rsidRDefault="00B23A85" w:rsidP="00B23A85">
      <w:pPr>
        <w:tabs>
          <w:tab w:val="clear" w:pos="794"/>
          <w:tab w:val="clear" w:pos="1191"/>
          <w:tab w:val="clear" w:pos="1588"/>
          <w:tab w:val="clear" w:pos="1985"/>
          <w:tab w:val="left" w:pos="567"/>
          <w:tab w:val="left" w:pos="630"/>
          <w:tab w:val="left" w:pos="1134"/>
          <w:tab w:val="left" w:pos="1701"/>
          <w:tab w:val="left" w:pos="2268"/>
          <w:tab w:val="left" w:pos="2835"/>
        </w:tabs>
        <w:spacing w:after="120"/>
        <w:jc w:val="both"/>
        <w:rPr>
          <w:lang w:eastAsia="zh-CN"/>
        </w:rPr>
      </w:pPr>
      <w:r w:rsidRPr="00B23A85">
        <w:rPr>
          <w:color w:val="000000" w:themeColor="text1"/>
          <w:lang w:eastAsia="zh-CN"/>
        </w:rPr>
        <w:t>1.3</w:t>
      </w:r>
      <w:r w:rsidRPr="00B23A85">
        <w:rPr>
          <w:color w:val="000000" w:themeColor="text1"/>
          <w:lang w:eastAsia="zh-CN"/>
        </w:rPr>
        <w:tab/>
      </w:r>
      <w:r w:rsidR="00F808FE" w:rsidRPr="00F808FE">
        <w:rPr>
          <w:b/>
          <w:lang w:eastAsia="zh-CN"/>
        </w:rPr>
        <w:t>第</w:t>
      </w:r>
      <w:r w:rsidR="00F808FE" w:rsidRPr="00F808FE">
        <w:rPr>
          <w:b/>
          <w:lang w:eastAsia="zh-CN"/>
        </w:rPr>
        <w:t>10</w:t>
      </w:r>
      <w:r w:rsidR="00F808FE" w:rsidRPr="00F808FE">
        <w:rPr>
          <w:b/>
          <w:lang w:eastAsia="zh-CN"/>
        </w:rPr>
        <w:t>次会议</w:t>
      </w:r>
      <w:r w:rsidR="00190EC0">
        <w:rPr>
          <w:rFonts w:hint="eastAsia"/>
          <w:lang w:eastAsia="zh-CN"/>
        </w:rPr>
        <w:t>（</w:t>
      </w:r>
      <w:r w:rsidR="00F808FE" w:rsidRPr="003E0430">
        <w:rPr>
          <w:lang w:eastAsia="zh-CN"/>
        </w:rPr>
        <w:t>2020</w:t>
      </w:r>
      <w:r w:rsidR="00F808FE" w:rsidRPr="003E0430">
        <w:rPr>
          <w:lang w:eastAsia="zh-CN"/>
        </w:rPr>
        <w:t>年</w:t>
      </w:r>
      <w:r w:rsidR="00F808FE" w:rsidRPr="003E0430">
        <w:rPr>
          <w:lang w:eastAsia="zh-CN"/>
        </w:rPr>
        <w:t>5</w:t>
      </w:r>
      <w:r w:rsidR="00F808FE" w:rsidRPr="003E0430">
        <w:rPr>
          <w:lang w:eastAsia="zh-CN"/>
        </w:rPr>
        <w:t>月</w:t>
      </w:r>
      <w:r w:rsidR="00F808FE" w:rsidRPr="003E0430">
        <w:rPr>
          <w:lang w:eastAsia="zh-CN"/>
        </w:rPr>
        <w:t>7</w:t>
      </w:r>
      <w:r w:rsidR="00F808FE" w:rsidRPr="003E0430">
        <w:rPr>
          <w:lang w:eastAsia="zh-CN"/>
        </w:rPr>
        <w:t>日</w:t>
      </w:r>
      <w:r w:rsidR="00190EC0">
        <w:rPr>
          <w:rFonts w:hint="eastAsia"/>
          <w:lang w:eastAsia="zh-CN"/>
        </w:rPr>
        <w:t>）</w:t>
      </w:r>
      <w:r w:rsidR="00F808FE" w:rsidRPr="003E0430">
        <w:rPr>
          <w:lang w:eastAsia="zh-CN"/>
        </w:rPr>
        <w:t>在</w:t>
      </w:r>
      <w:r w:rsidR="00F808FE">
        <w:rPr>
          <w:color w:val="000000" w:themeColor="text1"/>
          <w:lang w:eastAsia="zh-CN"/>
        </w:rPr>
        <w:t>Plesse</w:t>
      </w:r>
      <w:r w:rsidR="00F808FE" w:rsidRPr="003E0430">
        <w:rPr>
          <w:lang w:eastAsia="zh-CN"/>
        </w:rPr>
        <w:t>先生退休后，</w:t>
      </w:r>
      <w:r w:rsidR="00F808FE" w:rsidRPr="003E0430">
        <w:rPr>
          <w:lang w:eastAsia="zh-CN"/>
        </w:rPr>
        <w:t>MSAG</w:t>
      </w:r>
      <w:r w:rsidR="00F808FE" w:rsidRPr="003E0430">
        <w:rPr>
          <w:lang w:eastAsia="zh-CN"/>
        </w:rPr>
        <w:t>开始选举新主席。这次会议收到了</w:t>
      </w:r>
      <w:r w:rsidR="00F808FE" w:rsidRPr="003E0430">
        <w:rPr>
          <w:lang w:eastAsia="zh-CN"/>
        </w:rPr>
        <w:t>2</w:t>
      </w:r>
      <w:r w:rsidR="00F808FE" w:rsidRPr="003E0430">
        <w:rPr>
          <w:lang w:eastAsia="zh-CN"/>
        </w:rPr>
        <w:t>月份</w:t>
      </w:r>
      <w:r w:rsidR="00F808FE">
        <w:rPr>
          <w:rFonts w:hint="eastAsia"/>
          <w:lang w:eastAsia="zh-CN"/>
        </w:rPr>
        <w:t>情况通报</w:t>
      </w:r>
      <w:r w:rsidR="00F808FE" w:rsidRPr="003E0430">
        <w:rPr>
          <w:lang w:eastAsia="zh-CN"/>
        </w:rPr>
        <w:t>会议中确定的关于</w:t>
      </w:r>
      <w:r w:rsidR="00F808FE">
        <w:rPr>
          <w:rFonts w:hint="eastAsia"/>
          <w:lang w:eastAsia="zh-CN"/>
        </w:rPr>
        <w:t>举办大会</w:t>
      </w:r>
      <w:r w:rsidR="00F808FE" w:rsidRPr="003E0430">
        <w:rPr>
          <w:lang w:eastAsia="zh-CN"/>
        </w:rPr>
        <w:t>和主要活动的费用</w:t>
      </w:r>
      <w:r w:rsidR="00F808FE">
        <w:rPr>
          <w:lang w:eastAsia="zh-CN"/>
        </w:rPr>
        <w:t>澄清。</w:t>
      </w:r>
      <w:r w:rsidR="00F808FE" w:rsidRPr="00B23A85">
        <w:rPr>
          <w:color w:val="000000" w:themeColor="text1"/>
          <w:lang w:eastAsia="zh-CN"/>
        </w:rPr>
        <w:t>Dobbelstein</w:t>
      </w:r>
      <w:r w:rsidR="00F808FE" w:rsidRPr="003E0430">
        <w:rPr>
          <w:lang w:eastAsia="zh-CN"/>
        </w:rPr>
        <w:t>女士向</w:t>
      </w:r>
      <w:r w:rsidR="00F808FE">
        <w:rPr>
          <w:rFonts w:hint="eastAsia"/>
          <w:lang w:eastAsia="zh-CN"/>
        </w:rPr>
        <w:t>顾问</w:t>
      </w:r>
      <w:r w:rsidR="00F808FE" w:rsidRPr="003E0430">
        <w:rPr>
          <w:lang w:eastAsia="zh-CN"/>
        </w:rPr>
        <w:t>组解释说，</w:t>
      </w:r>
      <w:r w:rsidR="00F808FE" w:rsidRPr="003E0430">
        <w:rPr>
          <w:lang w:eastAsia="zh-CN"/>
        </w:rPr>
        <w:t>C&amp;P</w:t>
      </w:r>
      <w:r w:rsidR="00F808FE" w:rsidRPr="003E0430">
        <w:rPr>
          <w:lang w:eastAsia="zh-CN"/>
        </w:rPr>
        <w:t>计算</w:t>
      </w:r>
      <w:r w:rsidR="00F808FE">
        <w:rPr>
          <w:rFonts w:hint="eastAsia"/>
          <w:lang w:eastAsia="zh-CN"/>
        </w:rPr>
        <w:t>得出</w:t>
      </w:r>
      <w:r w:rsidR="00F808FE" w:rsidRPr="003E0430">
        <w:rPr>
          <w:lang w:eastAsia="zh-CN"/>
        </w:rPr>
        <w:t>400</w:t>
      </w:r>
      <w:r w:rsidR="00F808FE" w:rsidRPr="003E0430">
        <w:rPr>
          <w:lang w:eastAsia="zh-CN"/>
        </w:rPr>
        <w:t>万至</w:t>
      </w:r>
      <w:r w:rsidR="00F808FE" w:rsidRPr="003E0430">
        <w:rPr>
          <w:lang w:eastAsia="zh-CN"/>
        </w:rPr>
        <w:t>600</w:t>
      </w:r>
      <w:r w:rsidR="00F808FE" w:rsidRPr="003E0430">
        <w:rPr>
          <w:lang w:eastAsia="zh-CN"/>
        </w:rPr>
        <w:t>万瑞郎，以防东道国可能无法为国际电联的所有会议提供设施，而国际电联不得不使用酒店、</w:t>
      </w:r>
      <w:proofErr w:type="spellStart"/>
      <w:r w:rsidR="00F808FE" w:rsidRPr="00B23A85">
        <w:rPr>
          <w:color w:val="000000" w:themeColor="text1"/>
          <w:lang w:eastAsia="zh-CN"/>
        </w:rPr>
        <w:t>Palexpo</w:t>
      </w:r>
      <w:proofErr w:type="spellEnd"/>
      <w:r w:rsidR="00F808FE" w:rsidRPr="003E0430">
        <w:rPr>
          <w:lang w:eastAsia="zh-CN"/>
        </w:rPr>
        <w:t>等商业场所的会议设施。</w:t>
      </w:r>
    </w:p>
    <w:p w14:paraId="589DC482" w14:textId="6D54644B" w:rsidR="00B23A85" w:rsidRPr="00190EC0" w:rsidRDefault="007A72D0" w:rsidP="00D92CDC">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bookmarkStart w:id="14" w:name="lt_pId065"/>
      <w:r w:rsidRPr="003E0430">
        <w:rPr>
          <w:lang w:eastAsia="zh-CN"/>
        </w:rPr>
        <w:t>MSAG</w:t>
      </w:r>
      <w:r>
        <w:rPr>
          <w:rFonts w:hint="eastAsia"/>
          <w:lang w:eastAsia="zh-CN"/>
        </w:rPr>
        <w:t>审议</w:t>
      </w:r>
      <w:r w:rsidRPr="003E0430">
        <w:rPr>
          <w:lang w:eastAsia="zh-CN"/>
        </w:rPr>
        <w:t>了一份关于最终未来赞助</w:t>
      </w:r>
      <w:r>
        <w:rPr>
          <w:rFonts w:hint="eastAsia"/>
          <w:lang w:eastAsia="zh-CN"/>
        </w:rPr>
        <w:t>报价</w:t>
      </w:r>
      <w:r w:rsidRPr="003E0430">
        <w:rPr>
          <w:lang w:eastAsia="zh-CN"/>
        </w:rPr>
        <w:t>的接受标准的修订文件。秘书处再次要求</w:t>
      </w:r>
      <w:r w:rsidRPr="003E0430">
        <w:rPr>
          <w:lang w:eastAsia="zh-CN"/>
        </w:rPr>
        <w:t>MSAG</w:t>
      </w:r>
      <w:r w:rsidRPr="003E0430">
        <w:rPr>
          <w:lang w:eastAsia="zh-CN"/>
        </w:rPr>
        <w:t>支持秘书处关于修改理事会关于</w:t>
      </w:r>
      <w:r>
        <w:rPr>
          <w:rFonts w:hint="eastAsia"/>
          <w:lang w:eastAsia="zh-CN"/>
        </w:rPr>
        <w:t>报价</w:t>
      </w:r>
      <w:r w:rsidRPr="003E0430">
        <w:rPr>
          <w:lang w:eastAsia="zh-CN"/>
        </w:rPr>
        <w:t>的第</w:t>
      </w:r>
      <w:r w:rsidRPr="003E0430">
        <w:rPr>
          <w:lang w:eastAsia="zh-CN"/>
        </w:rPr>
        <w:t>619</w:t>
      </w:r>
      <w:r w:rsidRPr="003E0430">
        <w:rPr>
          <w:lang w:eastAsia="zh-CN"/>
        </w:rPr>
        <w:t>号决定的提议。</w:t>
      </w:r>
      <w:r w:rsidRPr="003E0430">
        <w:rPr>
          <w:lang w:eastAsia="zh-CN"/>
        </w:rPr>
        <w:t>MSAG</w:t>
      </w:r>
      <w:r>
        <w:rPr>
          <w:rFonts w:hint="eastAsia"/>
          <w:lang w:eastAsia="zh-CN"/>
        </w:rPr>
        <w:t>对这一议题</w:t>
      </w:r>
      <w:r w:rsidRPr="003E0430">
        <w:rPr>
          <w:lang w:eastAsia="zh-CN"/>
        </w:rPr>
        <w:t>的重要性</w:t>
      </w:r>
      <w:r>
        <w:rPr>
          <w:rFonts w:hint="eastAsia"/>
          <w:lang w:eastAsia="zh-CN"/>
        </w:rPr>
        <w:t>表示赞同并认为</w:t>
      </w:r>
      <w:r w:rsidRPr="003E0430">
        <w:rPr>
          <w:lang w:eastAsia="zh-CN"/>
        </w:rPr>
        <w:t>，</w:t>
      </w:r>
      <w:r>
        <w:rPr>
          <w:rFonts w:hint="eastAsia"/>
          <w:lang w:eastAsia="zh-CN"/>
        </w:rPr>
        <w:t>理事会</w:t>
      </w:r>
      <w:r w:rsidRPr="003E0430">
        <w:rPr>
          <w:lang w:eastAsia="zh-CN"/>
        </w:rPr>
        <w:t>应讨论这一文件的影响，因为</w:t>
      </w:r>
      <w:r w:rsidRPr="003E0430">
        <w:rPr>
          <w:lang w:eastAsia="zh-CN"/>
        </w:rPr>
        <w:t>MSAG</w:t>
      </w:r>
      <w:r w:rsidRPr="003E0430">
        <w:rPr>
          <w:lang w:eastAsia="zh-CN"/>
        </w:rPr>
        <w:t>成员不准备同意对</w:t>
      </w:r>
      <w:r>
        <w:rPr>
          <w:rFonts w:hint="eastAsia"/>
          <w:lang w:eastAsia="zh-CN"/>
        </w:rPr>
        <w:t>理事会</w:t>
      </w:r>
      <w:r w:rsidRPr="003E0430">
        <w:rPr>
          <w:lang w:eastAsia="zh-CN"/>
        </w:rPr>
        <w:t>先前的决定，特别是第</w:t>
      </w:r>
      <w:r w:rsidRPr="003E0430">
        <w:rPr>
          <w:lang w:eastAsia="zh-CN"/>
        </w:rPr>
        <w:t>619</w:t>
      </w:r>
      <w:r w:rsidRPr="003E0430">
        <w:rPr>
          <w:lang w:eastAsia="zh-CN"/>
        </w:rPr>
        <w:t>号决定进行任何修改。</w:t>
      </w:r>
      <w:bookmarkEnd w:id="14"/>
    </w:p>
    <w:p w14:paraId="378885FF" w14:textId="0F604DB7" w:rsidR="00B23A85" w:rsidRPr="00B23A85" w:rsidRDefault="007A72D0" w:rsidP="00D92CDC">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rFonts w:asciiTheme="minorHAnsi" w:eastAsia="Times New Roman" w:hAnsiTheme="minorHAnsi" w:cstheme="minorHAnsi"/>
          <w:color w:val="000000" w:themeColor="text1"/>
          <w:lang w:eastAsia="zh-CN"/>
        </w:rPr>
      </w:pPr>
      <w:bookmarkStart w:id="15" w:name="lt_pId068"/>
      <w:r w:rsidRPr="003E0430">
        <w:rPr>
          <w:lang w:eastAsia="zh-CN"/>
        </w:rPr>
        <w:t>会议</w:t>
      </w:r>
      <w:r>
        <w:rPr>
          <w:rFonts w:hint="eastAsia"/>
          <w:lang w:eastAsia="zh-CN"/>
        </w:rPr>
        <w:t>用</w:t>
      </w:r>
      <w:r w:rsidRPr="003E0430">
        <w:rPr>
          <w:lang w:eastAsia="zh-CN"/>
        </w:rPr>
        <w:t>大部分时间</w:t>
      </w:r>
      <w:r>
        <w:rPr>
          <w:rFonts w:hint="eastAsia"/>
          <w:lang w:eastAsia="zh-CN"/>
        </w:rPr>
        <w:t>审议了</w:t>
      </w:r>
      <w:r w:rsidRPr="003E0430">
        <w:rPr>
          <w:lang w:eastAsia="zh-CN"/>
        </w:rPr>
        <w:t>秘书处</w:t>
      </w:r>
      <w:r>
        <w:rPr>
          <w:rFonts w:hint="eastAsia"/>
          <w:lang w:eastAsia="zh-CN"/>
        </w:rPr>
        <w:t>通过</w:t>
      </w:r>
      <w:hyperlink r:id="rId17" w:history="1">
        <w:r w:rsidRPr="00B23A85">
          <w:rPr>
            <w:color w:val="0000FF"/>
            <w:u w:val="single"/>
            <w:lang w:eastAsia="zh-CN"/>
          </w:rPr>
          <w:t>C20/7</w:t>
        </w:r>
      </w:hyperlink>
      <w:r>
        <w:rPr>
          <w:rFonts w:hint="eastAsia"/>
          <w:lang w:eastAsia="zh-CN"/>
        </w:rPr>
        <w:t>号文件</w:t>
      </w:r>
      <w:r w:rsidRPr="003E0430">
        <w:rPr>
          <w:lang w:eastAsia="zh-CN"/>
        </w:rPr>
        <w:t>提交理事会的报告</w:t>
      </w:r>
      <w:r w:rsidRPr="003E0430">
        <w:rPr>
          <w:rFonts w:hint="eastAsia"/>
          <w:lang w:eastAsia="zh-CN"/>
        </w:rPr>
        <w:t>。</w:t>
      </w:r>
      <w:bookmarkEnd w:id="15"/>
      <w:r w:rsidR="009C1070" w:rsidRPr="009C1070">
        <w:rPr>
          <w:color w:val="000000" w:themeColor="text1"/>
          <w:lang w:eastAsia="zh-CN"/>
        </w:rPr>
        <w:t>MSAG</w:t>
      </w:r>
      <w:r w:rsidR="009C1070">
        <w:rPr>
          <w:rFonts w:hint="eastAsia"/>
          <w:color w:val="000000" w:themeColor="text1"/>
          <w:lang w:eastAsia="zh-CN"/>
        </w:rPr>
        <w:t>注意到</w:t>
      </w:r>
      <w:r w:rsidR="001B47E6" w:rsidRPr="00424B7A">
        <w:rPr>
          <w:rFonts w:hint="eastAsia"/>
          <w:lang w:eastAsia="zh-CN"/>
        </w:rPr>
        <w:t>瑞士</w:t>
      </w:r>
      <w:r w:rsidR="009C1070">
        <w:rPr>
          <w:rFonts w:hint="eastAsia"/>
          <w:lang w:eastAsia="zh-CN"/>
        </w:rPr>
        <w:t>常驻日内瓦联合国和其他国际组织</w:t>
      </w:r>
      <w:r w:rsidR="001B47E6" w:rsidRPr="00424B7A">
        <w:rPr>
          <w:rFonts w:hint="eastAsia"/>
          <w:lang w:eastAsia="zh-CN"/>
        </w:rPr>
        <w:t>代表团</w:t>
      </w:r>
      <w:r w:rsidR="009C1070">
        <w:rPr>
          <w:rFonts w:hint="eastAsia"/>
          <w:lang w:eastAsia="zh-CN"/>
        </w:rPr>
        <w:t>通过致函</w:t>
      </w:r>
      <w:r w:rsidR="001B47E6" w:rsidRPr="00424B7A">
        <w:rPr>
          <w:rFonts w:hint="eastAsia"/>
          <w:lang w:eastAsia="zh-CN"/>
        </w:rPr>
        <w:t>向国际电联确认和保证，有权能的瑞士当局将研究解决</w:t>
      </w:r>
      <w:r w:rsidR="001B47E6" w:rsidRPr="00424B7A">
        <w:rPr>
          <w:lang w:eastAsia="zh-CN"/>
        </w:rPr>
        <w:t>UN-MOSS</w:t>
      </w:r>
      <w:r w:rsidR="001B47E6" w:rsidRPr="00424B7A">
        <w:rPr>
          <w:rFonts w:hint="eastAsia"/>
          <w:lang w:eastAsia="zh-CN"/>
        </w:rPr>
        <w:t>的要求，而且正在考虑如何按照施工时间表和计划的新办公楼启用日期最好地实现这一结果。</w:t>
      </w:r>
      <w:bookmarkStart w:id="16" w:name="lt_pId070"/>
      <w:r w:rsidR="00B23A85" w:rsidRPr="009C1070">
        <w:rPr>
          <w:color w:val="000000" w:themeColor="text1"/>
          <w:lang w:eastAsia="zh-CN"/>
        </w:rPr>
        <w:t>MSAG</w:t>
      </w:r>
      <w:r w:rsidR="00E776C1">
        <w:rPr>
          <w:rFonts w:hint="eastAsia"/>
          <w:color w:val="000000" w:themeColor="text1"/>
          <w:lang w:eastAsia="zh-CN"/>
        </w:rPr>
        <w:t>看到</w:t>
      </w:r>
      <w:bookmarkEnd w:id="16"/>
      <w:r w:rsidR="00E776C1">
        <w:rPr>
          <w:rFonts w:hint="eastAsia"/>
          <w:color w:val="000000" w:themeColor="text1"/>
          <w:lang w:eastAsia="zh-CN"/>
        </w:rPr>
        <w:t>，</w:t>
      </w:r>
      <w:r w:rsidR="001B47E6" w:rsidRPr="00F55D20">
        <w:rPr>
          <w:rFonts w:asciiTheme="minorHAnsi" w:hAnsiTheme="minorHAnsi" w:cstheme="minorHAnsi" w:hint="eastAsia"/>
          <w:color w:val="000000" w:themeColor="text1"/>
          <w:lang w:eastAsia="zh-CN"/>
        </w:rPr>
        <w:t>联邦委员会</w:t>
      </w:r>
      <w:r w:rsidR="00E776C1">
        <w:rPr>
          <w:rFonts w:asciiTheme="minorHAnsi" w:hAnsiTheme="minorHAnsi" w:cstheme="minorHAnsi" w:hint="eastAsia"/>
          <w:color w:val="000000" w:themeColor="text1"/>
          <w:lang w:eastAsia="zh-CN"/>
        </w:rPr>
        <w:t>于</w:t>
      </w:r>
      <w:r w:rsidR="00E776C1">
        <w:rPr>
          <w:rFonts w:asciiTheme="minorHAnsi" w:hAnsiTheme="minorHAnsi" w:cstheme="minorHAnsi" w:hint="eastAsia"/>
          <w:color w:val="000000" w:themeColor="text1"/>
          <w:lang w:eastAsia="zh-CN"/>
        </w:rPr>
        <w:t>4</w:t>
      </w:r>
      <w:r w:rsidR="00E776C1">
        <w:rPr>
          <w:rFonts w:asciiTheme="minorHAnsi" w:hAnsiTheme="minorHAnsi" w:cstheme="minorHAnsi" w:hint="eastAsia"/>
          <w:color w:val="000000" w:themeColor="text1"/>
          <w:lang w:eastAsia="zh-CN"/>
        </w:rPr>
        <w:t>月</w:t>
      </w:r>
      <w:r w:rsidR="00E776C1">
        <w:rPr>
          <w:rFonts w:asciiTheme="minorHAnsi" w:hAnsiTheme="minorHAnsi" w:cstheme="minorHAnsi" w:hint="eastAsia"/>
          <w:color w:val="000000" w:themeColor="text1"/>
          <w:lang w:eastAsia="zh-CN"/>
        </w:rPr>
        <w:t>22</w:t>
      </w:r>
      <w:r w:rsidR="00E776C1">
        <w:rPr>
          <w:rFonts w:asciiTheme="minorHAnsi" w:hAnsiTheme="minorHAnsi" w:cstheme="minorHAnsi" w:hint="eastAsia"/>
          <w:color w:val="000000" w:themeColor="text1"/>
          <w:lang w:eastAsia="zh-CN"/>
        </w:rPr>
        <w:t>日批准</w:t>
      </w:r>
      <w:r w:rsidR="001B47E6" w:rsidRPr="00F55D20">
        <w:rPr>
          <w:rFonts w:asciiTheme="minorHAnsi" w:hAnsiTheme="minorHAnsi" w:cstheme="minorHAnsi" w:hint="eastAsia"/>
          <w:color w:val="000000" w:themeColor="text1"/>
          <w:lang w:eastAsia="zh-CN"/>
        </w:rPr>
        <w:t>了一笔</w:t>
      </w:r>
      <w:r w:rsidR="001B47E6" w:rsidRPr="00F55D20">
        <w:rPr>
          <w:rFonts w:asciiTheme="minorHAnsi" w:hAnsiTheme="minorHAnsi" w:cstheme="minorHAnsi" w:hint="eastAsia"/>
          <w:color w:val="000000" w:themeColor="text1"/>
          <w:lang w:eastAsia="zh-CN"/>
        </w:rPr>
        <w:t>9</w:t>
      </w:r>
      <w:r w:rsidR="001B47E6">
        <w:rPr>
          <w:rFonts w:asciiTheme="minorHAnsi" w:hAnsiTheme="minorHAnsi" w:cstheme="minorHAnsi"/>
          <w:color w:val="000000" w:themeColor="text1"/>
          <w:lang w:eastAsia="zh-CN"/>
        </w:rPr>
        <w:t>,</w:t>
      </w:r>
      <w:r w:rsidR="001B47E6" w:rsidRPr="00F55D20">
        <w:rPr>
          <w:rFonts w:asciiTheme="minorHAnsi" w:hAnsiTheme="minorHAnsi" w:cstheme="minorHAnsi" w:hint="eastAsia"/>
          <w:color w:val="000000" w:themeColor="text1"/>
          <w:lang w:eastAsia="zh-CN"/>
        </w:rPr>
        <w:t>560</w:t>
      </w:r>
      <w:r w:rsidR="001B47E6" w:rsidRPr="00F55D20">
        <w:rPr>
          <w:rFonts w:asciiTheme="minorHAnsi" w:hAnsiTheme="minorHAnsi" w:cstheme="minorHAnsi" w:hint="eastAsia"/>
          <w:color w:val="000000" w:themeColor="text1"/>
          <w:lang w:eastAsia="zh-CN"/>
        </w:rPr>
        <w:t>万瑞郎的贷款</w:t>
      </w:r>
      <w:r w:rsidR="001B47E6">
        <w:rPr>
          <w:rFonts w:asciiTheme="minorHAnsi" w:hAnsiTheme="minorHAnsi" w:cstheme="minorHAnsi" w:hint="eastAsia"/>
          <w:color w:val="000000" w:themeColor="text1"/>
          <w:lang w:eastAsia="zh-CN"/>
        </w:rPr>
        <w:t>（</w:t>
      </w:r>
      <w:r w:rsidR="001B47E6" w:rsidRPr="00F55D20">
        <w:rPr>
          <w:rFonts w:asciiTheme="minorHAnsi" w:hAnsiTheme="minorHAnsi" w:cstheme="minorHAnsi" w:hint="eastAsia"/>
          <w:color w:val="000000" w:themeColor="text1"/>
          <w:lang w:eastAsia="zh-CN"/>
        </w:rPr>
        <w:t>贷款第二部分的联邦份额</w:t>
      </w:r>
      <w:r w:rsidR="001B47E6">
        <w:rPr>
          <w:rFonts w:asciiTheme="minorHAnsi" w:hAnsiTheme="minorHAnsi" w:cstheme="minorHAnsi" w:hint="eastAsia"/>
          <w:color w:val="000000" w:themeColor="text1"/>
          <w:lang w:eastAsia="zh-CN"/>
        </w:rPr>
        <w:t>）</w:t>
      </w:r>
      <w:r w:rsidR="001B47E6" w:rsidRPr="00F55D20">
        <w:rPr>
          <w:rFonts w:asciiTheme="minorHAnsi" w:hAnsiTheme="minorHAnsi" w:cstheme="minorHAnsi" w:hint="eastAsia"/>
          <w:color w:val="000000" w:themeColor="text1"/>
          <w:lang w:eastAsia="zh-CN"/>
        </w:rPr>
        <w:t>，</w:t>
      </w:r>
      <w:r w:rsidR="00E776C1" w:rsidRPr="00F55D20">
        <w:rPr>
          <w:rFonts w:asciiTheme="minorHAnsi" w:hAnsiTheme="minorHAnsi" w:cstheme="minorHAnsi" w:hint="eastAsia"/>
          <w:color w:val="000000" w:themeColor="text1"/>
          <w:lang w:eastAsia="zh-CN"/>
        </w:rPr>
        <w:t>用于国际电联总部</w:t>
      </w:r>
      <w:r w:rsidR="00E776C1">
        <w:rPr>
          <w:rFonts w:asciiTheme="minorHAnsi" w:hAnsiTheme="minorHAnsi" w:cstheme="minorHAnsi" w:hint="eastAsia"/>
          <w:color w:val="000000" w:themeColor="text1"/>
          <w:lang w:eastAsia="zh-CN"/>
        </w:rPr>
        <w:t>办公楼</w:t>
      </w:r>
      <w:r w:rsidR="00E776C1" w:rsidRPr="00F55D20">
        <w:rPr>
          <w:rFonts w:asciiTheme="minorHAnsi" w:hAnsiTheme="minorHAnsi" w:cstheme="minorHAnsi" w:hint="eastAsia"/>
          <w:color w:val="000000" w:themeColor="text1"/>
          <w:lang w:eastAsia="zh-CN"/>
        </w:rPr>
        <w:t>的拆除和重建项目</w:t>
      </w:r>
      <w:r w:rsidR="00E776C1">
        <w:rPr>
          <w:rFonts w:asciiTheme="minorHAnsi" w:hAnsiTheme="minorHAnsi" w:cstheme="minorHAnsi" w:hint="eastAsia"/>
          <w:color w:val="000000" w:themeColor="text1"/>
          <w:lang w:eastAsia="zh-CN"/>
        </w:rPr>
        <w:t>，</w:t>
      </w:r>
      <w:r w:rsidR="001B47E6" w:rsidRPr="00F55D20">
        <w:rPr>
          <w:rFonts w:asciiTheme="minorHAnsi" w:hAnsiTheme="minorHAnsi" w:cstheme="minorHAnsi" w:hint="eastAsia"/>
          <w:color w:val="000000" w:themeColor="text1"/>
          <w:lang w:eastAsia="zh-CN"/>
        </w:rPr>
        <w:t>剩余的</w:t>
      </w:r>
      <w:r w:rsidR="001B47E6" w:rsidRPr="00F55D20">
        <w:rPr>
          <w:rFonts w:asciiTheme="minorHAnsi" w:hAnsiTheme="minorHAnsi" w:cstheme="minorHAnsi" w:hint="eastAsia"/>
          <w:color w:val="000000" w:themeColor="text1"/>
          <w:lang w:eastAsia="zh-CN"/>
        </w:rPr>
        <w:t>42</w:t>
      </w:r>
      <w:r w:rsidR="001B47E6">
        <w:rPr>
          <w:rFonts w:asciiTheme="minorHAnsi" w:hAnsiTheme="minorHAnsi" w:cstheme="minorHAnsi"/>
          <w:color w:val="000000" w:themeColor="text1"/>
          <w:lang w:eastAsia="zh-CN"/>
        </w:rPr>
        <w:t>,</w:t>
      </w:r>
      <w:r w:rsidR="001B47E6" w:rsidRPr="00F55D20">
        <w:rPr>
          <w:rFonts w:asciiTheme="minorHAnsi" w:hAnsiTheme="minorHAnsi" w:cstheme="minorHAnsi" w:hint="eastAsia"/>
          <w:color w:val="000000" w:themeColor="text1"/>
          <w:lang w:eastAsia="zh-CN"/>
        </w:rPr>
        <w:t>400</w:t>
      </w:r>
      <w:r w:rsidR="001B47E6">
        <w:rPr>
          <w:rFonts w:asciiTheme="minorHAnsi" w:hAnsiTheme="minorHAnsi" w:cstheme="minorHAnsi"/>
          <w:color w:val="000000" w:themeColor="text1"/>
          <w:lang w:eastAsia="zh-CN"/>
        </w:rPr>
        <w:t>,</w:t>
      </w:r>
      <w:r w:rsidR="001B47E6" w:rsidRPr="00F55D20">
        <w:rPr>
          <w:rFonts w:asciiTheme="minorHAnsi" w:hAnsiTheme="minorHAnsi" w:cstheme="minorHAnsi" w:hint="eastAsia"/>
          <w:color w:val="000000" w:themeColor="text1"/>
          <w:lang w:eastAsia="zh-CN"/>
        </w:rPr>
        <w:t>000</w:t>
      </w:r>
      <w:r w:rsidR="001B47E6" w:rsidRPr="00F55D20">
        <w:rPr>
          <w:rFonts w:asciiTheme="minorHAnsi" w:hAnsiTheme="minorHAnsi" w:cstheme="minorHAnsi" w:hint="eastAsia"/>
          <w:color w:val="000000" w:themeColor="text1"/>
          <w:lang w:eastAsia="zh-CN"/>
        </w:rPr>
        <w:t>瑞郎</w:t>
      </w:r>
      <w:r w:rsidR="00E776C1">
        <w:rPr>
          <w:rFonts w:asciiTheme="minorHAnsi" w:hAnsiTheme="minorHAnsi" w:cstheme="minorHAnsi" w:hint="eastAsia"/>
          <w:color w:val="000000" w:themeColor="text1"/>
          <w:lang w:eastAsia="zh-CN"/>
        </w:rPr>
        <w:t>需</w:t>
      </w:r>
      <w:r w:rsidR="00E776C1" w:rsidRPr="00F55D20">
        <w:rPr>
          <w:rFonts w:asciiTheme="minorHAnsi" w:hAnsiTheme="minorHAnsi" w:cstheme="minorHAnsi" w:hint="eastAsia"/>
          <w:color w:val="000000" w:themeColor="text1"/>
          <w:lang w:eastAsia="zh-CN"/>
        </w:rPr>
        <w:t>由日内瓦州</w:t>
      </w:r>
      <w:r w:rsidR="00E776C1">
        <w:rPr>
          <w:rFonts w:asciiTheme="minorHAnsi" w:hAnsiTheme="minorHAnsi" w:cstheme="minorHAnsi" w:hint="eastAsia"/>
          <w:color w:val="000000" w:themeColor="text1"/>
          <w:lang w:eastAsia="zh-CN"/>
        </w:rPr>
        <w:t>批准</w:t>
      </w:r>
      <w:r w:rsidR="001B47E6" w:rsidRPr="00F55D20">
        <w:rPr>
          <w:rFonts w:asciiTheme="minorHAnsi" w:hAnsiTheme="minorHAnsi" w:cstheme="minorHAnsi" w:hint="eastAsia"/>
          <w:color w:val="000000" w:themeColor="text1"/>
          <w:lang w:eastAsia="zh-CN"/>
        </w:rPr>
        <w:t>。</w:t>
      </w:r>
      <w:bookmarkStart w:id="17" w:name="lt_pId071"/>
      <w:r w:rsidR="00B23A85" w:rsidRPr="00B23A85">
        <w:rPr>
          <w:rFonts w:asciiTheme="minorHAnsi" w:eastAsia="Times New Roman" w:hAnsiTheme="minorHAnsi" w:cstheme="minorHAnsi"/>
          <w:color w:val="000000" w:themeColor="text1"/>
          <w:lang w:eastAsia="zh-CN"/>
        </w:rPr>
        <w:t>MSAG</w:t>
      </w:r>
      <w:r w:rsidR="00E776C1">
        <w:rPr>
          <w:rFonts w:asciiTheme="minorEastAsia" w:eastAsiaTheme="minorEastAsia" w:hAnsiTheme="minorEastAsia" w:cstheme="minorHAnsi" w:hint="eastAsia"/>
          <w:color w:val="000000" w:themeColor="text1"/>
          <w:lang w:eastAsia="zh-CN"/>
        </w:rPr>
        <w:t>经过努力得到确认，日内瓦州已启动进程。</w:t>
      </w:r>
      <w:bookmarkEnd w:id="17"/>
    </w:p>
    <w:p w14:paraId="0B894827" w14:textId="7C9217C1" w:rsidR="00B23A85" w:rsidRPr="00B00678" w:rsidRDefault="008043FA" w:rsidP="00D92CDC">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bookmarkStart w:id="18" w:name="lt_pId072"/>
      <w:r>
        <w:rPr>
          <w:rFonts w:asciiTheme="minorEastAsia" w:eastAsiaTheme="minorEastAsia" w:hAnsiTheme="minorEastAsia" w:cstheme="minorHAnsi" w:hint="eastAsia"/>
          <w:color w:val="000000" w:themeColor="text1"/>
          <w:lang w:eastAsia="zh-CN"/>
        </w:rPr>
        <w:lastRenderedPageBreak/>
        <w:t>有关风险管控一节，</w:t>
      </w:r>
      <w:r w:rsidR="0049731D">
        <w:rPr>
          <w:rFonts w:asciiTheme="minorEastAsia" w:eastAsiaTheme="minorEastAsia" w:hAnsiTheme="minorEastAsia" w:cstheme="minorHAnsi" w:hint="eastAsia"/>
          <w:color w:val="000000" w:themeColor="text1"/>
          <w:lang w:eastAsia="zh-CN"/>
        </w:rPr>
        <w:t>鉴于文件的长度和复杂性，</w:t>
      </w:r>
      <w:r>
        <w:rPr>
          <w:rFonts w:asciiTheme="minorEastAsia" w:eastAsiaTheme="minorEastAsia" w:hAnsiTheme="minorEastAsia" w:cstheme="minorHAnsi" w:hint="eastAsia"/>
          <w:color w:val="000000" w:themeColor="text1"/>
          <w:lang w:eastAsia="zh-CN"/>
        </w:rPr>
        <w:t>主席建议在今年举行的</w:t>
      </w:r>
      <w:r w:rsidRPr="00B23A85">
        <w:rPr>
          <w:rFonts w:asciiTheme="minorHAnsi" w:eastAsia="Times New Roman" w:hAnsiTheme="minorHAnsi" w:cstheme="minorHAnsi"/>
          <w:color w:val="000000" w:themeColor="text1"/>
          <w:lang w:eastAsia="zh-CN"/>
        </w:rPr>
        <w:t>MSAG</w:t>
      </w:r>
      <w:r>
        <w:rPr>
          <w:rFonts w:asciiTheme="minorEastAsia" w:eastAsiaTheme="minorEastAsia" w:hAnsiTheme="minorEastAsia" w:cstheme="minorHAnsi" w:hint="eastAsia"/>
          <w:color w:val="000000" w:themeColor="text1"/>
          <w:lang w:eastAsia="zh-CN"/>
        </w:rPr>
        <w:t>会议中的一场会议内进行</w:t>
      </w:r>
      <w:r w:rsidR="0049731D">
        <w:rPr>
          <w:rFonts w:asciiTheme="minorEastAsia" w:eastAsiaTheme="minorEastAsia" w:hAnsiTheme="minorEastAsia" w:cstheme="minorHAnsi" w:hint="eastAsia"/>
          <w:color w:val="000000" w:themeColor="text1"/>
          <w:lang w:eastAsia="zh-CN"/>
        </w:rPr>
        <w:t>全面</w:t>
      </w:r>
      <w:r>
        <w:rPr>
          <w:rFonts w:asciiTheme="minorEastAsia" w:eastAsiaTheme="minorEastAsia" w:hAnsiTheme="minorEastAsia" w:cstheme="minorHAnsi" w:hint="eastAsia"/>
          <w:color w:val="000000" w:themeColor="text1"/>
          <w:lang w:eastAsia="zh-CN"/>
        </w:rPr>
        <w:t>讨论</w:t>
      </w:r>
      <w:r w:rsidR="0049731D">
        <w:rPr>
          <w:rFonts w:asciiTheme="minorEastAsia" w:eastAsiaTheme="minorEastAsia" w:hAnsiTheme="minorEastAsia" w:cstheme="minorHAnsi" w:hint="eastAsia"/>
          <w:color w:val="000000" w:themeColor="text1"/>
          <w:lang w:eastAsia="zh-CN"/>
        </w:rPr>
        <w:t>。</w:t>
      </w:r>
      <w:bookmarkEnd w:id="18"/>
      <w:r w:rsidR="001B47E6">
        <w:rPr>
          <w:rFonts w:hint="eastAsia"/>
          <w:lang w:eastAsia="zh-CN"/>
        </w:rPr>
        <w:t>秘书处向</w:t>
      </w:r>
      <w:r w:rsidR="001B47E6">
        <w:rPr>
          <w:rFonts w:hint="eastAsia"/>
          <w:lang w:eastAsia="zh-CN"/>
        </w:rPr>
        <w:t>MSAG</w:t>
      </w:r>
      <w:r w:rsidR="001B47E6">
        <w:rPr>
          <w:rFonts w:hint="eastAsia"/>
          <w:lang w:eastAsia="zh-CN"/>
        </w:rPr>
        <w:t>提议，</w:t>
      </w:r>
      <w:r w:rsidR="001B47E6" w:rsidRPr="00942D03">
        <w:rPr>
          <w:lang w:eastAsia="zh-CN"/>
        </w:rPr>
        <w:t>离职后健康保</w:t>
      </w:r>
      <w:r w:rsidR="001B47E6" w:rsidRPr="00942D03">
        <w:rPr>
          <w:rFonts w:hint="eastAsia"/>
          <w:lang w:eastAsia="zh-CN"/>
        </w:rPr>
        <w:t>险（</w:t>
      </w:r>
      <w:r w:rsidR="001B47E6">
        <w:rPr>
          <w:rFonts w:hint="eastAsia"/>
          <w:lang w:eastAsia="zh-CN"/>
        </w:rPr>
        <w:t>ASHI</w:t>
      </w:r>
      <w:r w:rsidR="001B47E6">
        <w:rPr>
          <w:rFonts w:hint="eastAsia"/>
          <w:lang w:eastAsia="zh-CN"/>
        </w:rPr>
        <w:t>）基金的缴款应转入风险管控基金，施工结束时留在该账户中的任何资金都将存入</w:t>
      </w:r>
      <w:r w:rsidR="001B47E6">
        <w:rPr>
          <w:rFonts w:hint="eastAsia"/>
          <w:lang w:eastAsia="zh-CN"/>
        </w:rPr>
        <w:t>ASHI</w:t>
      </w:r>
      <w:r w:rsidR="001B47E6">
        <w:rPr>
          <w:rFonts w:hint="eastAsia"/>
          <w:lang w:eastAsia="zh-CN"/>
        </w:rPr>
        <w:t>基金，而非储备金账目。这将需要对第</w:t>
      </w:r>
      <w:r w:rsidR="001B47E6">
        <w:rPr>
          <w:rFonts w:hint="eastAsia"/>
          <w:lang w:eastAsia="zh-CN"/>
        </w:rPr>
        <w:t>619</w:t>
      </w:r>
      <w:r w:rsidR="001B47E6">
        <w:rPr>
          <w:rFonts w:hint="eastAsia"/>
          <w:lang w:eastAsia="zh-CN"/>
        </w:rPr>
        <w:t>号决定进行修正。</w:t>
      </w:r>
      <w:r w:rsidR="00B00678" w:rsidRPr="00B00678">
        <w:rPr>
          <w:lang w:eastAsia="zh-CN"/>
        </w:rPr>
        <w:t>与会者一致认为，这是一个重要问题，应在理事会</w:t>
      </w:r>
      <w:r w:rsidR="00B00678">
        <w:rPr>
          <w:rFonts w:hint="eastAsia"/>
          <w:lang w:eastAsia="zh-CN"/>
        </w:rPr>
        <w:t>2020</w:t>
      </w:r>
      <w:r w:rsidR="00B00678">
        <w:rPr>
          <w:rFonts w:hint="eastAsia"/>
          <w:lang w:eastAsia="zh-CN"/>
        </w:rPr>
        <w:t>年</w:t>
      </w:r>
      <w:r w:rsidR="00B00678" w:rsidRPr="00B00678">
        <w:rPr>
          <w:lang w:eastAsia="zh-CN"/>
        </w:rPr>
        <w:t>会议上讨论，</w:t>
      </w:r>
      <w:r w:rsidR="00B00678" w:rsidRPr="00B00678">
        <w:rPr>
          <w:lang w:eastAsia="zh-CN"/>
        </w:rPr>
        <w:t>MSAG</w:t>
      </w:r>
      <w:r w:rsidR="00B00678" w:rsidRPr="00B00678">
        <w:rPr>
          <w:lang w:eastAsia="zh-CN"/>
        </w:rPr>
        <w:t>目前无法提供指导。</w:t>
      </w:r>
    </w:p>
    <w:p w14:paraId="2CE45FAA" w14:textId="26AB6DBA" w:rsidR="00B47614" w:rsidRDefault="00B00678" w:rsidP="00D92CDC">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lang w:eastAsia="zh-CN"/>
        </w:rPr>
      </w:pPr>
      <w:r w:rsidRPr="00B23A85">
        <w:rPr>
          <w:color w:val="000000" w:themeColor="text1"/>
          <w:lang w:eastAsia="zh-CN"/>
        </w:rPr>
        <w:t>Dobbelstein</w:t>
      </w:r>
      <w:r w:rsidRPr="00B00678">
        <w:rPr>
          <w:lang w:eastAsia="zh-CN"/>
        </w:rPr>
        <w:t>女士简要解释了房地产专家关于在出售</w:t>
      </w:r>
      <w:r>
        <w:rPr>
          <w:rFonts w:hint="eastAsia"/>
          <w:lang w:eastAsia="zh-CN"/>
        </w:rPr>
        <w:t>塔楼</w:t>
      </w:r>
      <w:r w:rsidRPr="00B00678">
        <w:rPr>
          <w:lang w:eastAsia="zh-CN"/>
        </w:rPr>
        <w:t>后保留对波波夫</w:t>
      </w:r>
      <w:r>
        <w:rPr>
          <w:rFonts w:hint="eastAsia"/>
          <w:lang w:eastAsia="zh-CN"/>
        </w:rPr>
        <w:t>厅</w:t>
      </w:r>
      <w:r w:rsidRPr="00B00678">
        <w:rPr>
          <w:lang w:eastAsia="zh-CN"/>
        </w:rPr>
        <w:t>使用</w:t>
      </w:r>
      <w:r>
        <w:rPr>
          <w:rFonts w:hint="eastAsia"/>
          <w:lang w:eastAsia="zh-CN"/>
        </w:rPr>
        <w:t>的情况下塔楼的价值结论</w:t>
      </w:r>
      <w:r w:rsidRPr="00B00678">
        <w:rPr>
          <w:lang w:eastAsia="zh-CN"/>
        </w:rPr>
        <w:t>，</w:t>
      </w:r>
      <w:proofErr w:type="gramStart"/>
      <w:r w:rsidRPr="00B00678">
        <w:rPr>
          <w:lang w:eastAsia="zh-CN"/>
        </w:rPr>
        <w:t>以及该专家特别</w:t>
      </w:r>
      <w:r>
        <w:rPr>
          <w:rFonts w:hint="eastAsia"/>
          <w:lang w:eastAsia="zh-CN"/>
        </w:rPr>
        <w:t>在</w:t>
      </w:r>
      <w:r w:rsidRPr="00B00678">
        <w:rPr>
          <w:lang w:eastAsia="zh-CN"/>
        </w:rPr>
        <w:t>考虑到目前的房地产市场</w:t>
      </w:r>
      <w:r>
        <w:rPr>
          <w:rFonts w:hint="eastAsia"/>
          <w:lang w:eastAsia="zh-CN"/>
        </w:rPr>
        <w:t>的情况下提出的</w:t>
      </w:r>
      <w:r w:rsidRPr="00B00678">
        <w:rPr>
          <w:lang w:eastAsia="zh-CN"/>
        </w:rPr>
        <w:t>关于考虑对该组织更有利可图的</w:t>
      </w:r>
      <w:r w:rsidR="00D92CDC" w:rsidRPr="00D92CDC">
        <w:rPr>
          <w:rFonts w:ascii="SimSun" w:hAnsi="SimSun"/>
          <w:lang w:eastAsia="zh-CN"/>
        </w:rPr>
        <w:t>“</w:t>
      </w:r>
      <w:proofErr w:type="gramEnd"/>
      <w:r w:rsidRPr="00B00678">
        <w:rPr>
          <w:lang w:eastAsia="zh-CN"/>
        </w:rPr>
        <w:t>出售和租回</w:t>
      </w:r>
      <w:r w:rsidR="00D92CDC" w:rsidRPr="00D92CDC">
        <w:rPr>
          <w:rFonts w:ascii="SimSun" w:hAnsi="SimSun"/>
          <w:lang w:eastAsia="zh-CN"/>
        </w:rPr>
        <w:t>”</w:t>
      </w:r>
      <w:r>
        <w:rPr>
          <w:lang w:eastAsia="zh-CN"/>
        </w:rPr>
        <w:t>选择的建议</w:t>
      </w:r>
      <w:r w:rsidR="001C3508">
        <w:rPr>
          <w:lang w:eastAsia="zh-CN"/>
        </w:rPr>
        <w:t>。主席提醒说，专家在总结报告中表达的告诫使得在没有看到专家</w:t>
      </w:r>
      <w:r w:rsidRPr="00B00678">
        <w:rPr>
          <w:lang w:eastAsia="zh-CN"/>
        </w:rPr>
        <w:t>完整报告的情况下很难得出结论。主席要求共享</w:t>
      </w:r>
      <w:r w:rsidR="00B47614" w:rsidRPr="00B23A85">
        <w:rPr>
          <w:color w:val="000000" w:themeColor="text1"/>
          <w:lang w:eastAsia="zh-CN"/>
        </w:rPr>
        <w:t>SPG Intercity</w:t>
      </w:r>
      <w:r w:rsidRPr="00B00678">
        <w:rPr>
          <w:lang w:eastAsia="zh-CN"/>
        </w:rPr>
        <w:t>的完整报告，以便更好地理解所有选项，秘书处修改了理事会文件，以提供</w:t>
      </w:r>
      <w:r w:rsidR="00B47614">
        <w:rPr>
          <w:rFonts w:hint="eastAsia"/>
          <w:lang w:eastAsia="zh-CN"/>
        </w:rPr>
        <w:t>获取</w:t>
      </w:r>
      <w:r w:rsidRPr="00B00678">
        <w:rPr>
          <w:lang w:eastAsia="zh-CN"/>
        </w:rPr>
        <w:t>完整报告的链接。</w:t>
      </w:r>
    </w:p>
    <w:p w14:paraId="54B7589E" w14:textId="75F19D20" w:rsidR="00B23A85" w:rsidRPr="00B47614" w:rsidRDefault="00B00678" w:rsidP="00D92CDC">
      <w:pPr>
        <w:tabs>
          <w:tab w:val="clear" w:pos="794"/>
          <w:tab w:val="clear" w:pos="1191"/>
          <w:tab w:val="clear" w:pos="1588"/>
          <w:tab w:val="clear" w:pos="1985"/>
          <w:tab w:val="left" w:pos="567"/>
          <w:tab w:val="left" w:pos="630"/>
          <w:tab w:val="left" w:pos="1134"/>
          <w:tab w:val="left" w:pos="1701"/>
          <w:tab w:val="left" w:pos="2268"/>
          <w:tab w:val="left" w:pos="2835"/>
        </w:tabs>
        <w:spacing w:after="120"/>
        <w:ind w:firstLineChars="200" w:firstLine="480"/>
        <w:jc w:val="both"/>
        <w:rPr>
          <w:color w:val="000000" w:themeColor="text1"/>
          <w:lang w:eastAsia="zh-CN"/>
        </w:rPr>
      </w:pPr>
      <w:r w:rsidRPr="00B00678">
        <w:rPr>
          <w:lang w:eastAsia="zh-CN"/>
        </w:rPr>
        <w:t>秘书处提议在理事会</w:t>
      </w:r>
      <w:r w:rsidR="00B47614">
        <w:rPr>
          <w:rFonts w:hint="eastAsia"/>
          <w:lang w:eastAsia="zh-CN"/>
        </w:rPr>
        <w:t>2020</w:t>
      </w:r>
      <w:r w:rsidR="00B47614">
        <w:rPr>
          <w:rFonts w:hint="eastAsia"/>
          <w:lang w:eastAsia="zh-CN"/>
        </w:rPr>
        <w:t>年</w:t>
      </w:r>
      <w:r w:rsidRPr="00B00678">
        <w:rPr>
          <w:lang w:eastAsia="zh-CN"/>
        </w:rPr>
        <w:t>会议之前再举行一次关于该项目的情况</w:t>
      </w:r>
      <w:r w:rsidR="00B47614">
        <w:rPr>
          <w:rFonts w:hint="eastAsia"/>
          <w:lang w:eastAsia="zh-CN"/>
        </w:rPr>
        <w:t>通报</w:t>
      </w:r>
      <w:r w:rsidRPr="00B00678">
        <w:rPr>
          <w:lang w:eastAsia="zh-CN"/>
        </w:rPr>
        <w:t>会，</w:t>
      </w:r>
      <w:r w:rsidRPr="00B00678">
        <w:rPr>
          <w:lang w:eastAsia="zh-CN"/>
        </w:rPr>
        <w:t>MSAG</w:t>
      </w:r>
      <w:r w:rsidRPr="00B00678">
        <w:rPr>
          <w:lang w:eastAsia="zh-CN"/>
        </w:rPr>
        <w:t>支持这一有益的做法。会议决定于</w:t>
      </w:r>
      <w:r w:rsidRPr="00B00678">
        <w:rPr>
          <w:lang w:eastAsia="zh-CN"/>
        </w:rPr>
        <w:t>2020</w:t>
      </w:r>
      <w:r w:rsidRPr="00B00678">
        <w:rPr>
          <w:lang w:eastAsia="zh-CN"/>
        </w:rPr>
        <w:t>年</w:t>
      </w:r>
      <w:r w:rsidRPr="00B00678">
        <w:rPr>
          <w:lang w:eastAsia="zh-CN"/>
        </w:rPr>
        <w:t>6</w:t>
      </w:r>
      <w:r w:rsidRPr="00B00678">
        <w:rPr>
          <w:lang w:eastAsia="zh-CN"/>
        </w:rPr>
        <w:t>月</w:t>
      </w:r>
      <w:r w:rsidRPr="00B00678">
        <w:rPr>
          <w:lang w:eastAsia="zh-CN"/>
        </w:rPr>
        <w:t>8</w:t>
      </w:r>
      <w:r w:rsidRPr="00B00678">
        <w:rPr>
          <w:lang w:eastAsia="zh-CN"/>
        </w:rPr>
        <w:t>日</w:t>
      </w:r>
      <w:r w:rsidR="00B47614">
        <w:rPr>
          <w:rFonts w:hint="eastAsia"/>
          <w:lang w:eastAsia="zh-CN"/>
        </w:rPr>
        <w:t>（</w:t>
      </w:r>
      <w:r w:rsidRPr="00B00678">
        <w:rPr>
          <w:lang w:eastAsia="zh-CN"/>
        </w:rPr>
        <w:t>星期一</w:t>
      </w:r>
      <w:r w:rsidR="00B47614">
        <w:rPr>
          <w:rFonts w:hint="eastAsia"/>
          <w:lang w:eastAsia="zh-CN"/>
        </w:rPr>
        <w:t>）</w:t>
      </w:r>
      <w:r w:rsidRPr="00B00678">
        <w:rPr>
          <w:lang w:eastAsia="zh-CN"/>
        </w:rPr>
        <w:t>，即理事会开会的前一天举行</w:t>
      </w:r>
      <w:r w:rsidR="00B47614">
        <w:rPr>
          <w:rFonts w:hint="eastAsia"/>
          <w:lang w:eastAsia="zh-CN"/>
        </w:rPr>
        <w:t>该会议</w:t>
      </w:r>
      <w:r w:rsidRPr="00B00678">
        <w:rPr>
          <w:rFonts w:hint="eastAsia"/>
          <w:lang w:eastAsia="zh-CN"/>
        </w:rPr>
        <w:t>。</w:t>
      </w:r>
    </w:p>
    <w:p w14:paraId="3F4E5696" w14:textId="39F44D4A" w:rsidR="00CD38DD" w:rsidRPr="00FE7CFF" w:rsidRDefault="00CD38DD" w:rsidP="00CD38DD">
      <w:pPr>
        <w:pStyle w:val="Heading1"/>
        <w:rPr>
          <w:lang w:eastAsia="zh-CN"/>
        </w:rPr>
      </w:pPr>
      <w:r>
        <w:rPr>
          <w:lang w:eastAsia="zh-CN"/>
        </w:rPr>
        <w:t>2</w:t>
      </w:r>
      <w:r w:rsidRPr="00FE7CFF">
        <w:rPr>
          <w:lang w:eastAsia="zh-CN"/>
        </w:rPr>
        <w:tab/>
      </w:r>
      <w:r w:rsidR="00ED6C5F">
        <w:rPr>
          <w:rFonts w:asciiTheme="minorEastAsia" w:eastAsiaTheme="minorEastAsia" w:hAnsiTheme="minorEastAsia" w:cstheme="minorHAnsi" w:hint="eastAsia"/>
          <w:bCs/>
          <w:color w:val="000000" w:themeColor="text1"/>
          <w:lang w:eastAsia="zh-CN"/>
        </w:rPr>
        <w:t>提请理事会关注的内容</w:t>
      </w:r>
    </w:p>
    <w:p w14:paraId="6D989E94" w14:textId="3EF18B8C" w:rsidR="00B23A85" w:rsidRPr="00B23A85" w:rsidRDefault="00B23A85" w:rsidP="00ED6C5F">
      <w:pPr>
        <w:pStyle w:val="Heading2"/>
        <w:rPr>
          <w:rFonts w:cs="Calibri"/>
          <w:color w:val="800000"/>
          <w:sz w:val="22"/>
          <w:lang w:eastAsia="zh-CN"/>
        </w:rPr>
      </w:pPr>
      <w:r w:rsidRPr="00B23A85">
        <w:rPr>
          <w:rFonts w:asciiTheme="minorHAnsi" w:hAnsiTheme="minorHAnsi"/>
          <w:lang w:eastAsia="zh-CN"/>
        </w:rPr>
        <w:t>2.1</w:t>
      </w:r>
      <w:r w:rsidRPr="00B23A85">
        <w:rPr>
          <w:rFonts w:asciiTheme="minorHAnsi" w:hAnsiTheme="minorHAnsi"/>
          <w:lang w:eastAsia="zh-CN"/>
        </w:rPr>
        <w:tab/>
      </w:r>
      <w:r w:rsidR="00CD38DD">
        <w:rPr>
          <w:lang w:eastAsia="zh-CN"/>
        </w:rPr>
        <w:t>概念设计</w:t>
      </w:r>
    </w:p>
    <w:p w14:paraId="13087493" w14:textId="38E6F35A" w:rsidR="00B23A85" w:rsidRPr="00B23A85" w:rsidRDefault="00B23A85" w:rsidP="00B23A85">
      <w:pPr>
        <w:tabs>
          <w:tab w:val="clear" w:pos="794"/>
          <w:tab w:val="clear" w:pos="1191"/>
          <w:tab w:val="clear" w:pos="1588"/>
          <w:tab w:val="clear" w:pos="1985"/>
        </w:tabs>
        <w:snapToGrid w:val="0"/>
        <w:spacing w:after="120"/>
        <w:jc w:val="both"/>
        <w:rPr>
          <w:rFonts w:asciiTheme="minorHAnsi" w:eastAsia="Times New Roman" w:hAnsiTheme="minorHAnsi"/>
          <w:color w:val="000000" w:themeColor="text1"/>
          <w:szCs w:val="24"/>
          <w:lang w:eastAsia="zh-CN"/>
        </w:rPr>
      </w:pPr>
      <w:r w:rsidRPr="00B23A85">
        <w:rPr>
          <w:rFonts w:asciiTheme="minorHAnsi" w:eastAsia="Times New Roman" w:hAnsiTheme="minorHAnsi" w:cstheme="minorHAnsi"/>
          <w:color w:val="000000" w:themeColor="text1"/>
          <w:lang w:eastAsia="zh-CN"/>
        </w:rPr>
        <w:t>2.1.1</w:t>
      </w:r>
      <w:r w:rsidRPr="00B23A85">
        <w:rPr>
          <w:rFonts w:asciiTheme="minorHAnsi" w:eastAsia="Times New Roman" w:hAnsiTheme="minorHAnsi" w:cstheme="minorHAnsi"/>
          <w:color w:val="000000" w:themeColor="text1"/>
          <w:lang w:eastAsia="zh-CN"/>
        </w:rPr>
        <w:tab/>
      </w:r>
      <w:r w:rsidR="00CD38DD">
        <w:rPr>
          <w:lang w:eastAsia="zh-CN"/>
        </w:rPr>
        <w:t>新办公楼需符合</w:t>
      </w:r>
      <w:r w:rsidR="00CD38DD">
        <w:rPr>
          <w:lang w:eastAsia="zh-CN"/>
        </w:rPr>
        <w:t>UN-MOSS</w:t>
      </w:r>
      <w:r w:rsidR="00CD38DD">
        <w:rPr>
          <w:lang w:eastAsia="zh-CN"/>
        </w:rPr>
        <w:t>（最低业务安全标准），</w:t>
      </w:r>
      <w:r w:rsidR="00CD38DD">
        <w:rPr>
          <w:rFonts w:hint="eastAsia"/>
          <w:lang w:eastAsia="zh-CN"/>
        </w:rPr>
        <w:t>此</w:t>
      </w:r>
      <w:r w:rsidR="00CD38DD">
        <w:rPr>
          <w:lang w:eastAsia="zh-CN"/>
        </w:rPr>
        <w:t>标准适用于全球所有联合国组织新</w:t>
      </w:r>
      <w:r w:rsidR="00CD38DD">
        <w:rPr>
          <w:rFonts w:hint="eastAsia"/>
          <w:lang w:eastAsia="zh-CN"/>
        </w:rPr>
        <w:t>建</w:t>
      </w:r>
      <w:r w:rsidR="00CD38DD">
        <w:rPr>
          <w:lang w:eastAsia="zh-CN"/>
        </w:rPr>
        <w:t>或翻修的办公</w:t>
      </w:r>
      <w:r w:rsidR="00CD38DD">
        <w:rPr>
          <w:rFonts w:ascii="SimSun" w:hAnsi="SimSun" w:cs="SimSun" w:hint="eastAsia"/>
          <w:lang w:eastAsia="zh-CN"/>
        </w:rPr>
        <w:t>楼。</w:t>
      </w:r>
      <w:r w:rsidR="001C3508">
        <w:rPr>
          <w:rFonts w:ascii="SimSun" w:hAnsi="SimSun" w:cs="SimSun" w:hint="eastAsia"/>
          <w:lang w:eastAsia="zh-CN"/>
        </w:rPr>
        <w:t>秘书处一直与东道国相关本地和国家机构合作，推动就</w:t>
      </w:r>
      <w:r w:rsidR="00B47614">
        <w:rPr>
          <w:rFonts w:ascii="SimSun" w:hAnsi="SimSun" w:cs="SimSun" w:hint="eastAsia"/>
          <w:lang w:eastAsia="zh-CN"/>
        </w:rPr>
        <w:t>如何实现合规</w:t>
      </w:r>
      <w:r w:rsidR="001C3508">
        <w:rPr>
          <w:rFonts w:ascii="SimSun" w:hAnsi="SimSun" w:cs="SimSun" w:hint="eastAsia"/>
          <w:lang w:eastAsia="zh-CN"/>
        </w:rPr>
        <w:t>的方式</w:t>
      </w:r>
      <w:r w:rsidR="00B47614">
        <w:rPr>
          <w:rFonts w:ascii="SimSun" w:hAnsi="SimSun" w:cs="SimSun" w:hint="eastAsia"/>
          <w:lang w:eastAsia="zh-CN"/>
        </w:rPr>
        <w:t>达成共识。</w:t>
      </w:r>
      <w:r w:rsidR="001B47E6" w:rsidRPr="00424B7A">
        <w:rPr>
          <w:rFonts w:hint="eastAsia"/>
          <w:lang w:eastAsia="zh-CN"/>
        </w:rPr>
        <w:t>国际电联</w:t>
      </w:r>
      <w:r w:rsidR="00B47614">
        <w:rPr>
          <w:rFonts w:hint="eastAsia"/>
          <w:lang w:eastAsia="zh-CN"/>
        </w:rPr>
        <w:t>被责成</w:t>
      </w:r>
      <w:r w:rsidR="001B47E6" w:rsidRPr="00424B7A">
        <w:rPr>
          <w:rFonts w:hint="eastAsia"/>
          <w:lang w:eastAsia="zh-CN"/>
        </w:rPr>
        <w:t>对国际电联地块上的新办公楼提出施工许可申请。瑞士代表团向国际电联确认和保证，有权能的瑞士当局将研究解决</w:t>
      </w:r>
      <w:r w:rsidR="001B47E6" w:rsidRPr="00424B7A">
        <w:rPr>
          <w:lang w:eastAsia="zh-CN"/>
        </w:rPr>
        <w:t>UN-MOSS</w:t>
      </w:r>
      <w:r w:rsidR="001B47E6" w:rsidRPr="00424B7A">
        <w:rPr>
          <w:rFonts w:hint="eastAsia"/>
          <w:lang w:eastAsia="zh-CN"/>
        </w:rPr>
        <w:t>的要求，而且正在考虑如何按照施工时间表和计划的新办公楼启用日期最好地实现这一结果。</w:t>
      </w:r>
    </w:p>
    <w:p w14:paraId="466CF8F4" w14:textId="6FEF8E8B" w:rsidR="00B23A85" w:rsidRPr="00B23A85" w:rsidRDefault="00B23A85" w:rsidP="00D92CDC">
      <w:pPr>
        <w:tabs>
          <w:tab w:val="clear" w:pos="794"/>
          <w:tab w:val="clear" w:pos="1191"/>
          <w:tab w:val="clear" w:pos="1588"/>
          <w:tab w:val="clear" w:pos="1985"/>
          <w:tab w:val="left" w:pos="709"/>
          <w:tab w:val="left" w:pos="1134"/>
          <w:tab w:val="left" w:pos="1701"/>
          <w:tab w:val="left" w:pos="2268"/>
          <w:tab w:val="left" w:pos="2835"/>
        </w:tabs>
        <w:spacing w:after="120"/>
        <w:jc w:val="both"/>
        <w:rPr>
          <w:rFonts w:asciiTheme="minorHAnsi" w:eastAsia="Times New Roman" w:hAnsiTheme="minorHAnsi"/>
          <w:color w:val="000000" w:themeColor="text1"/>
          <w:lang w:eastAsia="zh-CN"/>
        </w:rPr>
      </w:pPr>
      <w:r w:rsidRPr="00B23A85">
        <w:rPr>
          <w:rFonts w:asciiTheme="minorHAnsi" w:eastAsia="Times New Roman" w:hAnsiTheme="minorHAnsi"/>
          <w:color w:val="000000" w:themeColor="text1"/>
          <w:lang w:eastAsia="zh-CN"/>
        </w:rPr>
        <w:t>2.1.2</w:t>
      </w:r>
      <w:r w:rsidRPr="00B23A85">
        <w:rPr>
          <w:rFonts w:asciiTheme="minorHAnsi" w:eastAsia="Times New Roman" w:hAnsiTheme="minorHAnsi"/>
          <w:color w:val="000000" w:themeColor="text1"/>
          <w:lang w:eastAsia="zh-CN"/>
        </w:rPr>
        <w:tab/>
      </w:r>
      <w:r w:rsidR="00A30529" w:rsidRPr="00A30529">
        <w:rPr>
          <w:lang w:eastAsia="zh-CN"/>
        </w:rPr>
        <w:t>如</w:t>
      </w:r>
      <w:r w:rsidR="00A30529" w:rsidRPr="00A30529">
        <w:rPr>
          <w:lang w:eastAsia="zh-CN"/>
        </w:rPr>
        <w:t>2019</w:t>
      </w:r>
      <w:r w:rsidR="00A30529" w:rsidRPr="00A30529">
        <w:rPr>
          <w:lang w:eastAsia="zh-CN"/>
        </w:rPr>
        <w:t>年</w:t>
      </w:r>
      <w:r w:rsidR="00A30529">
        <w:rPr>
          <w:rFonts w:hint="eastAsia"/>
          <w:lang w:eastAsia="zh-CN"/>
        </w:rPr>
        <w:t>增开</w:t>
      </w:r>
      <w:r w:rsidR="00A30529">
        <w:rPr>
          <w:lang w:eastAsia="zh-CN"/>
        </w:rPr>
        <w:t>的理事会会议所述，</w:t>
      </w:r>
      <w:r w:rsidR="00A30529">
        <w:rPr>
          <w:rFonts w:hint="eastAsia"/>
          <w:lang w:eastAsia="zh-CN"/>
        </w:rPr>
        <w:t>办公</w:t>
      </w:r>
      <w:r w:rsidR="00A30529" w:rsidRPr="00A30529">
        <w:rPr>
          <w:lang w:eastAsia="zh-CN"/>
        </w:rPr>
        <w:t>楼设计已经修改，以减少总楼层数，并将在</w:t>
      </w:r>
      <w:proofErr w:type="spellStart"/>
      <w:r w:rsidR="00A30529" w:rsidRPr="00B23A85">
        <w:rPr>
          <w:rFonts w:asciiTheme="minorHAnsi" w:eastAsia="Times New Roman" w:hAnsiTheme="minorHAnsi"/>
          <w:color w:val="000000" w:themeColor="text1"/>
          <w:lang w:eastAsia="zh-CN"/>
        </w:rPr>
        <w:t>Montbrillant</w:t>
      </w:r>
      <w:proofErr w:type="spellEnd"/>
      <w:r w:rsidR="00A30529">
        <w:rPr>
          <w:rFonts w:asciiTheme="minorEastAsia" w:eastAsiaTheme="minorEastAsia" w:hAnsiTheme="minorEastAsia" w:hint="eastAsia"/>
          <w:color w:val="000000" w:themeColor="text1"/>
          <w:lang w:eastAsia="zh-CN"/>
        </w:rPr>
        <w:t>办公</w:t>
      </w:r>
      <w:r w:rsidR="00A30529" w:rsidRPr="00A30529">
        <w:rPr>
          <w:lang w:eastAsia="zh-CN"/>
        </w:rPr>
        <w:t>楼内设立更多的工作人员</w:t>
      </w:r>
      <w:r w:rsidR="00A30529">
        <w:rPr>
          <w:rFonts w:hint="eastAsia"/>
          <w:lang w:eastAsia="zh-CN"/>
        </w:rPr>
        <w:t>席位</w:t>
      </w:r>
      <w:r w:rsidR="00A30529" w:rsidRPr="00A30529">
        <w:rPr>
          <w:lang w:eastAsia="zh-CN"/>
        </w:rPr>
        <w:t>。</w:t>
      </w:r>
    </w:p>
    <w:p w14:paraId="59E18F0B" w14:textId="76BF74B1" w:rsidR="00B23A85" w:rsidRPr="00ED6C5F" w:rsidRDefault="00B23A85" w:rsidP="00D92CDC">
      <w:pPr>
        <w:tabs>
          <w:tab w:val="clear" w:pos="794"/>
          <w:tab w:val="clear" w:pos="1191"/>
          <w:tab w:val="clear" w:pos="1588"/>
          <w:tab w:val="clear" w:pos="1985"/>
          <w:tab w:val="left" w:pos="709"/>
          <w:tab w:val="left" w:pos="1134"/>
          <w:tab w:val="left" w:pos="1701"/>
          <w:tab w:val="left" w:pos="2268"/>
          <w:tab w:val="left" w:pos="2835"/>
        </w:tabs>
        <w:spacing w:after="120"/>
        <w:jc w:val="both"/>
        <w:rPr>
          <w:lang w:eastAsia="zh-CN"/>
        </w:rPr>
      </w:pPr>
      <w:r w:rsidRPr="00B23A85">
        <w:rPr>
          <w:rFonts w:asciiTheme="minorHAnsi" w:eastAsia="Times New Roman" w:hAnsiTheme="minorHAnsi"/>
          <w:color w:val="000000" w:themeColor="text1"/>
          <w:lang w:eastAsia="zh-CN"/>
        </w:rPr>
        <w:t>2.1.3</w:t>
      </w:r>
      <w:r w:rsidRPr="00B23A85">
        <w:rPr>
          <w:rFonts w:asciiTheme="minorHAnsi" w:eastAsia="Times New Roman" w:hAnsiTheme="minorHAnsi"/>
          <w:color w:val="000000" w:themeColor="text1"/>
          <w:lang w:eastAsia="zh-CN"/>
        </w:rPr>
        <w:tab/>
      </w:r>
      <w:r w:rsidR="00B47614">
        <w:rPr>
          <w:rFonts w:asciiTheme="minorEastAsia" w:eastAsiaTheme="minorEastAsia" w:hAnsiTheme="minorEastAsia" w:hint="eastAsia"/>
          <w:color w:val="000000" w:themeColor="text1"/>
          <w:lang w:eastAsia="zh-CN"/>
        </w:rPr>
        <w:t>秘书处与</w:t>
      </w:r>
      <w:r w:rsidR="001B47E6" w:rsidRPr="002D2290">
        <w:rPr>
          <w:rFonts w:asciiTheme="minorHAnsi" w:hAnsiTheme="minorHAnsi" w:cstheme="minorHAnsi" w:hint="eastAsia"/>
          <w:color w:val="000000" w:themeColor="text1"/>
          <w:lang w:eastAsia="zh-CN"/>
        </w:rPr>
        <w:t>房地产专家</w:t>
      </w:r>
      <w:r w:rsidR="001B47E6" w:rsidRPr="002D2290">
        <w:rPr>
          <w:rFonts w:asciiTheme="minorHAnsi" w:hAnsiTheme="minorHAnsi" w:cstheme="minorHAnsi" w:hint="eastAsia"/>
          <w:color w:val="000000" w:themeColor="text1"/>
          <w:lang w:eastAsia="zh-CN"/>
        </w:rPr>
        <w:t>SPG</w:t>
      </w:r>
      <w:r w:rsidR="001B47E6" w:rsidRPr="00ED463D">
        <w:rPr>
          <w:rFonts w:asciiTheme="minorHAnsi" w:hAnsiTheme="minorHAnsi" w:cstheme="minorHAnsi"/>
          <w:color w:val="000000" w:themeColor="text1"/>
          <w:lang w:eastAsia="zh-CN"/>
        </w:rPr>
        <w:t xml:space="preserve"> </w:t>
      </w:r>
      <w:r w:rsidR="001B47E6" w:rsidRPr="00D75BAB">
        <w:rPr>
          <w:rFonts w:asciiTheme="minorHAnsi" w:hAnsiTheme="minorHAnsi" w:cstheme="minorHAnsi"/>
          <w:color w:val="000000" w:themeColor="text1"/>
          <w:lang w:eastAsia="zh-CN"/>
        </w:rPr>
        <w:t>Intercity</w:t>
      </w:r>
      <w:r w:rsidR="00B47614">
        <w:rPr>
          <w:rFonts w:asciiTheme="minorHAnsi" w:hAnsiTheme="minorHAnsi" w:cstheme="minorHAnsi" w:hint="eastAsia"/>
          <w:color w:val="000000" w:themeColor="text1"/>
          <w:lang w:eastAsia="zh-CN"/>
        </w:rPr>
        <w:t>签订了</w:t>
      </w:r>
      <w:r w:rsidR="001B47E6" w:rsidRPr="002D2290">
        <w:rPr>
          <w:rFonts w:asciiTheme="minorHAnsi" w:hAnsiTheme="minorHAnsi" w:cstheme="minorHAnsi" w:hint="eastAsia"/>
          <w:color w:val="000000" w:themeColor="text1"/>
          <w:lang w:eastAsia="zh-CN"/>
        </w:rPr>
        <w:t>合同，</w:t>
      </w:r>
      <w:bookmarkStart w:id="19" w:name="_Hlk41026736"/>
      <w:r w:rsidR="001B47E6">
        <w:rPr>
          <w:rFonts w:asciiTheme="minorHAnsi" w:hAnsiTheme="minorHAnsi" w:cstheme="minorHAnsi" w:hint="eastAsia"/>
          <w:color w:val="000000" w:themeColor="text1"/>
          <w:lang w:eastAsia="zh-CN"/>
        </w:rPr>
        <w:t>要求对</w:t>
      </w:r>
      <w:r w:rsidR="001B47E6" w:rsidRPr="002D2290">
        <w:rPr>
          <w:rFonts w:asciiTheme="minorHAnsi" w:hAnsiTheme="minorHAnsi" w:cstheme="minorHAnsi" w:hint="eastAsia"/>
          <w:color w:val="000000" w:themeColor="text1"/>
          <w:lang w:eastAsia="zh-CN"/>
        </w:rPr>
        <w:t>出售塔楼后保留</w:t>
      </w:r>
      <w:r w:rsidR="00B47614">
        <w:rPr>
          <w:rFonts w:asciiTheme="minorHAnsi" w:hAnsiTheme="minorHAnsi" w:cstheme="minorHAnsi" w:hint="eastAsia"/>
          <w:color w:val="000000" w:themeColor="text1"/>
          <w:lang w:eastAsia="zh-CN"/>
        </w:rPr>
        <w:t>波波夫</w:t>
      </w:r>
      <w:r w:rsidR="001B47E6">
        <w:rPr>
          <w:rFonts w:asciiTheme="minorHAnsi" w:hAnsiTheme="minorHAnsi" w:cstheme="minorHAnsi" w:hint="eastAsia"/>
          <w:color w:val="000000" w:themeColor="text1"/>
          <w:lang w:eastAsia="zh-CN"/>
        </w:rPr>
        <w:t>厅</w:t>
      </w:r>
      <w:r w:rsidR="001B47E6" w:rsidRPr="002D2290">
        <w:rPr>
          <w:rFonts w:asciiTheme="minorHAnsi" w:hAnsiTheme="minorHAnsi" w:cstheme="minorHAnsi" w:hint="eastAsia"/>
          <w:color w:val="000000" w:themeColor="text1"/>
          <w:lang w:eastAsia="zh-CN"/>
        </w:rPr>
        <w:t>使用权的</w:t>
      </w:r>
      <w:r w:rsidR="00B47614">
        <w:rPr>
          <w:rFonts w:asciiTheme="minorHAnsi" w:hAnsiTheme="minorHAnsi" w:cstheme="minorHAnsi" w:hint="eastAsia"/>
          <w:color w:val="000000" w:themeColor="text1"/>
          <w:lang w:eastAsia="zh-CN"/>
        </w:rPr>
        <w:t>影响</w:t>
      </w:r>
      <w:r w:rsidR="001B47E6">
        <w:rPr>
          <w:rFonts w:asciiTheme="minorHAnsi" w:hAnsiTheme="minorHAnsi" w:cstheme="minorHAnsi" w:hint="eastAsia"/>
          <w:color w:val="000000" w:themeColor="text1"/>
          <w:lang w:eastAsia="zh-CN"/>
        </w:rPr>
        <w:t>进行</w:t>
      </w:r>
      <w:r w:rsidR="001B47E6" w:rsidRPr="002D2290">
        <w:rPr>
          <w:rFonts w:asciiTheme="minorHAnsi" w:hAnsiTheme="minorHAnsi" w:cstheme="minorHAnsi" w:hint="eastAsia"/>
          <w:color w:val="000000" w:themeColor="text1"/>
          <w:lang w:eastAsia="zh-CN"/>
        </w:rPr>
        <w:t>财务</w:t>
      </w:r>
      <w:bookmarkEnd w:id="19"/>
      <w:r w:rsidR="00A30529">
        <w:rPr>
          <w:rFonts w:asciiTheme="minorHAnsi" w:hAnsiTheme="minorHAnsi" w:cstheme="minorHAnsi" w:hint="eastAsia"/>
          <w:color w:val="000000" w:themeColor="text1"/>
          <w:lang w:eastAsia="zh-CN"/>
        </w:rPr>
        <w:t>分析</w:t>
      </w:r>
      <w:r w:rsidR="001B47E6" w:rsidRPr="002D2290">
        <w:rPr>
          <w:rFonts w:asciiTheme="minorHAnsi" w:hAnsiTheme="minorHAnsi" w:cstheme="minorHAnsi" w:hint="eastAsia"/>
          <w:color w:val="000000" w:themeColor="text1"/>
          <w:lang w:eastAsia="zh-CN"/>
        </w:rPr>
        <w:t>。</w:t>
      </w:r>
      <w:r w:rsidR="00A30529" w:rsidRPr="00A30529">
        <w:rPr>
          <w:lang w:eastAsia="zh-CN"/>
        </w:rPr>
        <w:t>该分析报告指出，由于不同时期数据的可信度，很难从各种选项的比较中得出结论。</w:t>
      </w:r>
      <w:r w:rsidR="00A30529" w:rsidRPr="00A30529">
        <w:rPr>
          <w:lang w:eastAsia="zh-CN"/>
        </w:rPr>
        <w:t>MSAG</w:t>
      </w:r>
      <w:r w:rsidR="00A30529" w:rsidRPr="00A30529">
        <w:rPr>
          <w:lang w:eastAsia="zh-CN"/>
        </w:rPr>
        <w:t>在会议之前没有收到完整的报告；因此，它目前没有得出任何结论，但要求向</w:t>
      </w:r>
      <w:r w:rsidR="00A30529">
        <w:rPr>
          <w:rFonts w:hint="eastAsia"/>
          <w:lang w:eastAsia="zh-CN"/>
        </w:rPr>
        <w:t>理事会</w:t>
      </w:r>
      <w:r w:rsidR="00A30529" w:rsidRPr="00A30529">
        <w:rPr>
          <w:lang w:eastAsia="zh-CN"/>
        </w:rPr>
        <w:t>提供完整的报告。建议成员认真审议用于计算不同情形的方法和参数。该研究审查了四种情况</w:t>
      </w:r>
      <w:r w:rsidR="00E66BCC">
        <w:rPr>
          <w:rFonts w:hint="eastAsia"/>
          <w:lang w:eastAsia="zh-CN"/>
        </w:rPr>
        <w:t>，</w:t>
      </w:r>
      <w:r w:rsidR="00A30529" w:rsidRPr="00A30529">
        <w:rPr>
          <w:lang w:eastAsia="zh-CN"/>
        </w:rPr>
        <w:t>不建议保留波波夫厅</w:t>
      </w:r>
      <w:r w:rsidR="00A30529">
        <w:rPr>
          <w:rFonts w:hint="eastAsia"/>
          <w:lang w:eastAsia="zh-CN"/>
        </w:rPr>
        <w:t>。</w:t>
      </w:r>
      <w:proofErr w:type="gramStart"/>
      <w:r w:rsidR="00A30529">
        <w:rPr>
          <w:rFonts w:hint="eastAsia"/>
          <w:lang w:eastAsia="zh-CN"/>
        </w:rPr>
        <w:t>研究</w:t>
      </w:r>
      <w:r w:rsidR="00A30529" w:rsidRPr="00A30529">
        <w:rPr>
          <w:lang w:eastAsia="zh-CN"/>
        </w:rPr>
        <w:t>确实</w:t>
      </w:r>
      <w:r w:rsidR="00A30529">
        <w:rPr>
          <w:rFonts w:hint="eastAsia"/>
          <w:lang w:eastAsia="zh-CN"/>
        </w:rPr>
        <w:t>显示出</w:t>
      </w:r>
      <w:r w:rsidR="00A30529" w:rsidRPr="00A30529">
        <w:rPr>
          <w:lang w:eastAsia="zh-CN"/>
        </w:rPr>
        <w:t>一种</w:t>
      </w:r>
      <w:r w:rsidR="00E66BCC" w:rsidRPr="00E66BCC">
        <w:rPr>
          <w:rFonts w:ascii="SimSun" w:hAnsi="SimSun"/>
          <w:lang w:eastAsia="zh-CN"/>
        </w:rPr>
        <w:t>“</w:t>
      </w:r>
      <w:proofErr w:type="gramEnd"/>
      <w:r w:rsidR="00A30529" w:rsidRPr="00A30529">
        <w:rPr>
          <w:lang w:eastAsia="zh-CN"/>
        </w:rPr>
        <w:t>出售和租回</w:t>
      </w:r>
      <w:r w:rsidR="00E66BCC" w:rsidRPr="00E66BCC">
        <w:rPr>
          <w:rFonts w:ascii="SimSun" w:hAnsi="SimSun"/>
          <w:lang w:eastAsia="zh-CN"/>
        </w:rPr>
        <w:t>”</w:t>
      </w:r>
      <w:r w:rsidR="00A30529" w:rsidRPr="00A30529">
        <w:rPr>
          <w:lang w:eastAsia="zh-CN"/>
        </w:rPr>
        <w:t>的替代方案，这可能值得进一步探索，尽管这将导致国际电联</w:t>
      </w:r>
      <w:r w:rsidR="00A30529" w:rsidRPr="00A30529">
        <w:rPr>
          <w:lang w:eastAsia="zh-CN"/>
        </w:rPr>
        <w:t>3</w:t>
      </w:r>
      <w:r w:rsidR="00A30529" w:rsidRPr="00A30529">
        <w:rPr>
          <w:lang w:eastAsia="zh-CN"/>
        </w:rPr>
        <w:t>年</w:t>
      </w:r>
      <w:r w:rsidR="00A30529">
        <w:rPr>
          <w:rFonts w:hint="eastAsia"/>
          <w:lang w:eastAsia="zh-CN"/>
        </w:rPr>
        <w:t>内估算</w:t>
      </w:r>
      <w:r w:rsidR="00A30529" w:rsidRPr="00A30529">
        <w:rPr>
          <w:lang w:eastAsia="zh-CN"/>
        </w:rPr>
        <w:t>租金和运营成本</w:t>
      </w:r>
      <w:r w:rsidR="00A30529">
        <w:rPr>
          <w:rFonts w:hint="eastAsia"/>
          <w:lang w:eastAsia="zh-CN"/>
        </w:rPr>
        <w:t>达</w:t>
      </w:r>
      <w:r w:rsidR="00A30529" w:rsidRPr="00A30529">
        <w:rPr>
          <w:lang w:eastAsia="zh-CN"/>
        </w:rPr>
        <w:t>每年</w:t>
      </w:r>
      <w:r w:rsidR="00A30529" w:rsidRPr="00A30529">
        <w:rPr>
          <w:lang w:eastAsia="zh-CN"/>
        </w:rPr>
        <w:t>3</w:t>
      </w:r>
      <w:r w:rsidR="00A30529">
        <w:rPr>
          <w:lang w:eastAsia="zh-CN"/>
        </w:rPr>
        <w:t>,</w:t>
      </w:r>
      <w:r w:rsidR="00A30529" w:rsidRPr="00A30529">
        <w:rPr>
          <w:lang w:eastAsia="zh-CN"/>
        </w:rPr>
        <w:t>580</w:t>
      </w:r>
      <w:r w:rsidR="00A30529">
        <w:rPr>
          <w:lang w:eastAsia="zh-CN"/>
        </w:rPr>
        <w:t>,</w:t>
      </w:r>
      <w:r w:rsidR="00A30529" w:rsidRPr="00A30529">
        <w:rPr>
          <w:lang w:eastAsia="zh-CN"/>
        </w:rPr>
        <w:t>000</w:t>
      </w:r>
      <w:r w:rsidR="00A30529" w:rsidRPr="00A30529">
        <w:rPr>
          <w:lang w:eastAsia="zh-CN"/>
        </w:rPr>
        <w:t>瑞郎</w:t>
      </w:r>
      <w:r w:rsidR="00A30529" w:rsidRPr="00A30529">
        <w:rPr>
          <w:rFonts w:hint="eastAsia"/>
          <w:lang w:eastAsia="zh-CN"/>
        </w:rPr>
        <w:t>。</w:t>
      </w:r>
    </w:p>
    <w:tbl>
      <w:tblPr>
        <w:tblStyle w:val="TableGrid1"/>
        <w:tblW w:w="9591" w:type="dxa"/>
        <w:jc w:val="center"/>
        <w:tblLook w:val="04A0" w:firstRow="1" w:lastRow="0" w:firstColumn="1" w:lastColumn="0" w:noHBand="0" w:noVBand="1"/>
      </w:tblPr>
      <w:tblGrid>
        <w:gridCol w:w="4956"/>
        <w:gridCol w:w="2510"/>
        <w:gridCol w:w="2125"/>
      </w:tblGrid>
      <w:tr w:rsidR="00B23A85" w:rsidRPr="00B23A85" w14:paraId="7F9D648E" w14:textId="77777777" w:rsidTr="00B23A85">
        <w:trPr>
          <w:jc w:val="center"/>
        </w:trPr>
        <w:tc>
          <w:tcPr>
            <w:tcW w:w="9591" w:type="dxa"/>
            <w:gridSpan w:val="3"/>
            <w:tcBorders>
              <w:top w:val="triple" w:sz="4" w:space="0" w:color="auto"/>
              <w:left w:val="triple" w:sz="4" w:space="0" w:color="auto"/>
              <w:right w:val="triple" w:sz="4" w:space="0" w:color="auto"/>
            </w:tcBorders>
            <w:vAlign w:val="center"/>
          </w:tcPr>
          <w:p w14:paraId="18729A7D" w14:textId="3FBB1542" w:rsidR="00B23A85" w:rsidRPr="00B23A85" w:rsidRDefault="00B23A85"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rPr>
            </w:pPr>
            <w:r w:rsidRPr="00B23A85">
              <w:rPr>
                <w:rFonts w:asciiTheme="minorHAnsi" w:hAnsiTheme="minorHAnsi"/>
                <w:color w:val="000000" w:themeColor="text1"/>
                <w:sz w:val="20"/>
              </w:rPr>
              <w:t>SPG Intercity</w:t>
            </w:r>
            <w:r w:rsidR="00227034">
              <w:rPr>
                <w:rFonts w:asciiTheme="minorEastAsia" w:eastAsiaTheme="minorEastAsia" w:hAnsiTheme="minorEastAsia" w:hint="eastAsia"/>
                <w:color w:val="000000" w:themeColor="text1"/>
                <w:sz w:val="20"/>
                <w:lang w:eastAsia="zh-CN"/>
              </w:rPr>
              <w:t>的数据</w:t>
            </w:r>
          </w:p>
        </w:tc>
      </w:tr>
      <w:tr w:rsidR="00B23A85" w:rsidRPr="00B23A85" w14:paraId="68A8B1D6" w14:textId="77777777" w:rsidTr="00B23A85">
        <w:trPr>
          <w:jc w:val="center"/>
        </w:trPr>
        <w:tc>
          <w:tcPr>
            <w:tcW w:w="4956" w:type="dxa"/>
            <w:tcBorders>
              <w:top w:val="single" w:sz="4" w:space="0" w:color="auto"/>
              <w:left w:val="triple" w:sz="4" w:space="0" w:color="auto"/>
              <w:bottom w:val="nil"/>
            </w:tcBorders>
            <w:vAlign w:val="center"/>
          </w:tcPr>
          <w:p w14:paraId="54278FCC" w14:textId="77777777" w:rsidR="00B23A85" w:rsidRPr="00B23A85" w:rsidRDefault="00B23A85" w:rsidP="00B23A85">
            <w:pPr>
              <w:tabs>
                <w:tab w:val="left" w:pos="567"/>
                <w:tab w:val="left" w:pos="1134"/>
                <w:tab w:val="left" w:pos="1701"/>
                <w:tab w:val="left" w:pos="2268"/>
                <w:tab w:val="left" w:pos="2835"/>
              </w:tabs>
              <w:spacing w:before="0"/>
              <w:jc w:val="both"/>
              <w:rPr>
                <w:rFonts w:asciiTheme="minorHAnsi" w:hAnsiTheme="minorHAnsi" w:cstheme="minorHAnsi"/>
                <w:b/>
                <w:bCs/>
                <w:color w:val="000000"/>
                <w:sz w:val="20"/>
                <w:shd w:val="clear" w:color="auto" w:fill="FFFFFF"/>
              </w:rPr>
            </w:pPr>
          </w:p>
        </w:tc>
        <w:tc>
          <w:tcPr>
            <w:tcW w:w="4635" w:type="dxa"/>
            <w:gridSpan w:val="2"/>
            <w:tcBorders>
              <w:top w:val="single" w:sz="4" w:space="0" w:color="auto"/>
              <w:bottom w:val="single" w:sz="4" w:space="0" w:color="auto"/>
              <w:right w:val="triple" w:sz="4" w:space="0" w:color="auto"/>
            </w:tcBorders>
            <w:vAlign w:val="center"/>
          </w:tcPr>
          <w:p w14:paraId="0CC47AD3" w14:textId="0EE559DD" w:rsidR="00B23A85" w:rsidRPr="009F09F9" w:rsidRDefault="009F09F9"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rPr>
            </w:pPr>
            <w:proofErr w:type="spellStart"/>
            <w:r w:rsidRPr="009F09F9">
              <w:rPr>
                <w:rStyle w:val="normaltextrun"/>
                <w:rFonts w:eastAsiaTheme="minorEastAsia" w:cs="Calibri"/>
                <w:b/>
                <w:bCs/>
                <w:color w:val="000000"/>
                <w:sz w:val="20"/>
                <w:shd w:val="clear" w:color="auto" w:fill="FFFFFF"/>
              </w:rPr>
              <w:t>塔楼</w:t>
            </w:r>
            <w:proofErr w:type="spellEnd"/>
            <w:r w:rsidRPr="009F09F9">
              <w:rPr>
                <w:rStyle w:val="normaltextrun"/>
                <w:rFonts w:eastAsiaTheme="minorEastAsia" w:cs="Calibri"/>
                <w:b/>
                <w:bCs/>
                <w:color w:val="000000"/>
                <w:sz w:val="20"/>
                <w:shd w:val="clear" w:color="auto" w:fill="FFFFFF"/>
              </w:rPr>
              <w:t>100%</w:t>
            </w:r>
            <w:proofErr w:type="spellStart"/>
            <w:r w:rsidRPr="009F09F9">
              <w:rPr>
                <w:rStyle w:val="normaltextrun"/>
                <w:rFonts w:eastAsiaTheme="minorEastAsia" w:cs="Calibri"/>
                <w:b/>
                <w:bCs/>
                <w:color w:val="000000"/>
                <w:sz w:val="20"/>
                <w:shd w:val="clear" w:color="auto" w:fill="FFFFFF"/>
              </w:rPr>
              <w:t>腾空</w:t>
            </w:r>
            <w:proofErr w:type="spellEnd"/>
            <w:r w:rsidRPr="009F09F9">
              <w:rPr>
                <w:rStyle w:val="normaltextrun"/>
                <w:rFonts w:eastAsiaTheme="minorEastAsia" w:cs="Calibri" w:hint="eastAsia"/>
                <w:b/>
                <w:bCs/>
                <w:color w:val="000000"/>
                <w:sz w:val="20"/>
                <w:shd w:val="clear" w:color="auto" w:fill="FFFFFF"/>
                <w:lang w:eastAsia="zh-CN"/>
              </w:rPr>
              <w:t xml:space="preserve"> </w:t>
            </w:r>
            <w:r w:rsidRPr="009F09F9">
              <w:rPr>
                <w:rStyle w:val="normaltextrun"/>
                <w:rFonts w:eastAsiaTheme="minorEastAsia" w:cs="Calibri"/>
                <w:b/>
                <w:bCs/>
                <w:color w:val="000000"/>
                <w:sz w:val="20"/>
                <w:shd w:val="clear" w:color="auto" w:fill="FFFFFF"/>
              </w:rPr>
              <w:t xml:space="preserve">– </w:t>
            </w:r>
            <w:proofErr w:type="spellStart"/>
            <w:r w:rsidRPr="009F09F9">
              <w:rPr>
                <w:rStyle w:val="normaltextrun"/>
                <w:rFonts w:eastAsiaTheme="minorEastAsia" w:cs="Calibri"/>
                <w:b/>
                <w:bCs/>
                <w:color w:val="000000"/>
                <w:sz w:val="20"/>
                <w:shd w:val="clear" w:color="auto" w:fill="FFFFFF"/>
              </w:rPr>
              <w:t>预期</w:t>
            </w:r>
            <w:proofErr w:type="spellEnd"/>
            <w:r w:rsidRPr="009F09F9">
              <w:rPr>
                <w:rStyle w:val="normaltextrun"/>
                <w:rFonts w:eastAsiaTheme="minorEastAsia" w:cs="Calibri"/>
                <w:b/>
                <w:bCs/>
                <w:color w:val="000000"/>
                <w:sz w:val="20"/>
                <w:shd w:val="clear" w:color="auto" w:fill="FFFFFF"/>
              </w:rPr>
              <w:t>2027</w:t>
            </w:r>
            <w:proofErr w:type="spellStart"/>
            <w:r w:rsidRPr="009F09F9">
              <w:rPr>
                <w:rStyle w:val="normaltextrun"/>
                <w:rFonts w:eastAsiaTheme="minorEastAsia" w:cs="Calibri"/>
                <w:b/>
                <w:bCs/>
                <w:color w:val="000000"/>
                <w:sz w:val="20"/>
                <w:shd w:val="clear" w:color="auto" w:fill="FFFFFF"/>
              </w:rPr>
              <w:t>年出售</w:t>
            </w:r>
            <w:proofErr w:type="spellEnd"/>
          </w:p>
        </w:tc>
      </w:tr>
      <w:tr w:rsidR="00B23A85" w:rsidRPr="00B23A85" w14:paraId="4A8ED74E" w14:textId="77777777" w:rsidTr="00B23A85">
        <w:trPr>
          <w:jc w:val="center"/>
        </w:trPr>
        <w:tc>
          <w:tcPr>
            <w:tcW w:w="4956" w:type="dxa"/>
            <w:vMerge w:val="restart"/>
            <w:tcBorders>
              <w:top w:val="nil"/>
              <w:left w:val="triple" w:sz="4" w:space="0" w:color="auto"/>
            </w:tcBorders>
            <w:vAlign w:val="center"/>
            <w:hideMark/>
          </w:tcPr>
          <w:p w14:paraId="715E79C6" w14:textId="415E35E9" w:rsidR="00B23A85" w:rsidRPr="00B23A85" w:rsidRDefault="009F09F9" w:rsidP="009F09F9">
            <w:pPr>
              <w:tabs>
                <w:tab w:val="left" w:pos="567"/>
                <w:tab w:val="left" w:pos="1134"/>
                <w:tab w:val="left" w:pos="1701"/>
                <w:tab w:val="left" w:pos="2268"/>
                <w:tab w:val="left" w:pos="2835"/>
              </w:tabs>
              <w:spacing w:before="0"/>
              <w:rPr>
                <w:rFonts w:asciiTheme="minorHAnsi" w:hAnsiTheme="minorHAnsi" w:cstheme="minorHAnsi"/>
                <w:b/>
                <w:bCs/>
                <w:color w:val="000000"/>
                <w:sz w:val="20"/>
                <w:shd w:val="clear" w:color="auto" w:fill="FFFFFF"/>
                <w:lang w:eastAsia="zh-CN"/>
              </w:rPr>
            </w:pPr>
            <w:r w:rsidRPr="009F09F9">
              <w:rPr>
                <w:rFonts w:asciiTheme="minorHAnsi" w:eastAsia="SimSun" w:hAnsiTheme="minorHAnsi" w:cstheme="minorHAnsi" w:hint="eastAsia"/>
                <w:color w:val="000000" w:themeColor="text1"/>
                <w:sz w:val="20"/>
                <w:shd w:val="clear" w:color="auto" w:fill="FFFFFF"/>
                <w:lang w:eastAsia="zh-CN"/>
              </w:rPr>
              <w:t>根据</w:t>
            </w:r>
            <w:r w:rsidRPr="009F09F9">
              <w:rPr>
                <w:rFonts w:asciiTheme="minorHAnsi" w:eastAsia="SimSun" w:hAnsiTheme="minorHAnsi" w:cstheme="minorHAnsi" w:hint="eastAsia"/>
                <w:color w:val="000000" w:themeColor="text1"/>
                <w:sz w:val="20"/>
                <w:shd w:val="clear" w:color="auto" w:fill="FFFFFF"/>
                <w:lang w:eastAsia="zh-CN"/>
              </w:rPr>
              <w:t>2019</w:t>
            </w:r>
            <w:r w:rsidRPr="009F09F9">
              <w:rPr>
                <w:rFonts w:asciiTheme="minorHAnsi" w:eastAsia="SimSun" w:hAnsiTheme="minorHAnsi" w:cstheme="minorHAnsi" w:hint="eastAsia"/>
                <w:color w:val="000000" w:themeColor="text1"/>
                <w:sz w:val="20"/>
                <w:shd w:val="clear" w:color="auto" w:fill="FFFFFF"/>
                <w:lang w:eastAsia="zh-CN"/>
              </w:rPr>
              <w:t>年</w:t>
            </w:r>
            <w:r w:rsidRPr="009F09F9">
              <w:rPr>
                <w:rFonts w:asciiTheme="minorHAnsi" w:eastAsia="SimSun" w:hAnsiTheme="minorHAnsi" w:cstheme="minorHAnsi" w:hint="eastAsia"/>
                <w:color w:val="000000" w:themeColor="text1"/>
                <w:sz w:val="20"/>
                <w:shd w:val="clear" w:color="auto" w:fill="FFFFFF"/>
                <w:lang w:eastAsia="zh-CN"/>
              </w:rPr>
              <w:t>12</w:t>
            </w:r>
            <w:r w:rsidRPr="009F09F9">
              <w:rPr>
                <w:rFonts w:asciiTheme="minorHAnsi" w:eastAsia="SimSun" w:hAnsiTheme="minorHAnsi" w:cstheme="minorHAnsi" w:hint="eastAsia"/>
                <w:color w:val="000000" w:themeColor="text1"/>
                <w:sz w:val="20"/>
                <w:shd w:val="clear" w:color="auto" w:fill="FFFFFF"/>
                <w:lang w:eastAsia="zh-CN"/>
              </w:rPr>
              <w:t>月的数据计算所得</w:t>
            </w:r>
            <w:r w:rsidR="00227034">
              <w:rPr>
                <w:rFonts w:asciiTheme="minorHAnsi" w:eastAsia="SimSun" w:hAnsiTheme="minorHAnsi" w:cstheme="minorHAnsi" w:hint="eastAsia"/>
                <w:color w:val="000000" w:themeColor="text1"/>
                <w:sz w:val="20"/>
                <w:shd w:val="clear" w:color="auto" w:fill="FFFFFF"/>
                <w:lang w:eastAsia="zh-CN"/>
              </w:rPr>
              <w:t>市</w:t>
            </w:r>
            <w:r w:rsidRPr="009F09F9">
              <w:rPr>
                <w:rFonts w:asciiTheme="minorHAnsi" w:eastAsia="SimSun" w:hAnsiTheme="minorHAnsi" w:cstheme="minorHAnsi" w:hint="eastAsia"/>
                <w:color w:val="000000" w:themeColor="text1"/>
                <w:sz w:val="20"/>
                <w:shd w:val="clear" w:color="auto" w:fill="FFFFFF"/>
                <w:lang w:eastAsia="zh-CN"/>
              </w:rPr>
              <w:t>值</w:t>
            </w:r>
            <w:r w:rsidR="00227034">
              <w:rPr>
                <w:rFonts w:asciiTheme="minorHAnsi" w:eastAsia="SimSun" w:hAnsiTheme="minorHAnsi" w:cstheme="minorHAnsi" w:hint="eastAsia"/>
                <w:color w:val="000000" w:themeColor="text1"/>
                <w:sz w:val="20"/>
                <w:shd w:val="clear" w:color="auto" w:fill="FFFFFF"/>
                <w:lang w:eastAsia="zh-CN"/>
              </w:rPr>
              <w:t>（单位：瑞郎）</w:t>
            </w:r>
            <w:r w:rsidRPr="009F09F9">
              <w:rPr>
                <w:rFonts w:asciiTheme="minorHAnsi" w:eastAsia="SimSun" w:hAnsiTheme="minorHAnsi" w:cstheme="minorHAnsi" w:hint="eastAsia"/>
                <w:color w:val="000000" w:themeColor="text1"/>
                <w:sz w:val="20"/>
                <w:shd w:val="clear" w:color="auto" w:fill="FFFFFF"/>
                <w:lang w:eastAsia="zh-CN"/>
              </w:rPr>
              <w:t>。计算期约为</w:t>
            </w:r>
            <w:r w:rsidRPr="009F09F9">
              <w:rPr>
                <w:rFonts w:asciiTheme="minorHAnsi" w:eastAsia="SimSun" w:hAnsiTheme="minorHAnsi" w:cstheme="minorHAnsi" w:hint="eastAsia"/>
                <w:color w:val="000000" w:themeColor="text1"/>
                <w:sz w:val="20"/>
                <w:shd w:val="clear" w:color="auto" w:fill="FFFFFF"/>
                <w:lang w:eastAsia="zh-CN"/>
              </w:rPr>
              <w:t>10</w:t>
            </w:r>
            <w:r w:rsidRPr="009F09F9">
              <w:rPr>
                <w:rFonts w:asciiTheme="minorHAnsi" w:eastAsia="SimSun" w:hAnsiTheme="minorHAnsi" w:cstheme="minorHAnsi" w:hint="eastAsia"/>
                <w:color w:val="000000" w:themeColor="text1"/>
                <w:sz w:val="20"/>
                <w:shd w:val="clear" w:color="auto" w:fill="FFFFFF"/>
                <w:lang w:eastAsia="zh-CN"/>
              </w:rPr>
              <w:t>年，从</w:t>
            </w:r>
            <w:r w:rsidRPr="009F09F9">
              <w:rPr>
                <w:rFonts w:asciiTheme="minorHAnsi" w:eastAsia="SimSun" w:hAnsiTheme="minorHAnsi" w:cstheme="minorHAnsi" w:hint="eastAsia"/>
                <w:color w:val="000000" w:themeColor="text1"/>
                <w:sz w:val="20"/>
                <w:shd w:val="clear" w:color="auto" w:fill="FFFFFF"/>
                <w:lang w:eastAsia="zh-CN"/>
              </w:rPr>
              <w:t>2020</w:t>
            </w:r>
            <w:r w:rsidRPr="009F09F9">
              <w:rPr>
                <w:rFonts w:asciiTheme="minorHAnsi" w:eastAsia="SimSun" w:hAnsiTheme="minorHAnsi" w:cstheme="minorHAnsi" w:hint="eastAsia"/>
                <w:color w:val="000000" w:themeColor="text1"/>
                <w:sz w:val="20"/>
                <w:shd w:val="clear" w:color="auto" w:fill="FFFFFF"/>
                <w:lang w:eastAsia="zh-CN"/>
              </w:rPr>
              <w:t>年</w:t>
            </w:r>
            <w:r w:rsidRPr="009F09F9">
              <w:rPr>
                <w:rFonts w:asciiTheme="minorHAnsi" w:eastAsia="SimSun" w:hAnsiTheme="minorHAnsi" w:cstheme="minorHAnsi" w:hint="eastAsia"/>
                <w:color w:val="000000" w:themeColor="text1"/>
                <w:sz w:val="20"/>
                <w:shd w:val="clear" w:color="auto" w:fill="FFFFFF"/>
                <w:lang w:eastAsia="zh-CN"/>
              </w:rPr>
              <w:t>4</w:t>
            </w:r>
            <w:r w:rsidRPr="009F09F9">
              <w:rPr>
                <w:rFonts w:asciiTheme="minorHAnsi" w:eastAsia="SimSun" w:hAnsiTheme="minorHAnsi" w:cstheme="minorHAnsi" w:hint="eastAsia"/>
                <w:color w:val="000000" w:themeColor="text1"/>
                <w:sz w:val="20"/>
                <w:shd w:val="clear" w:color="auto" w:fill="FFFFFF"/>
                <w:lang w:eastAsia="zh-CN"/>
              </w:rPr>
              <w:t>月</w:t>
            </w:r>
            <w:r w:rsidRPr="009F09F9">
              <w:rPr>
                <w:rFonts w:asciiTheme="minorHAnsi" w:eastAsia="SimSun" w:hAnsiTheme="minorHAnsi" w:cstheme="minorHAnsi" w:hint="eastAsia"/>
                <w:color w:val="000000" w:themeColor="text1"/>
                <w:sz w:val="20"/>
                <w:shd w:val="clear" w:color="auto" w:fill="FFFFFF"/>
                <w:lang w:eastAsia="zh-CN"/>
              </w:rPr>
              <w:t>1</w:t>
            </w:r>
            <w:r w:rsidRPr="009F09F9">
              <w:rPr>
                <w:rFonts w:asciiTheme="minorHAnsi" w:eastAsia="SimSun" w:hAnsiTheme="minorHAnsi" w:cstheme="minorHAnsi" w:hint="eastAsia"/>
                <w:color w:val="000000" w:themeColor="text1"/>
                <w:sz w:val="20"/>
                <w:shd w:val="clear" w:color="auto" w:fill="FFFFFF"/>
                <w:lang w:eastAsia="zh-CN"/>
              </w:rPr>
              <w:t>日至</w:t>
            </w:r>
            <w:r w:rsidRPr="009F09F9">
              <w:rPr>
                <w:rFonts w:asciiTheme="minorHAnsi" w:eastAsia="SimSun" w:hAnsiTheme="minorHAnsi" w:cstheme="minorHAnsi" w:hint="eastAsia"/>
                <w:color w:val="000000" w:themeColor="text1"/>
                <w:sz w:val="20"/>
                <w:shd w:val="clear" w:color="auto" w:fill="FFFFFF"/>
                <w:lang w:eastAsia="zh-CN"/>
              </w:rPr>
              <w:t>2030</w:t>
            </w:r>
            <w:r w:rsidRPr="009F09F9">
              <w:rPr>
                <w:rFonts w:asciiTheme="minorHAnsi" w:eastAsia="SimSun" w:hAnsiTheme="minorHAnsi" w:cstheme="minorHAnsi" w:hint="eastAsia"/>
                <w:color w:val="000000" w:themeColor="text1"/>
                <w:sz w:val="20"/>
                <w:shd w:val="clear" w:color="auto" w:fill="FFFFFF"/>
                <w:lang w:eastAsia="zh-CN"/>
              </w:rPr>
              <w:t>年</w:t>
            </w:r>
            <w:r w:rsidRPr="009F09F9">
              <w:rPr>
                <w:rFonts w:asciiTheme="minorHAnsi" w:eastAsia="SimSun" w:hAnsiTheme="minorHAnsi" w:cstheme="minorHAnsi" w:hint="eastAsia"/>
                <w:color w:val="000000" w:themeColor="text1"/>
                <w:sz w:val="20"/>
                <w:shd w:val="clear" w:color="auto" w:fill="FFFFFF"/>
                <w:lang w:eastAsia="zh-CN"/>
              </w:rPr>
              <w:t>3</w:t>
            </w:r>
            <w:r w:rsidRPr="009F09F9">
              <w:rPr>
                <w:rFonts w:asciiTheme="minorHAnsi" w:eastAsia="SimSun" w:hAnsiTheme="minorHAnsi" w:cstheme="minorHAnsi" w:hint="eastAsia"/>
                <w:color w:val="000000" w:themeColor="text1"/>
                <w:sz w:val="20"/>
                <w:shd w:val="clear" w:color="auto" w:fill="FFFFFF"/>
                <w:lang w:eastAsia="zh-CN"/>
              </w:rPr>
              <w:t>月</w:t>
            </w:r>
            <w:r w:rsidRPr="009F09F9">
              <w:rPr>
                <w:rFonts w:asciiTheme="minorHAnsi" w:eastAsia="SimSun" w:hAnsiTheme="minorHAnsi" w:cstheme="minorHAnsi" w:hint="eastAsia"/>
                <w:color w:val="000000" w:themeColor="text1"/>
                <w:sz w:val="20"/>
                <w:shd w:val="clear" w:color="auto" w:fill="FFFFFF"/>
                <w:lang w:eastAsia="zh-CN"/>
              </w:rPr>
              <w:t>31</w:t>
            </w:r>
            <w:r w:rsidRPr="009F09F9">
              <w:rPr>
                <w:rFonts w:asciiTheme="minorHAnsi" w:eastAsia="SimSun" w:hAnsiTheme="minorHAnsi" w:cstheme="minorHAnsi" w:hint="eastAsia"/>
                <w:color w:val="000000" w:themeColor="text1"/>
                <w:sz w:val="20"/>
                <w:shd w:val="clear" w:color="auto" w:fill="FFFFFF"/>
                <w:lang w:eastAsia="zh-CN"/>
              </w:rPr>
              <w:t>日。</w:t>
            </w:r>
          </w:p>
        </w:tc>
        <w:tc>
          <w:tcPr>
            <w:tcW w:w="2510" w:type="dxa"/>
            <w:tcBorders>
              <w:bottom w:val="nil"/>
            </w:tcBorders>
            <w:vAlign w:val="center"/>
            <w:hideMark/>
          </w:tcPr>
          <w:p w14:paraId="50728D5A" w14:textId="273D19F3" w:rsidR="00B23A85" w:rsidRPr="009F09F9" w:rsidRDefault="004022EC" w:rsidP="004022EC">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bookmarkStart w:id="20" w:name="lt_pId124"/>
            <w:r>
              <w:rPr>
                <w:rStyle w:val="normaltextrun"/>
                <w:rFonts w:ascii="SimSun" w:eastAsia="SimSun" w:hAnsi="SimSun" w:cs="SimSun" w:hint="eastAsia"/>
                <w:b/>
                <w:bCs/>
                <w:color w:val="000000"/>
                <w:sz w:val="20"/>
                <w:shd w:val="clear" w:color="auto" w:fill="FFFFFF"/>
                <w:lang w:val="fr-CH" w:eastAsia="zh-CN"/>
              </w:rPr>
              <w:t>不使用</w:t>
            </w:r>
            <w:r w:rsidR="009F09F9" w:rsidRPr="009F09F9">
              <w:rPr>
                <w:rStyle w:val="normaltextrun"/>
                <w:rFonts w:ascii="SimSun" w:eastAsia="SimSun" w:hAnsi="SimSun" w:cs="SimSun" w:hint="eastAsia"/>
                <w:b/>
                <w:bCs/>
                <w:color w:val="000000"/>
                <w:sz w:val="20"/>
                <w:shd w:val="clear" w:color="auto" w:fill="FFFFFF"/>
                <w:lang w:val="fr-CH" w:eastAsia="zh-CN"/>
              </w:rPr>
              <w:t>波</w:t>
            </w:r>
            <w:proofErr w:type="gramStart"/>
            <w:r w:rsidR="009F09F9" w:rsidRPr="009F09F9">
              <w:rPr>
                <w:rStyle w:val="normaltextrun"/>
                <w:rFonts w:ascii="SimSun" w:eastAsia="SimSun" w:hAnsi="SimSun" w:cs="SimSun" w:hint="eastAsia"/>
                <w:b/>
                <w:bCs/>
                <w:color w:val="000000"/>
                <w:sz w:val="20"/>
                <w:shd w:val="clear" w:color="auto" w:fill="FFFFFF"/>
                <w:lang w:val="fr-CH" w:eastAsia="zh-CN"/>
              </w:rPr>
              <w:t>波</w:t>
            </w:r>
            <w:proofErr w:type="gramEnd"/>
            <w:r w:rsidR="009F09F9" w:rsidRPr="009F09F9">
              <w:rPr>
                <w:rStyle w:val="normaltextrun"/>
                <w:rFonts w:ascii="SimSun" w:eastAsia="SimSun" w:hAnsi="SimSun" w:cs="SimSun" w:hint="eastAsia"/>
                <w:b/>
                <w:bCs/>
                <w:color w:val="000000"/>
                <w:sz w:val="20"/>
                <w:shd w:val="clear" w:color="auto" w:fill="FFFFFF"/>
                <w:lang w:val="fr-CH" w:eastAsia="zh-CN"/>
              </w:rPr>
              <w:t>夫厅</w:t>
            </w:r>
            <w:bookmarkEnd w:id="20"/>
            <w:r>
              <w:rPr>
                <w:rStyle w:val="normaltextrun"/>
                <w:rFonts w:ascii="SimSun" w:eastAsia="SimSun" w:hAnsi="SimSun" w:cs="SimSun" w:hint="eastAsia"/>
                <w:b/>
                <w:bCs/>
                <w:color w:val="000000"/>
                <w:sz w:val="20"/>
                <w:shd w:val="clear" w:color="auto" w:fill="FFFFFF"/>
                <w:lang w:val="fr-CH" w:eastAsia="zh-CN"/>
              </w:rPr>
              <w:t>：</w:t>
            </w:r>
          </w:p>
        </w:tc>
        <w:tc>
          <w:tcPr>
            <w:tcW w:w="2125" w:type="dxa"/>
            <w:tcBorders>
              <w:bottom w:val="nil"/>
              <w:right w:val="triple" w:sz="4" w:space="0" w:color="auto"/>
            </w:tcBorders>
          </w:tcPr>
          <w:p w14:paraId="55A5893D" w14:textId="6E1958BD" w:rsidR="00B23A85" w:rsidRPr="009F09F9" w:rsidRDefault="004022EC" w:rsidP="004022EC">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Style w:val="normaltextrun"/>
                <w:rFonts w:ascii="SimSun" w:eastAsia="SimSun" w:hAnsi="SimSun" w:cs="SimSun" w:hint="eastAsia"/>
                <w:b/>
                <w:bCs/>
                <w:color w:val="000000"/>
                <w:sz w:val="20"/>
                <w:shd w:val="clear" w:color="auto" w:fill="FFFFFF"/>
                <w:lang w:val="fr-CH" w:eastAsia="zh-CN"/>
              </w:rPr>
              <w:t>使用</w:t>
            </w:r>
            <w:r w:rsidR="009F09F9" w:rsidRPr="009F09F9">
              <w:rPr>
                <w:rStyle w:val="normaltextrun"/>
                <w:rFonts w:ascii="SimSun" w:eastAsia="SimSun" w:hAnsi="SimSun" w:cs="SimSun" w:hint="eastAsia"/>
                <w:b/>
                <w:bCs/>
                <w:color w:val="000000"/>
                <w:sz w:val="20"/>
                <w:shd w:val="clear" w:color="auto" w:fill="FFFFFF"/>
                <w:lang w:val="fr-CH" w:eastAsia="zh-CN"/>
              </w:rPr>
              <w:t>波</w:t>
            </w:r>
            <w:proofErr w:type="gramStart"/>
            <w:r w:rsidR="009F09F9" w:rsidRPr="009F09F9">
              <w:rPr>
                <w:rStyle w:val="normaltextrun"/>
                <w:rFonts w:ascii="SimSun" w:eastAsia="SimSun" w:hAnsi="SimSun" w:cs="SimSun" w:hint="eastAsia"/>
                <w:b/>
                <w:bCs/>
                <w:color w:val="000000"/>
                <w:sz w:val="20"/>
                <w:shd w:val="clear" w:color="auto" w:fill="FFFFFF"/>
                <w:lang w:val="fr-CH" w:eastAsia="zh-CN"/>
              </w:rPr>
              <w:t>波</w:t>
            </w:r>
            <w:proofErr w:type="gramEnd"/>
            <w:r w:rsidR="009F09F9" w:rsidRPr="009F09F9">
              <w:rPr>
                <w:rStyle w:val="normaltextrun"/>
                <w:rFonts w:ascii="SimSun" w:eastAsia="SimSun" w:hAnsi="SimSun" w:cs="SimSun" w:hint="eastAsia"/>
                <w:b/>
                <w:bCs/>
                <w:color w:val="000000"/>
                <w:sz w:val="20"/>
                <w:shd w:val="clear" w:color="auto" w:fill="FFFFFF"/>
                <w:lang w:val="fr-CH" w:eastAsia="zh-CN"/>
              </w:rPr>
              <w:t>夫厅</w:t>
            </w:r>
            <w:r>
              <w:rPr>
                <w:rStyle w:val="normaltextrun"/>
                <w:rFonts w:ascii="SimSun" w:eastAsia="SimSun" w:hAnsi="SimSun" w:cs="SimSun" w:hint="eastAsia"/>
                <w:b/>
                <w:bCs/>
                <w:color w:val="000000"/>
                <w:sz w:val="20"/>
                <w:shd w:val="clear" w:color="auto" w:fill="FFFFFF"/>
                <w:lang w:val="fr-CH" w:eastAsia="zh-CN"/>
              </w:rPr>
              <w:t>：</w:t>
            </w:r>
          </w:p>
        </w:tc>
      </w:tr>
      <w:tr w:rsidR="00B23A85" w:rsidRPr="00B23A85" w14:paraId="539A7EC5" w14:textId="77777777" w:rsidTr="00B23A85">
        <w:trPr>
          <w:jc w:val="center"/>
        </w:trPr>
        <w:tc>
          <w:tcPr>
            <w:tcW w:w="4956" w:type="dxa"/>
            <w:vMerge/>
            <w:tcBorders>
              <w:top w:val="nil"/>
              <w:left w:val="triple" w:sz="4" w:space="0" w:color="auto"/>
            </w:tcBorders>
            <w:vAlign w:val="center"/>
            <w:hideMark/>
          </w:tcPr>
          <w:p w14:paraId="64E6A59F" w14:textId="77777777" w:rsidR="00B23A85" w:rsidRPr="00B23A85" w:rsidRDefault="00B23A85" w:rsidP="00B23A85">
            <w:pPr>
              <w:tabs>
                <w:tab w:val="left" w:pos="567"/>
                <w:tab w:val="left" w:pos="1134"/>
                <w:tab w:val="left" w:pos="1701"/>
                <w:tab w:val="left" w:pos="2268"/>
                <w:tab w:val="left" w:pos="2835"/>
              </w:tabs>
              <w:overflowPunct/>
              <w:autoSpaceDE/>
              <w:autoSpaceDN/>
              <w:adjustRightInd/>
              <w:spacing w:before="0"/>
              <w:rPr>
                <w:rFonts w:asciiTheme="minorHAnsi" w:eastAsiaTheme="minorHAnsi" w:hAnsiTheme="minorHAnsi" w:cstheme="minorHAnsi"/>
                <w:b/>
                <w:bCs/>
                <w:color w:val="000000"/>
                <w:sz w:val="20"/>
                <w:shd w:val="clear" w:color="auto" w:fill="FFFFFF"/>
              </w:rPr>
            </w:pPr>
          </w:p>
        </w:tc>
        <w:tc>
          <w:tcPr>
            <w:tcW w:w="2510" w:type="dxa"/>
            <w:tcBorders>
              <w:top w:val="nil"/>
              <w:bottom w:val="double" w:sz="4" w:space="0" w:color="auto"/>
            </w:tcBorders>
            <w:vAlign w:val="center"/>
            <w:hideMark/>
          </w:tcPr>
          <w:p w14:paraId="7F6CC03D" w14:textId="77777777" w:rsidR="00B23A85" w:rsidRPr="009F09F9" w:rsidRDefault="00B23A85"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Fonts w:asciiTheme="minorHAnsi" w:hAnsiTheme="minorHAnsi" w:cstheme="minorHAnsi"/>
                <w:color w:val="000000"/>
                <w:sz w:val="20"/>
                <w:shd w:val="clear" w:color="auto" w:fill="FFFFFF"/>
                <w:lang w:val="fr-CH"/>
              </w:rPr>
              <w:t>33,730,000</w:t>
            </w:r>
          </w:p>
        </w:tc>
        <w:tc>
          <w:tcPr>
            <w:tcW w:w="2125" w:type="dxa"/>
            <w:tcBorders>
              <w:top w:val="nil"/>
              <w:bottom w:val="double" w:sz="4" w:space="0" w:color="auto"/>
              <w:right w:val="triple" w:sz="4" w:space="0" w:color="auto"/>
            </w:tcBorders>
          </w:tcPr>
          <w:p w14:paraId="0A17F18E" w14:textId="77777777" w:rsidR="00B23A85" w:rsidRPr="009F09F9" w:rsidRDefault="00B23A85"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Fonts w:asciiTheme="minorHAnsi" w:hAnsiTheme="minorHAnsi" w:cstheme="minorHAnsi"/>
                <w:color w:val="000000"/>
                <w:sz w:val="20"/>
                <w:shd w:val="clear" w:color="auto" w:fill="FFFFFF"/>
                <w:lang w:val="fr-CH"/>
              </w:rPr>
              <w:t>33,110,000</w:t>
            </w:r>
          </w:p>
        </w:tc>
      </w:tr>
      <w:tr w:rsidR="00B23A85" w:rsidRPr="00B23A85" w14:paraId="7EB78AC4" w14:textId="77777777" w:rsidTr="00B23A85">
        <w:tblPrEx>
          <w:jc w:val="left"/>
        </w:tblPrEx>
        <w:tc>
          <w:tcPr>
            <w:tcW w:w="4956" w:type="dxa"/>
            <w:vMerge/>
            <w:tcBorders>
              <w:top w:val="nil"/>
              <w:left w:val="triple" w:sz="4" w:space="0" w:color="auto"/>
            </w:tcBorders>
          </w:tcPr>
          <w:p w14:paraId="68FE2F85" w14:textId="77777777" w:rsidR="00B23A85" w:rsidRPr="00B23A85" w:rsidRDefault="00B23A85" w:rsidP="00B23A85">
            <w:pPr>
              <w:tabs>
                <w:tab w:val="left" w:pos="567"/>
                <w:tab w:val="left" w:pos="1134"/>
                <w:tab w:val="left" w:pos="1701"/>
                <w:tab w:val="left" w:pos="2268"/>
                <w:tab w:val="left" w:pos="2835"/>
              </w:tabs>
              <w:spacing w:before="0"/>
              <w:rPr>
                <w:rFonts w:asciiTheme="minorHAnsi" w:hAnsiTheme="minorHAnsi" w:cstheme="minorHAnsi"/>
                <w:b/>
                <w:bCs/>
                <w:color w:val="000000"/>
                <w:sz w:val="20"/>
                <w:shd w:val="clear" w:color="auto" w:fill="FFFFFF"/>
              </w:rPr>
            </w:pPr>
          </w:p>
        </w:tc>
        <w:tc>
          <w:tcPr>
            <w:tcW w:w="4635" w:type="dxa"/>
            <w:gridSpan w:val="2"/>
            <w:tcBorders>
              <w:top w:val="double" w:sz="4" w:space="0" w:color="auto"/>
              <w:bottom w:val="single" w:sz="4" w:space="0" w:color="auto"/>
              <w:right w:val="triple" w:sz="4" w:space="0" w:color="auto"/>
            </w:tcBorders>
            <w:hideMark/>
          </w:tcPr>
          <w:p w14:paraId="7A71E6FE" w14:textId="5D6E4637" w:rsidR="00B23A85" w:rsidRPr="009F09F9" w:rsidRDefault="004022EC" w:rsidP="004022EC">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rPr>
            </w:pPr>
            <w:r w:rsidRPr="00D92CDC">
              <w:rPr>
                <w:rFonts w:asciiTheme="minorHAnsi" w:hAnsiTheme="minorHAnsi" w:cstheme="minorHAnsi" w:hint="eastAsia"/>
                <w:color w:val="000000"/>
                <w:sz w:val="20"/>
                <w:shd w:val="clear" w:color="auto" w:fill="FFFFFF"/>
                <w:lang w:val="fr-CH"/>
              </w:rPr>
              <w:t>2023</w:t>
            </w:r>
            <w:r w:rsidRPr="004022EC">
              <w:rPr>
                <w:rFonts w:asciiTheme="minorEastAsia" w:eastAsiaTheme="minorEastAsia" w:hAnsiTheme="minorEastAsia" w:cstheme="minorHAnsi" w:hint="eastAsia"/>
                <w:color w:val="000000"/>
                <w:sz w:val="20"/>
                <w:shd w:val="clear" w:color="auto" w:fill="FFFFFF"/>
                <w:lang w:eastAsia="zh-CN"/>
              </w:rPr>
              <w:t>年出售后</w:t>
            </w:r>
            <w:r w:rsidR="009F09F9" w:rsidRPr="009F09F9">
              <w:rPr>
                <w:rStyle w:val="normaltextrun"/>
                <w:rFonts w:ascii="SimSun" w:eastAsia="SimSun" w:hAnsi="SimSun" w:cstheme="minorHAnsi"/>
                <w:b/>
                <w:bCs/>
                <w:color w:val="000000"/>
                <w:sz w:val="20"/>
                <w:shd w:val="clear" w:color="auto" w:fill="FFFFFF"/>
                <w:lang w:eastAsia="zh-CN"/>
              </w:rPr>
              <w:t>“</w:t>
            </w:r>
            <w:r w:rsidR="009F09F9" w:rsidRPr="009F09F9">
              <w:rPr>
                <w:rStyle w:val="normaltextrun"/>
                <w:rFonts w:asciiTheme="minorHAnsi" w:eastAsiaTheme="minorEastAsia" w:hAnsiTheme="minorHAnsi" w:cstheme="minorHAnsi"/>
                <w:b/>
                <w:bCs/>
                <w:color w:val="000000"/>
                <w:sz w:val="20"/>
                <w:shd w:val="clear" w:color="auto" w:fill="FFFFFF"/>
                <w:lang w:eastAsia="zh-CN"/>
              </w:rPr>
              <w:t>回租</w:t>
            </w:r>
            <w:r w:rsidR="009F09F9" w:rsidRPr="009F09F9">
              <w:rPr>
                <w:rStyle w:val="normaltextrun"/>
                <w:rFonts w:ascii="SimSun" w:eastAsia="SimSun" w:hAnsi="SimSun" w:cstheme="minorHAnsi"/>
                <w:b/>
                <w:bCs/>
                <w:color w:val="000000"/>
                <w:sz w:val="20"/>
                <w:shd w:val="clear" w:color="auto" w:fill="FFFFFF"/>
                <w:lang w:eastAsia="zh-CN"/>
              </w:rPr>
              <w:t>”</w:t>
            </w:r>
            <w:r w:rsidR="009F09F9" w:rsidRPr="009F09F9">
              <w:rPr>
                <w:rStyle w:val="normaltextrun"/>
                <w:rFonts w:asciiTheme="minorHAnsi" w:eastAsiaTheme="minorEastAsia" w:hAnsiTheme="minorHAnsi" w:cstheme="minorHAnsi"/>
                <w:b/>
                <w:bCs/>
                <w:color w:val="000000"/>
                <w:sz w:val="20"/>
                <w:shd w:val="clear" w:color="auto" w:fill="FFFFFF"/>
                <w:lang w:eastAsia="zh-CN"/>
              </w:rPr>
              <w:t>3</w:t>
            </w:r>
            <w:r w:rsidR="009F09F9" w:rsidRPr="009F09F9">
              <w:rPr>
                <w:rStyle w:val="normaltextrun"/>
                <w:rFonts w:asciiTheme="minorHAnsi" w:eastAsiaTheme="minorEastAsia" w:hAnsiTheme="minorHAnsi" w:cstheme="minorHAnsi"/>
                <w:b/>
                <w:bCs/>
                <w:color w:val="000000"/>
                <w:sz w:val="20"/>
                <w:shd w:val="clear" w:color="auto" w:fill="FFFFFF"/>
                <w:lang w:eastAsia="zh-CN"/>
              </w:rPr>
              <w:t>年</w:t>
            </w:r>
          </w:p>
        </w:tc>
      </w:tr>
      <w:tr w:rsidR="00B23A85" w:rsidRPr="00B23A85" w14:paraId="1048EE26" w14:textId="77777777" w:rsidTr="00B23A85">
        <w:tblPrEx>
          <w:jc w:val="left"/>
        </w:tblPrEx>
        <w:tc>
          <w:tcPr>
            <w:tcW w:w="4956" w:type="dxa"/>
            <w:vMerge/>
            <w:tcBorders>
              <w:top w:val="nil"/>
              <w:left w:val="triple" w:sz="4" w:space="0" w:color="auto"/>
            </w:tcBorders>
            <w:hideMark/>
          </w:tcPr>
          <w:p w14:paraId="62538201" w14:textId="77777777" w:rsidR="00B23A85" w:rsidRPr="00B23A85" w:rsidRDefault="00B23A85" w:rsidP="00B23A85">
            <w:pPr>
              <w:tabs>
                <w:tab w:val="left" w:pos="567"/>
                <w:tab w:val="left" w:pos="1134"/>
                <w:tab w:val="left" w:pos="1701"/>
                <w:tab w:val="left" w:pos="2268"/>
                <w:tab w:val="left" w:pos="2835"/>
              </w:tabs>
              <w:spacing w:before="0"/>
              <w:jc w:val="both"/>
              <w:rPr>
                <w:rFonts w:asciiTheme="minorHAnsi" w:hAnsiTheme="minorHAnsi" w:cstheme="minorHAnsi"/>
                <w:b/>
                <w:bCs/>
                <w:color w:val="000000"/>
                <w:sz w:val="20"/>
                <w:shd w:val="clear" w:color="auto" w:fill="FFFFFF"/>
              </w:rPr>
            </w:pPr>
          </w:p>
        </w:tc>
        <w:tc>
          <w:tcPr>
            <w:tcW w:w="2510" w:type="dxa"/>
            <w:tcBorders>
              <w:bottom w:val="nil"/>
            </w:tcBorders>
            <w:hideMark/>
          </w:tcPr>
          <w:p w14:paraId="38AF437F" w14:textId="64BD5A5B" w:rsidR="00B23A85" w:rsidRPr="009F09F9" w:rsidRDefault="004022EC"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Pr>
                <w:rStyle w:val="normaltextrun"/>
                <w:rFonts w:ascii="SimSun" w:eastAsia="SimSun" w:hAnsi="SimSun" w:cs="SimSun" w:hint="eastAsia"/>
                <w:b/>
                <w:bCs/>
                <w:color w:val="000000"/>
                <w:sz w:val="20"/>
                <w:shd w:val="clear" w:color="auto" w:fill="FFFFFF"/>
                <w:lang w:val="fr-CH" w:eastAsia="zh-CN"/>
              </w:rPr>
              <w:t>不使用</w:t>
            </w:r>
            <w:r w:rsidRPr="009F09F9">
              <w:rPr>
                <w:rStyle w:val="normaltextrun"/>
                <w:rFonts w:ascii="SimSun" w:eastAsia="SimSun" w:hAnsi="SimSun" w:cs="SimSun" w:hint="eastAsia"/>
                <w:b/>
                <w:bCs/>
                <w:color w:val="000000"/>
                <w:sz w:val="20"/>
                <w:shd w:val="clear" w:color="auto" w:fill="FFFFFF"/>
                <w:lang w:val="fr-CH" w:eastAsia="zh-CN"/>
              </w:rPr>
              <w:t>波</w:t>
            </w:r>
            <w:proofErr w:type="gramStart"/>
            <w:r w:rsidRPr="009F09F9">
              <w:rPr>
                <w:rStyle w:val="normaltextrun"/>
                <w:rFonts w:ascii="SimSun" w:eastAsia="SimSun" w:hAnsi="SimSun" w:cs="SimSun" w:hint="eastAsia"/>
                <w:b/>
                <w:bCs/>
                <w:color w:val="000000"/>
                <w:sz w:val="20"/>
                <w:shd w:val="clear" w:color="auto" w:fill="FFFFFF"/>
                <w:lang w:val="fr-CH" w:eastAsia="zh-CN"/>
              </w:rPr>
              <w:t>波</w:t>
            </w:r>
            <w:proofErr w:type="gramEnd"/>
            <w:r w:rsidRPr="009F09F9">
              <w:rPr>
                <w:rStyle w:val="normaltextrun"/>
                <w:rFonts w:ascii="SimSun" w:eastAsia="SimSun" w:hAnsi="SimSun" w:cs="SimSun" w:hint="eastAsia"/>
                <w:b/>
                <w:bCs/>
                <w:color w:val="000000"/>
                <w:sz w:val="20"/>
                <w:shd w:val="clear" w:color="auto" w:fill="FFFFFF"/>
                <w:lang w:val="fr-CH" w:eastAsia="zh-CN"/>
              </w:rPr>
              <w:t>夫厅</w:t>
            </w:r>
            <w:r>
              <w:rPr>
                <w:rStyle w:val="normaltextrun"/>
                <w:rFonts w:ascii="SimSun" w:eastAsia="SimSun" w:hAnsi="SimSun" w:cs="SimSun" w:hint="eastAsia"/>
                <w:b/>
                <w:bCs/>
                <w:color w:val="000000"/>
                <w:sz w:val="20"/>
                <w:shd w:val="clear" w:color="auto" w:fill="FFFFFF"/>
                <w:lang w:val="fr-CH" w:eastAsia="zh-CN"/>
              </w:rPr>
              <w:t>：</w:t>
            </w:r>
          </w:p>
        </w:tc>
        <w:tc>
          <w:tcPr>
            <w:tcW w:w="2125" w:type="dxa"/>
            <w:tcBorders>
              <w:bottom w:val="nil"/>
              <w:right w:val="triple" w:sz="4" w:space="0" w:color="auto"/>
            </w:tcBorders>
          </w:tcPr>
          <w:p w14:paraId="36BD1E87" w14:textId="30CCAB00" w:rsidR="00B23A85" w:rsidRPr="009F09F9" w:rsidRDefault="004022EC"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Style w:val="normaltextrun"/>
                <w:rFonts w:ascii="SimSun" w:eastAsia="SimSun" w:hAnsi="SimSun" w:cs="SimSun" w:hint="eastAsia"/>
                <w:b/>
                <w:bCs/>
                <w:color w:val="000000"/>
                <w:sz w:val="20"/>
                <w:shd w:val="clear" w:color="auto" w:fill="FFFFFF"/>
                <w:lang w:val="fr-CH" w:eastAsia="zh-CN"/>
              </w:rPr>
              <w:t>使用波</w:t>
            </w:r>
            <w:proofErr w:type="gramStart"/>
            <w:r w:rsidRPr="009F09F9">
              <w:rPr>
                <w:rStyle w:val="normaltextrun"/>
                <w:rFonts w:ascii="SimSun" w:eastAsia="SimSun" w:hAnsi="SimSun" w:cs="SimSun" w:hint="eastAsia"/>
                <w:b/>
                <w:bCs/>
                <w:color w:val="000000"/>
                <w:sz w:val="20"/>
                <w:shd w:val="clear" w:color="auto" w:fill="FFFFFF"/>
                <w:lang w:val="fr-CH" w:eastAsia="zh-CN"/>
              </w:rPr>
              <w:t>波</w:t>
            </w:r>
            <w:proofErr w:type="gramEnd"/>
            <w:r w:rsidRPr="009F09F9">
              <w:rPr>
                <w:rStyle w:val="normaltextrun"/>
                <w:rFonts w:ascii="SimSun" w:eastAsia="SimSun" w:hAnsi="SimSun" w:cs="SimSun" w:hint="eastAsia"/>
                <w:b/>
                <w:bCs/>
                <w:color w:val="000000"/>
                <w:sz w:val="20"/>
                <w:shd w:val="clear" w:color="auto" w:fill="FFFFFF"/>
                <w:lang w:val="fr-CH" w:eastAsia="zh-CN"/>
              </w:rPr>
              <w:t>夫厅</w:t>
            </w:r>
            <w:r>
              <w:rPr>
                <w:rStyle w:val="normaltextrun"/>
                <w:rFonts w:ascii="SimSun" w:eastAsia="SimSun" w:hAnsi="SimSun" w:cs="SimSun" w:hint="eastAsia"/>
                <w:b/>
                <w:bCs/>
                <w:color w:val="000000"/>
                <w:sz w:val="20"/>
                <w:shd w:val="clear" w:color="auto" w:fill="FFFFFF"/>
                <w:lang w:val="fr-CH" w:eastAsia="zh-CN"/>
              </w:rPr>
              <w:t>：</w:t>
            </w:r>
          </w:p>
        </w:tc>
      </w:tr>
      <w:tr w:rsidR="00B23A85" w:rsidRPr="00B23A85" w14:paraId="5F4B0A7A" w14:textId="77777777" w:rsidTr="00B23A85">
        <w:tblPrEx>
          <w:jc w:val="left"/>
        </w:tblPrEx>
        <w:tc>
          <w:tcPr>
            <w:tcW w:w="4956" w:type="dxa"/>
            <w:vMerge/>
            <w:tcBorders>
              <w:top w:val="nil"/>
              <w:left w:val="triple" w:sz="4" w:space="0" w:color="auto"/>
              <w:bottom w:val="triple" w:sz="4" w:space="0" w:color="auto"/>
            </w:tcBorders>
            <w:hideMark/>
          </w:tcPr>
          <w:p w14:paraId="58E4D7C2" w14:textId="77777777" w:rsidR="00B23A85" w:rsidRPr="00B23A85" w:rsidRDefault="00B23A85" w:rsidP="00B23A85">
            <w:pPr>
              <w:tabs>
                <w:tab w:val="left" w:pos="567"/>
                <w:tab w:val="left" w:pos="1134"/>
                <w:tab w:val="left" w:pos="1701"/>
                <w:tab w:val="left" w:pos="2268"/>
                <w:tab w:val="left" w:pos="2835"/>
              </w:tabs>
              <w:overflowPunct/>
              <w:autoSpaceDE/>
              <w:autoSpaceDN/>
              <w:adjustRightInd/>
              <w:spacing w:before="0"/>
              <w:rPr>
                <w:rFonts w:asciiTheme="minorHAnsi" w:eastAsiaTheme="minorHAnsi" w:hAnsiTheme="minorHAnsi" w:cstheme="minorHAnsi"/>
                <w:b/>
                <w:bCs/>
                <w:color w:val="000000"/>
                <w:sz w:val="20"/>
                <w:shd w:val="clear" w:color="auto" w:fill="FFFFFF"/>
              </w:rPr>
            </w:pPr>
          </w:p>
        </w:tc>
        <w:tc>
          <w:tcPr>
            <w:tcW w:w="2510" w:type="dxa"/>
            <w:tcBorders>
              <w:top w:val="nil"/>
              <w:bottom w:val="triple" w:sz="4" w:space="0" w:color="auto"/>
            </w:tcBorders>
            <w:hideMark/>
          </w:tcPr>
          <w:p w14:paraId="5E3610E8" w14:textId="77777777" w:rsidR="00B23A85" w:rsidRPr="009F09F9" w:rsidRDefault="00B23A85"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Fonts w:asciiTheme="minorHAnsi" w:hAnsiTheme="minorHAnsi" w:cstheme="minorHAnsi"/>
                <w:color w:val="000000"/>
                <w:sz w:val="20"/>
                <w:shd w:val="clear" w:color="auto" w:fill="FFFFFF"/>
                <w:lang w:val="fr-CH"/>
              </w:rPr>
              <w:t>41,850,000</w:t>
            </w:r>
          </w:p>
        </w:tc>
        <w:tc>
          <w:tcPr>
            <w:tcW w:w="2125" w:type="dxa"/>
            <w:tcBorders>
              <w:top w:val="nil"/>
              <w:bottom w:val="triple" w:sz="4" w:space="0" w:color="auto"/>
              <w:right w:val="triple" w:sz="4" w:space="0" w:color="auto"/>
            </w:tcBorders>
          </w:tcPr>
          <w:p w14:paraId="5B336F8B" w14:textId="77777777" w:rsidR="00B23A85" w:rsidRPr="009F09F9" w:rsidRDefault="00B23A85" w:rsidP="00B23A85">
            <w:pPr>
              <w:tabs>
                <w:tab w:val="left" w:pos="567"/>
                <w:tab w:val="left" w:pos="1134"/>
                <w:tab w:val="left" w:pos="1701"/>
                <w:tab w:val="left" w:pos="2268"/>
                <w:tab w:val="left" w:pos="2835"/>
              </w:tabs>
              <w:spacing w:before="0"/>
              <w:jc w:val="center"/>
              <w:rPr>
                <w:rFonts w:asciiTheme="minorHAnsi" w:hAnsiTheme="minorHAnsi" w:cstheme="minorHAnsi"/>
                <w:color w:val="000000"/>
                <w:sz w:val="20"/>
                <w:shd w:val="clear" w:color="auto" w:fill="FFFFFF"/>
                <w:lang w:val="fr-CH"/>
              </w:rPr>
            </w:pPr>
            <w:r w:rsidRPr="009F09F9">
              <w:rPr>
                <w:rFonts w:asciiTheme="minorHAnsi" w:hAnsiTheme="minorHAnsi" w:cstheme="minorHAnsi"/>
                <w:color w:val="000000"/>
                <w:sz w:val="20"/>
                <w:shd w:val="clear" w:color="auto" w:fill="FFFFFF"/>
                <w:lang w:val="fr-CH"/>
              </w:rPr>
              <w:t>41,220,000</w:t>
            </w:r>
          </w:p>
        </w:tc>
      </w:tr>
    </w:tbl>
    <w:p w14:paraId="426D8E0F" w14:textId="64B30904" w:rsidR="00B23A85" w:rsidRPr="00B23A85" w:rsidRDefault="00B23A85" w:rsidP="00B23A85">
      <w:pPr>
        <w:keepNext/>
        <w:keepLines/>
        <w:tabs>
          <w:tab w:val="clear" w:pos="794"/>
          <w:tab w:val="clear" w:pos="1191"/>
          <w:tab w:val="clear" w:pos="1588"/>
          <w:tab w:val="clear" w:pos="1985"/>
        </w:tabs>
        <w:snapToGrid w:val="0"/>
        <w:spacing w:before="360" w:after="120"/>
        <w:jc w:val="both"/>
        <w:outlineLvl w:val="0"/>
        <w:rPr>
          <w:rFonts w:asciiTheme="minorHAnsi" w:eastAsia="Times New Roman" w:hAnsiTheme="minorHAnsi"/>
          <w:b/>
          <w:bCs/>
          <w:color w:val="000000" w:themeColor="text1"/>
          <w:szCs w:val="24"/>
          <w:lang w:eastAsia="zh-CN"/>
        </w:rPr>
      </w:pPr>
      <w:r w:rsidRPr="00B23A85">
        <w:rPr>
          <w:rFonts w:asciiTheme="minorHAnsi" w:eastAsia="Times New Roman" w:hAnsiTheme="minorHAnsi"/>
          <w:b/>
          <w:bCs/>
          <w:color w:val="000000" w:themeColor="text1"/>
          <w:szCs w:val="24"/>
        </w:rPr>
        <w:t>2.2</w:t>
      </w:r>
      <w:r w:rsidRPr="00B23A85">
        <w:rPr>
          <w:rFonts w:asciiTheme="minorHAnsi" w:eastAsia="Times New Roman" w:hAnsiTheme="minorHAnsi"/>
          <w:b/>
          <w:bCs/>
          <w:color w:val="000000" w:themeColor="text1"/>
          <w:szCs w:val="24"/>
        </w:rPr>
        <w:tab/>
      </w:r>
      <w:r w:rsidR="004022EC">
        <w:rPr>
          <w:rFonts w:asciiTheme="minorEastAsia" w:eastAsiaTheme="minorEastAsia" w:hAnsiTheme="minorEastAsia" w:hint="eastAsia"/>
          <w:b/>
          <w:bCs/>
          <w:color w:val="000000" w:themeColor="text1"/>
          <w:szCs w:val="24"/>
          <w:lang w:eastAsia="zh-CN"/>
        </w:rPr>
        <w:t>管理和治理</w:t>
      </w:r>
    </w:p>
    <w:p w14:paraId="7FEFAB04" w14:textId="7B493B90" w:rsidR="00B23A85" w:rsidRPr="00B23A85" w:rsidRDefault="00B23A85" w:rsidP="00D92CDC">
      <w:pPr>
        <w:rPr>
          <w:rFonts w:eastAsia="Times New Roman"/>
          <w:lang w:eastAsia="zh-CN"/>
        </w:rPr>
      </w:pPr>
      <w:r w:rsidRPr="00B23A85">
        <w:rPr>
          <w:rFonts w:eastAsia="Times New Roman"/>
          <w:lang w:val="en-US" w:eastAsia="zh-CN"/>
        </w:rPr>
        <w:t>2.2.1</w:t>
      </w:r>
      <w:r w:rsidRPr="00B23A85">
        <w:rPr>
          <w:rFonts w:eastAsia="Times New Roman"/>
          <w:lang w:val="en-US" w:eastAsia="zh-CN"/>
        </w:rPr>
        <w:tab/>
      </w:r>
      <w:r w:rsidR="00123B0F" w:rsidRPr="00B8399C">
        <w:rPr>
          <w:rFonts w:hint="eastAsia"/>
          <w:shd w:val="clear" w:color="auto" w:fill="FFFFFF"/>
          <w:lang w:eastAsia="zh-CN"/>
        </w:rPr>
        <w:t>从</w:t>
      </w:r>
      <w:r w:rsidR="00123B0F" w:rsidRPr="00B8399C">
        <w:rPr>
          <w:rFonts w:hint="eastAsia"/>
          <w:shd w:val="clear" w:color="auto" w:fill="FFFFFF"/>
          <w:lang w:eastAsia="zh-CN"/>
        </w:rPr>
        <w:t>2020</w:t>
      </w:r>
      <w:r w:rsidR="00123B0F" w:rsidRPr="00B8399C">
        <w:rPr>
          <w:rFonts w:hint="eastAsia"/>
          <w:shd w:val="clear" w:color="auto" w:fill="FFFFFF"/>
          <w:lang w:eastAsia="zh-CN"/>
        </w:rPr>
        <w:t>年</w:t>
      </w:r>
      <w:r w:rsidR="00123B0F" w:rsidRPr="00B8399C">
        <w:rPr>
          <w:rFonts w:hint="eastAsia"/>
          <w:shd w:val="clear" w:color="auto" w:fill="FFFFFF"/>
          <w:lang w:eastAsia="zh-CN"/>
        </w:rPr>
        <w:t>1</w:t>
      </w:r>
      <w:r w:rsidR="00123B0F" w:rsidRPr="00B8399C">
        <w:rPr>
          <w:rFonts w:hint="eastAsia"/>
          <w:shd w:val="clear" w:color="auto" w:fill="FFFFFF"/>
          <w:lang w:eastAsia="zh-CN"/>
        </w:rPr>
        <w:t>月开始，</w:t>
      </w:r>
      <w:r w:rsidR="00123B0F">
        <w:rPr>
          <w:rFonts w:hint="eastAsia"/>
          <w:shd w:val="clear" w:color="auto" w:fill="FFFFFF"/>
          <w:lang w:eastAsia="zh-CN"/>
        </w:rPr>
        <w:t>办公楼</w:t>
      </w:r>
      <w:r w:rsidR="00123B0F" w:rsidRPr="00B8399C">
        <w:rPr>
          <w:rFonts w:hint="eastAsia"/>
          <w:shd w:val="clear" w:color="auto" w:fill="FFFFFF"/>
          <w:lang w:eastAsia="zh-CN"/>
        </w:rPr>
        <w:t>项目</w:t>
      </w:r>
      <w:r w:rsidR="00123B0F">
        <w:rPr>
          <w:rFonts w:hint="eastAsia"/>
          <w:shd w:val="clear" w:color="auto" w:fill="FFFFFF"/>
          <w:lang w:eastAsia="zh-CN"/>
        </w:rPr>
        <w:t>处</w:t>
      </w:r>
      <w:r w:rsidR="00123B0F" w:rsidRPr="00B8399C">
        <w:rPr>
          <w:rFonts w:hint="eastAsia"/>
          <w:shd w:val="clear" w:color="auto" w:fill="FFFFFF"/>
          <w:lang w:eastAsia="zh-CN"/>
        </w:rPr>
        <w:t>按照</w:t>
      </w:r>
      <w:r w:rsidR="00123B0F" w:rsidRPr="00B8399C">
        <w:rPr>
          <w:rFonts w:hint="eastAsia"/>
          <w:shd w:val="clear" w:color="auto" w:fill="FFFFFF"/>
          <w:lang w:eastAsia="zh-CN"/>
        </w:rPr>
        <w:t>SIA</w:t>
      </w:r>
      <w:r w:rsidR="00123B0F">
        <w:rPr>
          <w:rFonts w:hint="eastAsia"/>
          <w:shd w:val="clear" w:color="auto" w:fill="FFFFFF"/>
          <w:lang w:eastAsia="zh-CN"/>
        </w:rPr>
        <w:t>（</w:t>
      </w:r>
      <w:r w:rsidR="00123B0F" w:rsidRPr="00B8399C">
        <w:rPr>
          <w:rFonts w:hint="eastAsia"/>
          <w:shd w:val="clear" w:color="auto" w:fill="FFFFFF"/>
          <w:lang w:eastAsia="zh-CN"/>
        </w:rPr>
        <w:t>瑞士工程师和建筑师协会</w:t>
      </w:r>
      <w:r w:rsidR="00123B0F">
        <w:rPr>
          <w:rFonts w:hint="eastAsia"/>
          <w:shd w:val="clear" w:color="auto" w:fill="FFFFFF"/>
          <w:lang w:eastAsia="zh-CN"/>
        </w:rPr>
        <w:t>）</w:t>
      </w:r>
      <w:r w:rsidR="00123B0F" w:rsidRPr="00B8399C">
        <w:rPr>
          <w:rFonts w:hint="eastAsia"/>
          <w:shd w:val="clear" w:color="auto" w:fill="FFFFFF"/>
          <w:lang w:eastAsia="zh-CN"/>
        </w:rPr>
        <w:t>标准和当地惯例</w:t>
      </w:r>
      <w:r w:rsidR="004022EC">
        <w:rPr>
          <w:rFonts w:hint="eastAsia"/>
          <w:shd w:val="clear" w:color="auto" w:fill="FFFFFF"/>
          <w:lang w:eastAsia="zh-CN"/>
        </w:rPr>
        <w:t>步入</w:t>
      </w:r>
      <w:r w:rsidR="00123B0F" w:rsidRPr="00B8399C">
        <w:rPr>
          <w:rFonts w:hint="eastAsia"/>
          <w:shd w:val="clear" w:color="auto" w:fill="FFFFFF"/>
          <w:lang w:eastAsia="zh-CN"/>
        </w:rPr>
        <w:t>了连续设计阶段。</w:t>
      </w:r>
      <w:proofErr w:type="gramStart"/>
      <w:r w:rsidR="004022EC">
        <w:rPr>
          <w:rFonts w:asciiTheme="minorEastAsia" w:eastAsiaTheme="minorEastAsia" w:hAnsiTheme="minorEastAsia" w:hint="eastAsia"/>
          <w:shd w:val="clear" w:color="auto" w:fill="FFFFFF"/>
          <w:lang w:eastAsia="zh-CN"/>
        </w:rPr>
        <w:t>这些包括“</w:t>
      </w:r>
      <w:proofErr w:type="gramEnd"/>
      <w:r w:rsidR="004022EC">
        <w:rPr>
          <w:rFonts w:asciiTheme="minorEastAsia" w:eastAsiaTheme="minorEastAsia" w:hAnsiTheme="minorEastAsia" w:hint="eastAsia"/>
          <w:shd w:val="clear" w:color="auto" w:fill="FFFFFF"/>
          <w:lang w:eastAsia="zh-CN"/>
        </w:rPr>
        <w:t>详尽设计”阶段，即细化设计并制定规划、规范和估算</w:t>
      </w:r>
      <w:r w:rsidR="004022EC">
        <w:rPr>
          <w:rFonts w:asciiTheme="minorEastAsia" w:eastAsiaTheme="minorEastAsia" w:hAnsiTheme="minorEastAsia" w:hint="eastAsia"/>
          <w:shd w:val="clear" w:color="auto" w:fill="FFFFFF"/>
          <w:lang w:eastAsia="zh-CN"/>
        </w:rPr>
        <w:lastRenderedPageBreak/>
        <w:t>阶段。</w:t>
      </w:r>
      <w:r w:rsidR="004022EC">
        <w:rPr>
          <w:rFonts w:hint="eastAsia"/>
          <w:shd w:val="clear" w:color="auto" w:fill="FFFFFF"/>
          <w:lang w:eastAsia="zh-CN"/>
        </w:rPr>
        <w:t>该阶段在</w:t>
      </w:r>
      <w:r w:rsidR="009F09F9" w:rsidRPr="00B8399C">
        <w:rPr>
          <w:rFonts w:hint="eastAsia"/>
          <w:shd w:val="clear" w:color="auto" w:fill="FFFFFF"/>
          <w:lang w:eastAsia="zh-CN"/>
        </w:rPr>
        <w:t>确定性</w:t>
      </w:r>
      <w:r w:rsidR="009F09F9" w:rsidRPr="00B8399C">
        <w:rPr>
          <w:rFonts w:hint="eastAsia"/>
          <w:shd w:val="clear" w:color="auto" w:fill="FFFFFF"/>
          <w:lang w:eastAsia="zh-CN"/>
        </w:rPr>
        <w:t>10%</w:t>
      </w:r>
      <w:r w:rsidR="004022EC">
        <w:rPr>
          <w:rFonts w:hint="eastAsia"/>
          <w:shd w:val="clear" w:color="auto" w:fill="FFFFFF"/>
          <w:lang w:eastAsia="zh-CN"/>
        </w:rPr>
        <w:t>的范围内确定</w:t>
      </w:r>
      <w:r w:rsidR="004022EC" w:rsidRPr="00B8399C">
        <w:rPr>
          <w:rFonts w:hint="eastAsia"/>
          <w:shd w:val="clear" w:color="auto" w:fill="FFFFFF"/>
          <w:lang w:eastAsia="zh-CN"/>
        </w:rPr>
        <w:t>成本</w:t>
      </w:r>
      <w:r w:rsidR="004022EC">
        <w:rPr>
          <w:rFonts w:hint="eastAsia"/>
          <w:shd w:val="clear" w:color="auto" w:fill="FFFFFF"/>
          <w:lang w:eastAsia="zh-CN"/>
        </w:rPr>
        <w:t>估算</w:t>
      </w:r>
      <w:r w:rsidR="009F09F9" w:rsidRPr="00B8399C">
        <w:rPr>
          <w:rFonts w:hint="eastAsia"/>
          <w:shd w:val="clear" w:color="auto" w:fill="FFFFFF"/>
          <w:lang w:eastAsia="zh-CN"/>
        </w:rPr>
        <w:t>。</w:t>
      </w:r>
      <w:r w:rsidR="004022EC">
        <w:rPr>
          <w:rFonts w:hint="eastAsia"/>
          <w:shd w:val="clear" w:color="auto" w:fill="FFFFFF"/>
          <w:lang w:eastAsia="zh-CN"/>
        </w:rPr>
        <w:t>这其中</w:t>
      </w:r>
      <w:r w:rsidR="004022EC" w:rsidRPr="004022EC">
        <w:rPr>
          <w:shd w:val="clear" w:color="auto" w:fill="FFFFFF"/>
          <w:lang w:eastAsia="zh-CN"/>
        </w:rPr>
        <w:t>还包括</w:t>
      </w:r>
      <w:r w:rsidR="004022EC" w:rsidRPr="004022EC">
        <w:rPr>
          <w:shd w:val="clear" w:color="auto" w:fill="FFFFFF"/>
          <w:lang w:eastAsia="zh-CN"/>
        </w:rPr>
        <w:t>“</w:t>
      </w:r>
      <w:r w:rsidR="004022EC" w:rsidRPr="004022EC">
        <w:rPr>
          <w:shd w:val="clear" w:color="auto" w:fill="FFFFFF"/>
          <w:lang w:eastAsia="zh-CN"/>
        </w:rPr>
        <w:t>施工许可申请</w:t>
      </w:r>
      <w:r w:rsidR="004022EC" w:rsidRPr="004022EC">
        <w:rPr>
          <w:shd w:val="clear" w:color="auto" w:fill="FFFFFF"/>
          <w:lang w:eastAsia="zh-CN"/>
        </w:rPr>
        <w:t>”</w:t>
      </w:r>
      <w:r w:rsidR="004022EC" w:rsidRPr="004022EC">
        <w:rPr>
          <w:shd w:val="clear" w:color="auto" w:fill="FFFFFF"/>
          <w:lang w:eastAsia="zh-CN"/>
        </w:rPr>
        <w:t>阶段，用于向相关机构提交详细设计中</w:t>
      </w:r>
      <w:r w:rsidR="004022EC">
        <w:rPr>
          <w:rFonts w:hint="eastAsia"/>
          <w:shd w:val="clear" w:color="auto" w:fill="FFFFFF"/>
          <w:lang w:eastAsia="zh-CN"/>
        </w:rPr>
        <w:t>编制</w:t>
      </w:r>
      <w:r w:rsidR="004022EC" w:rsidRPr="004022EC">
        <w:rPr>
          <w:shd w:val="clear" w:color="auto" w:fill="FFFFFF"/>
          <w:lang w:eastAsia="zh-CN"/>
        </w:rPr>
        <w:t>的文件。秘书处已开始与地方当局协商，以确保项目后期阶段的顺利和快速批准程序。</w:t>
      </w:r>
    </w:p>
    <w:p w14:paraId="2880A2EE" w14:textId="03DB52D5" w:rsidR="00B23A85" w:rsidRPr="00B23A85" w:rsidRDefault="00B23A85" w:rsidP="00D92CDC">
      <w:pPr>
        <w:rPr>
          <w:rFonts w:eastAsia="Times New Roman"/>
          <w:lang w:eastAsia="zh-CN"/>
        </w:rPr>
      </w:pPr>
      <w:r w:rsidRPr="00B23A85">
        <w:rPr>
          <w:rFonts w:eastAsia="Times New Roman"/>
          <w:lang w:eastAsia="zh-CN"/>
        </w:rPr>
        <w:t>2.</w:t>
      </w:r>
      <w:proofErr w:type="gramStart"/>
      <w:r w:rsidRPr="00B23A85">
        <w:rPr>
          <w:rFonts w:eastAsia="Times New Roman"/>
          <w:lang w:eastAsia="zh-CN"/>
        </w:rPr>
        <w:t>2.2</w:t>
      </w:r>
      <w:r w:rsidRPr="00B23A85">
        <w:rPr>
          <w:rFonts w:eastAsia="Times New Roman"/>
          <w:lang w:eastAsia="zh-CN"/>
        </w:rPr>
        <w:tab/>
      </w:r>
      <w:r w:rsidR="00743138" w:rsidRPr="004022EC">
        <w:rPr>
          <w:shd w:val="clear" w:color="auto" w:fill="FFFFFF"/>
          <w:lang w:eastAsia="zh-CN"/>
        </w:rPr>
        <w:t>秘书处一直在跟踪完成任务的工作量或完成任务的百分比。此外</w:t>
      </w:r>
      <w:proofErr w:type="gramEnd"/>
      <w:r w:rsidR="00743138" w:rsidRPr="004022EC">
        <w:rPr>
          <w:shd w:val="clear" w:color="auto" w:fill="FFFFFF"/>
          <w:lang w:eastAsia="zh-CN"/>
        </w:rPr>
        <w:t>，它还跟踪已完成工作的实际成本和剩余工作的</w:t>
      </w:r>
      <w:r w:rsidR="00743138">
        <w:rPr>
          <w:rFonts w:hint="eastAsia"/>
          <w:shd w:val="clear" w:color="auto" w:fill="FFFFFF"/>
          <w:lang w:eastAsia="zh-CN"/>
        </w:rPr>
        <w:t>估算</w:t>
      </w:r>
      <w:r w:rsidR="00743138">
        <w:rPr>
          <w:shd w:val="clear" w:color="auto" w:fill="FFFFFF"/>
          <w:lang w:eastAsia="zh-CN"/>
        </w:rPr>
        <w:t>成本。这些工具有助于在预算范围内管理项目。该项目的现金流由</w:t>
      </w:r>
      <w:r w:rsidR="00743138" w:rsidRPr="00B23A85">
        <w:rPr>
          <w:rFonts w:eastAsia="Times New Roman"/>
          <w:lang w:eastAsia="zh-CN"/>
        </w:rPr>
        <w:t>Hill</w:t>
      </w:r>
      <w:r w:rsidR="00743138" w:rsidRPr="004022EC">
        <w:rPr>
          <w:shd w:val="clear" w:color="auto" w:fill="FFFFFF"/>
          <w:lang w:eastAsia="zh-CN"/>
        </w:rPr>
        <w:t>国际公司监控</w:t>
      </w:r>
      <w:r w:rsidR="00743138" w:rsidRPr="004022EC">
        <w:rPr>
          <w:rFonts w:hint="eastAsia"/>
          <w:shd w:val="clear" w:color="auto" w:fill="FFFFFF"/>
          <w:lang w:eastAsia="zh-CN"/>
        </w:rPr>
        <w:t>。</w:t>
      </w:r>
    </w:p>
    <w:p w14:paraId="4CD07C5C" w14:textId="4A104589" w:rsidR="00B23A85" w:rsidRPr="00E66BCC" w:rsidRDefault="00B23A85" w:rsidP="00E66BCC">
      <w:pPr>
        <w:rPr>
          <w:rFonts w:eastAsia="Times New Roman"/>
          <w:lang w:eastAsia="zh-CN"/>
        </w:rPr>
      </w:pPr>
      <w:r w:rsidRPr="00B23A85">
        <w:rPr>
          <w:rFonts w:eastAsia="Times New Roman"/>
          <w:lang w:eastAsia="zh-CN"/>
        </w:rPr>
        <w:t>2.2.3</w:t>
      </w:r>
      <w:r w:rsidRPr="00B23A85">
        <w:rPr>
          <w:rFonts w:eastAsia="Times New Roman"/>
          <w:lang w:eastAsia="zh-CN"/>
        </w:rPr>
        <w:tab/>
      </w:r>
      <w:r w:rsidR="00BF540F">
        <w:rPr>
          <w:rFonts w:asciiTheme="minorEastAsia" w:eastAsiaTheme="minorEastAsia" w:hAnsiTheme="minorEastAsia" w:hint="eastAsia"/>
          <w:lang w:eastAsia="zh-CN"/>
        </w:rPr>
        <w:t>最近，秘书处将</w:t>
      </w:r>
      <w:r w:rsidR="00E817FA" w:rsidRPr="005D6066">
        <w:rPr>
          <w:rFonts w:hint="eastAsia"/>
          <w:lang w:eastAsia="zh-CN"/>
        </w:rPr>
        <w:t>设施管理处（</w:t>
      </w:r>
      <w:r w:rsidR="00E817FA" w:rsidRPr="005D6066">
        <w:rPr>
          <w:rFonts w:hint="eastAsia"/>
          <w:lang w:eastAsia="zh-CN"/>
        </w:rPr>
        <w:t>FMD</w:t>
      </w:r>
      <w:r w:rsidR="00E817FA" w:rsidRPr="005D6066">
        <w:rPr>
          <w:rFonts w:hint="eastAsia"/>
          <w:lang w:eastAsia="zh-CN"/>
        </w:rPr>
        <w:t>）和办公楼项目处（</w:t>
      </w:r>
      <w:r w:rsidR="00E817FA" w:rsidRPr="005D6066">
        <w:rPr>
          <w:rFonts w:hint="eastAsia"/>
          <w:lang w:eastAsia="zh-CN"/>
        </w:rPr>
        <w:t>BPD</w:t>
      </w:r>
      <w:r w:rsidR="00E817FA" w:rsidRPr="005D6066">
        <w:rPr>
          <w:rFonts w:hint="eastAsia"/>
          <w:lang w:eastAsia="zh-CN"/>
        </w:rPr>
        <w:t>）已合并为一个处</w:t>
      </w:r>
      <w:r w:rsidR="00BF540F">
        <w:rPr>
          <w:rFonts w:hint="eastAsia"/>
          <w:lang w:eastAsia="zh-CN"/>
        </w:rPr>
        <w:t>。</w:t>
      </w:r>
      <w:r w:rsidR="00BF540F" w:rsidRPr="00BF540F">
        <w:rPr>
          <w:lang w:eastAsia="zh-CN"/>
        </w:rPr>
        <w:t>这一资源优化使节省下来的资金得以部分用于空间规划</w:t>
      </w:r>
      <w:r w:rsidR="00BF540F">
        <w:rPr>
          <w:rFonts w:hint="eastAsia"/>
          <w:lang w:eastAsia="zh-CN"/>
        </w:rPr>
        <w:t>官员</w:t>
      </w:r>
      <w:r w:rsidR="00BF540F" w:rsidRPr="00BF540F">
        <w:rPr>
          <w:lang w:eastAsia="zh-CN"/>
        </w:rPr>
        <w:t>的临时职位，该</w:t>
      </w:r>
      <w:r w:rsidR="00BF540F">
        <w:rPr>
          <w:rFonts w:hint="eastAsia"/>
          <w:lang w:eastAsia="zh-CN"/>
        </w:rPr>
        <w:t>官员</w:t>
      </w:r>
      <w:r w:rsidR="00BF540F" w:rsidRPr="00BF540F">
        <w:rPr>
          <w:lang w:eastAsia="zh-CN"/>
        </w:rPr>
        <w:t>将与</w:t>
      </w:r>
      <w:r w:rsidR="00BF540F">
        <w:rPr>
          <w:rFonts w:hint="eastAsia"/>
          <w:lang w:eastAsia="zh-CN"/>
        </w:rPr>
        <w:t>职员</w:t>
      </w:r>
      <w:r w:rsidR="00BF540F" w:rsidRPr="00BF540F">
        <w:rPr>
          <w:lang w:eastAsia="zh-CN"/>
        </w:rPr>
        <w:t>接触，并根据新</w:t>
      </w:r>
      <w:r w:rsidR="00BF540F">
        <w:rPr>
          <w:rFonts w:hint="eastAsia"/>
          <w:lang w:eastAsia="zh-CN"/>
        </w:rPr>
        <w:t>办公</w:t>
      </w:r>
      <w:r w:rsidR="00BF540F" w:rsidRPr="00BF540F">
        <w:rPr>
          <w:lang w:eastAsia="zh-CN"/>
        </w:rPr>
        <w:t>楼的工作空间建议确定最终的空间分</w:t>
      </w:r>
      <w:r w:rsidR="00BF540F" w:rsidRPr="00BF540F">
        <w:rPr>
          <w:rFonts w:hint="eastAsia"/>
          <w:lang w:eastAsia="zh-CN"/>
        </w:rPr>
        <w:t>配</w:t>
      </w:r>
      <w:r w:rsidR="003D1D6F">
        <w:rPr>
          <w:rFonts w:hint="eastAsia"/>
          <w:lang w:eastAsia="zh-CN"/>
        </w:rPr>
        <w:t>。</w:t>
      </w:r>
    </w:p>
    <w:p w14:paraId="753FA5F8" w14:textId="23DD1A48" w:rsidR="00B23A85" w:rsidRPr="00B23A85" w:rsidRDefault="00B23A85" w:rsidP="00D92CDC">
      <w:pPr>
        <w:pStyle w:val="Heading2"/>
        <w:rPr>
          <w:lang w:eastAsia="zh-CN"/>
        </w:rPr>
      </w:pPr>
      <w:r w:rsidRPr="00B23A85">
        <w:rPr>
          <w:lang w:eastAsia="zh-CN"/>
        </w:rPr>
        <w:t>2.3</w:t>
      </w:r>
      <w:r w:rsidRPr="00B23A85">
        <w:rPr>
          <w:lang w:eastAsia="zh-CN"/>
        </w:rPr>
        <w:tab/>
      </w:r>
      <w:r w:rsidR="00546E94">
        <w:rPr>
          <w:rFonts w:asciiTheme="minorEastAsia" w:eastAsiaTheme="minorEastAsia" w:hAnsiTheme="minorEastAsia" w:hint="eastAsia"/>
          <w:lang w:eastAsia="zh-CN"/>
        </w:rPr>
        <w:t>资金来源</w:t>
      </w:r>
    </w:p>
    <w:p w14:paraId="25CEFF0D" w14:textId="570F3AF2" w:rsidR="00B23A85" w:rsidRPr="00B23A85" w:rsidRDefault="00B23A85" w:rsidP="00D92CDC">
      <w:pPr>
        <w:rPr>
          <w:rFonts w:eastAsia="Times New Roman"/>
          <w:lang w:eastAsia="zh-CN"/>
        </w:rPr>
      </w:pPr>
      <w:r w:rsidRPr="00B23A85">
        <w:rPr>
          <w:rFonts w:eastAsia="Times New Roman"/>
          <w:lang w:eastAsia="zh-CN"/>
        </w:rPr>
        <w:t>2.3.1</w:t>
      </w:r>
      <w:r w:rsidRPr="00B23A85">
        <w:rPr>
          <w:rFonts w:eastAsia="Times New Roman"/>
          <w:lang w:eastAsia="zh-CN"/>
        </w:rPr>
        <w:tab/>
      </w:r>
      <w:r w:rsidR="00E817FA" w:rsidRPr="00F55D20">
        <w:rPr>
          <w:rFonts w:hint="eastAsia"/>
          <w:lang w:eastAsia="zh-CN"/>
        </w:rPr>
        <w:t>联邦委员会</w:t>
      </w:r>
      <w:r w:rsidR="00E817FA">
        <w:rPr>
          <w:rFonts w:hint="eastAsia"/>
          <w:lang w:eastAsia="zh-CN"/>
        </w:rPr>
        <w:t>核</w:t>
      </w:r>
      <w:r w:rsidR="00E817FA" w:rsidRPr="00F55D20">
        <w:rPr>
          <w:rFonts w:hint="eastAsia"/>
          <w:lang w:eastAsia="zh-CN"/>
        </w:rPr>
        <w:t>准了一笔</w:t>
      </w:r>
      <w:r w:rsidR="00E817FA" w:rsidRPr="00F55D20">
        <w:rPr>
          <w:rFonts w:hint="eastAsia"/>
          <w:lang w:eastAsia="zh-CN"/>
        </w:rPr>
        <w:t>9</w:t>
      </w:r>
      <w:r w:rsidR="00E817FA">
        <w:rPr>
          <w:lang w:eastAsia="zh-CN"/>
        </w:rPr>
        <w:t>,</w:t>
      </w:r>
      <w:r w:rsidR="00E817FA" w:rsidRPr="00F55D20">
        <w:rPr>
          <w:rFonts w:hint="eastAsia"/>
          <w:lang w:eastAsia="zh-CN"/>
        </w:rPr>
        <w:t>560</w:t>
      </w:r>
      <w:r w:rsidR="00E817FA" w:rsidRPr="00F55D20">
        <w:rPr>
          <w:rFonts w:hint="eastAsia"/>
          <w:lang w:eastAsia="zh-CN"/>
        </w:rPr>
        <w:t>万瑞郎的贷款</w:t>
      </w:r>
      <w:r w:rsidR="00E817FA">
        <w:rPr>
          <w:rFonts w:hint="eastAsia"/>
          <w:lang w:eastAsia="zh-CN"/>
        </w:rPr>
        <w:t>（</w:t>
      </w:r>
      <w:r w:rsidR="00E817FA" w:rsidRPr="00F55D20">
        <w:rPr>
          <w:rFonts w:hint="eastAsia"/>
          <w:lang w:eastAsia="zh-CN"/>
        </w:rPr>
        <w:t>贷款第二部分的联邦份额</w:t>
      </w:r>
      <w:r w:rsidR="00E817FA">
        <w:rPr>
          <w:rFonts w:hint="eastAsia"/>
          <w:lang w:eastAsia="zh-CN"/>
        </w:rPr>
        <w:t>）</w:t>
      </w:r>
      <w:r w:rsidR="00E817FA" w:rsidRPr="00F55D20">
        <w:rPr>
          <w:rFonts w:hint="eastAsia"/>
          <w:lang w:eastAsia="zh-CN"/>
        </w:rPr>
        <w:t>，</w:t>
      </w:r>
      <w:r w:rsidR="00BF540F" w:rsidRPr="00F55D20">
        <w:rPr>
          <w:rFonts w:hint="eastAsia"/>
          <w:lang w:eastAsia="zh-CN"/>
        </w:rPr>
        <w:t>用于国际电联总部</w:t>
      </w:r>
      <w:r w:rsidR="00BF540F">
        <w:rPr>
          <w:rFonts w:hint="eastAsia"/>
          <w:lang w:eastAsia="zh-CN"/>
        </w:rPr>
        <w:t>办公楼</w:t>
      </w:r>
      <w:r w:rsidR="00BF540F" w:rsidRPr="00F55D20">
        <w:rPr>
          <w:rFonts w:hint="eastAsia"/>
          <w:lang w:eastAsia="zh-CN"/>
        </w:rPr>
        <w:t>的拆除和重建项目</w:t>
      </w:r>
      <w:r w:rsidR="00BF540F">
        <w:rPr>
          <w:rFonts w:hint="eastAsia"/>
          <w:lang w:eastAsia="zh-CN"/>
        </w:rPr>
        <w:t>。</w:t>
      </w:r>
      <w:r w:rsidR="00E817FA" w:rsidRPr="00F55D20">
        <w:rPr>
          <w:rFonts w:hint="eastAsia"/>
          <w:lang w:eastAsia="zh-CN"/>
        </w:rPr>
        <w:t>日内瓦州</w:t>
      </w:r>
      <w:r w:rsidR="00BF540F">
        <w:rPr>
          <w:rFonts w:hint="eastAsia"/>
          <w:lang w:eastAsia="zh-CN"/>
        </w:rPr>
        <w:t>已启动对</w:t>
      </w:r>
      <w:r w:rsidR="00E817FA" w:rsidRPr="00F55D20">
        <w:rPr>
          <w:rFonts w:hint="eastAsia"/>
          <w:lang w:eastAsia="zh-CN"/>
        </w:rPr>
        <w:t>剩余的</w:t>
      </w:r>
      <w:r w:rsidR="00E817FA" w:rsidRPr="00F55D20">
        <w:rPr>
          <w:rFonts w:hint="eastAsia"/>
          <w:lang w:eastAsia="zh-CN"/>
        </w:rPr>
        <w:t>42</w:t>
      </w:r>
      <w:r w:rsidR="00E817FA">
        <w:rPr>
          <w:lang w:eastAsia="zh-CN"/>
        </w:rPr>
        <w:t>,</w:t>
      </w:r>
      <w:r w:rsidR="00E817FA" w:rsidRPr="00F55D20">
        <w:rPr>
          <w:rFonts w:hint="eastAsia"/>
          <w:lang w:eastAsia="zh-CN"/>
        </w:rPr>
        <w:t>400</w:t>
      </w:r>
      <w:r w:rsidR="00E817FA">
        <w:rPr>
          <w:lang w:eastAsia="zh-CN"/>
        </w:rPr>
        <w:t>,</w:t>
      </w:r>
      <w:r w:rsidR="00E817FA" w:rsidRPr="00F55D20">
        <w:rPr>
          <w:rFonts w:hint="eastAsia"/>
          <w:lang w:eastAsia="zh-CN"/>
        </w:rPr>
        <w:t>000</w:t>
      </w:r>
      <w:r w:rsidR="00E817FA" w:rsidRPr="00F55D20">
        <w:rPr>
          <w:rFonts w:hint="eastAsia"/>
          <w:lang w:eastAsia="zh-CN"/>
        </w:rPr>
        <w:t>瑞郎</w:t>
      </w:r>
      <w:r w:rsidR="00BF540F">
        <w:rPr>
          <w:rFonts w:hint="eastAsia"/>
          <w:lang w:eastAsia="zh-CN"/>
        </w:rPr>
        <w:t>的批准程序</w:t>
      </w:r>
      <w:r w:rsidR="00E817FA" w:rsidRPr="00F55D20">
        <w:rPr>
          <w:rFonts w:hint="eastAsia"/>
          <w:lang w:eastAsia="zh-CN"/>
        </w:rPr>
        <w:t>。</w:t>
      </w:r>
      <w:r w:rsidR="00BF540F" w:rsidRPr="00BF540F">
        <w:rPr>
          <w:rFonts w:hint="eastAsia"/>
          <w:lang w:eastAsia="zh-CN"/>
        </w:rPr>
        <w:t>预计</w:t>
      </w:r>
      <w:r w:rsidR="00E817FA" w:rsidRPr="00F55D20">
        <w:rPr>
          <w:rFonts w:hint="eastAsia"/>
          <w:lang w:eastAsia="zh-CN"/>
        </w:rPr>
        <w:t>资金在</w:t>
      </w:r>
      <w:r w:rsidR="00E817FA" w:rsidRPr="00F55D20">
        <w:rPr>
          <w:rFonts w:hint="eastAsia"/>
          <w:lang w:eastAsia="zh-CN"/>
        </w:rPr>
        <w:t>2021</w:t>
      </w:r>
      <w:r w:rsidR="00E817FA" w:rsidRPr="00F55D20">
        <w:rPr>
          <w:rFonts w:hint="eastAsia"/>
          <w:lang w:eastAsia="zh-CN"/>
        </w:rPr>
        <w:t>年初到位。与此同时，在</w:t>
      </w:r>
      <w:r w:rsidR="00E817FA" w:rsidRPr="00F55D20">
        <w:rPr>
          <w:rFonts w:hint="eastAsia"/>
          <w:lang w:eastAsia="zh-CN"/>
        </w:rPr>
        <w:t>2021</w:t>
      </w:r>
      <w:r w:rsidR="00E817FA" w:rsidRPr="00F55D20">
        <w:rPr>
          <w:rFonts w:hint="eastAsia"/>
          <w:lang w:eastAsia="zh-CN"/>
        </w:rPr>
        <w:t>年</w:t>
      </w:r>
      <w:r w:rsidR="00E817FA" w:rsidRPr="00F55D20">
        <w:rPr>
          <w:rFonts w:hint="eastAsia"/>
          <w:lang w:eastAsia="zh-CN"/>
        </w:rPr>
        <w:t>6</w:t>
      </w:r>
      <w:r w:rsidR="00E817FA" w:rsidRPr="00F55D20">
        <w:rPr>
          <w:rFonts w:hint="eastAsia"/>
          <w:lang w:eastAsia="zh-CN"/>
        </w:rPr>
        <w:t>月之前，东道国贷款</w:t>
      </w:r>
      <w:r w:rsidR="00E817FA">
        <w:rPr>
          <w:rFonts w:hint="eastAsia"/>
          <w:lang w:eastAsia="zh-CN"/>
        </w:rPr>
        <w:t>的</w:t>
      </w:r>
      <w:r w:rsidR="00E817FA" w:rsidRPr="00F55D20">
        <w:rPr>
          <w:rFonts w:hint="eastAsia"/>
          <w:lang w:eastAsia="zh-CN"/>
        </w:rPr>
        <w:t>第一部分资金</w:t>
      </w:r>
      <w:r w:rsidR="00E817FA">
        <w:rPr>
          <w:rFonts w:hint="eastAsia"/>
          <w:lang w:eastAsia="zh-CN"/>
        </w:rPr>
        <w:t>依然</w:t>
      </w:r>
      <w:r w:rsidR="00E817FA" w:rsidRPr="00F55D20">
        <w:rPr>
          <w:rFonts w:hint="eastAsia"/>
          <w:lang w:eastAsia="zh-CN"/>
        </w:rPr>
        <w:t>可</w:t>
      </w:r>
      <w:r w:rsidR="00E817FA">
        <w:rPr>
          <w:rFonts w:hint="eastAsia"/>
          <w:lang w:eastAsia="zh-CN"/>
        </w:rPr>
        <w:t>用</w:t>
      </w:r>
      <w:r w:rsidR="00E817FA" w:rsidRPr="00F55D20">
        <w:rPr>
          <w:rFonts w:hint="eastAsia"/>
          <w:lang w:eastAsia="zh-CN"/>
        </w:rPr>
        <w:t>。</w:t>
      </w:r>
    </w:p>
    <w:p w14:paraId="609FE681" w14:textId="62D21D9A" w:rsidR="00B23A85" w:rsidRPr="00546E94" w:rsidRDefault="00B23A85" w:rsidP="00E66BCC">
      <w:pPr>
        <w:rPr>
          <w:lang w:eastAsia="zh-CN"/>
        </w:rPr>
      </w:pPr>
      <w:r w:rsidRPr="00B23A85">
        <w:rPr>
          <w:rFonts w:eastAsia="Times New Roman"/>
          <w:lang w:eastAsia="zh-CN"/>
        </w:rPr>
        <w:t>2.3.2</w:t>
      </w:r>
      <w:r w:rsidRPr="00B23A85">
        <w:rPr>
          <w:rFonts w:eastAsia="Times New Roman"/>
          <w:lang w:eastAsia="zh-CN"/>
        </w:rPr>
        <w:tab/>
      </w:r>
      <w:r w:rsidR="00546E94" w:rsidRPr="00546E94">
        <w:rPr>
          <w:lang w:eastAsia="zh-CN"/>
        </w:rPr>
        <w:t>自理事会第</w:t>
      </w:r>
      <w:r w:rsidR="00546E94" w:rsidRPr="00546E94">
        <w:rPr>
          <w:lang w:eastAsia="zh-CN"/>
        </w:rPr>
        <w:t>619</w:t>
      </w:r>
      <w:r w:rsidR="00546E94" w:rsidRPr="00546E94">
        <w:rPr>
          <w:lang w:eastAsia="zh-CN"/>
        </w:rPr>
        <w:t>号决定通过以来，没有</w:t>
      </w:r>
      <w:r w:rsidR="00546E94">
        <w:rPr>
          <w:rFonts w:hint="eastAsia"/>
          <w:lang w:eastAsia="zh-CN"/>
        </w:rPr>
        <w:t>更多赞助</w:t>
      </w:r>
      <w:r w:rsidR="00546E94" w:rsidRPr="00546E94">
        <w:rPr>
          <w:lang w:eastAsia="zh-CN"/>
        </w:rPr>
        <w:t>。秘书处认为，第</w:t>
      </w:r>
      <w:r w:rsidR="00546E94" w:rsidRPr="00546E94">
        <w:rPr>
          <w:lang w:eastAsia="zh-CN"/>
        </w:rPr>
        <w:t>619</w:t>
      </w:r>
      <w:r w:rsidR="00546E94" w:rsidRPr="00546E94">
        <w:rPr>
          <w:lang w:eastAsia="zh-CN"/>
        </w:rPr>
        <w:t>号决定中的措辞阻碍了赞助，并希望修订该措辞，以表明额外的赞助和捐赠是可以接受的，即使它们导致项目的直接和</w:t>
      </w:r>
      <w:r w:rsidR="00546E94" w:rsidRPr="00546E94">
        <w:rPr>
          <w:lang w:eastAsia="zh-CN"/>
        </w:rPr>
        <w:t>/</w:t>
      </w:r>
      <w:r w:rsidR="00546E94" w:rsidRPr="00546E94">
        <w:rPr>
          <w:lang w:eastAsia="zh-CN"/>
        </w:rPr>
        <w:t>或间接费用增加，但前提是它们不会增加国际电联的费用。</w:t>
      </w:r>
      <w:r w:rsidR="00546E94" w:rsidRPr="00546E94">
        <w:rPr>
          <w:lang w:eastAsia="zh-CN"/>
        </w:rPr>
        <w:t>MSAG</w:t>
      </w:r>
      <w:r w:rsidR="00546E94" w:rsidRPr="00546E94">
        <w:rPr>
          <w:lang w:eastAsia="zh-CN"/>
        </w:rPr>
        <w:t>认识到制定第</w:t>
      </w:r>
      <w:r w:rsidR="00546E94" w:rsidRPr="00546E94">
        <w:rPr>
          <w:lang w:eastAsia="zh-CN"/>
        </w:rPr>
        <w:t>619</w:t>
      </w:r>
      <w:r w:rsidR="00546E94" w:rsidRPr="00546E94">
        <w:rPr>
          <w:lang w:eastAsia="zh-CN"/>
        </w:rPr>
        <w:t>号决定需要进行微妙的谈判，因此没有</w:t>
      </w:r>
      <w:r w:rsidR="00546E94">
        <w:rPr>
          <w:rFonts w:hint="eastAsia"/>
          <w:lang w:eastAsia="zh-CN"/>
        </w:rPr>
        <w:t>就</w:t>
      </w:r>
      <w:r w:rsidR="00546E94" w:rsidRPr="00546E94">
        <w:rPr>
          <w:lang w:eastAsia="zh-CN"/>
        </w:rPr>
        <w:t>这一请求</w:t>
      </w:r>
      <w:r w:rsidR="00546E94">
        <w:rPr>
          <w:rFonts w:hint="eastAsia"/>
          <w:lang w:eastAsia="zh-CN"/>
        </w:rPr>
        <w:t>得出</w:t>
      </w:r>
      <w:r w:rsidR="00546E94" w:rsidRPr="00546E94">
        <w:rPr>
          <w:lang w:eastAsia="zh-CN"/>
        </w:rPr>
        <w:t>结论，只是</w:t>
      </w:r>
      <w:r w:rsidR="00546E94">
        <w:rPr>
          <w:rFonts w:hint="eastAsia"/>
          <w:lang w:eastAsia="zh-CN"/>
        </w:rPr>
        <w:t>对</w:t>
      </w:r>
      <w:r w:rsidR="00546E94" w:rsidRPr="00546E94">
        <w:rPr>
          <w:lang w:eastAsia="zh-CN"/>
        </w:rPr>
        <w:t>就此事及时达成协议的重要性</w:t>
      </w:r>
      <w:r w:rsidR="00546E94">
        <w:rPr>
          <w:rFonts w:hint="eastAsia"/>
          <w:lang w:eastAsia="zh-CN"/>
        </w:rPr>
        <w:t>表示同意</w:t>
      </w:r>
      <w:r w:rsidR="00546E94" w:rsidRPr="00546E94">
        <w:rPr>
          <w:lang w:eastAsia="zh-CN"/>
        </w:rPr>
        <w:t>，并提醒所有人</w:t>
      </w:r>
      <w:r w:rsidR="00546E94">
        <w:rPr>
          <w:rFonts w:hint="eastAsia"/>
          <w:lang w:eastAsia="zh-CN"/>
        </w:rPr>
        <w:t>捐赠</w:t>
      </w:r>
      <w:r w:rsidR="00546E94" w:rsidRPr="00546E94">
        <w:rPr>
          <w:lang w:eastAsia="zh-CN"/>
        </w:rPr>
        <w:t>不会对费用产生影响。接受影响施工许可的赞助项目的截止日期是</w:t>
      </w:r>
      <w:r w:rsidR="00546E94" w:rsidRPr="00546E94">
        <w:rPr>
          <w:lang w:eastAsia="zh-CN"/>
        </w:rPr>
        <w:t>2021</w:t>
      </w:r>
      <w:r w:rsidR="00546E94" w:rsidRPr="00546E94">
        <w:rPr>
          <w:lang w:eastAsia="zh-CN"/>
        </w:rPr>
        <w:t>年</w:t>
      </w:r>
      <w:r w:rsidR="00546E94" w:rsidRPr="00546E94">
        <w:rPr>
          <w:lang w:eastAsia="zh-CN"/>
        </w:rPr>
        <w:t>1</w:t>
      </w:r>
      <w:r w:rsidR="00546E94" w:rsidRPr="00546E94">
        <w:rPr>
          <w:lang w:eastAsia="zh-CN"/>
        </w:rPr>
        <w:t>月。错过这个日期可能会影响整个项目进度。</w:t>
      </w:r>
    </w:p>
    <w:p w14:paraId="715ADB6C" w14:textId="5B673AD0" w:rsidR="00B23A85" w:rsidRPr="003D1D6F" w:rsidRDefault="00B23A85" w:rsidP="00D92CDC">
      <w:pPr>
        <w:rPr>
          <w:lang w:eastAsia="zh-CN"/>
        </w:rPr>
      </w:pPr>
      <w:r w:rsidRPr="00B23A85">
        <w:rPr>
          <w:rFonts w:eastAsia="Times New Roman"/>
          <w:lang w:eastAsia="zh-CN"/>
        </w:rPr>
        <w:t>2.3.3</w:t>
      </w:r>
      <w:r w:rsidRPr="00B23A85">
        <w:rPr>
          <w:rFonts w:eastAsia="Times New Roman"/>
          <w:lang w:eastAsia="zh-CN"/>
        </w:rPr>
        <w:tab/>
      </w:r>
      <w:bookmarkStart w:id="21" w:name="lt_pId140"/>
      <w:r w:rsidR="00546E94" w:rsidRPr="00546E94">
        <w:rPr>
          <w:lang w:eastAsia="zh-CN"/>
        </w:rPr>
        <w:t>风险登记册已经建立，是总体风险管理战略的一部分，以确定未来方案执行的潜在影响，并为有效分配应急资金提出建议</w:t>
      </w:r>
      <w:r w:rsidR="00546E94" w:rsidRPr="00546E94">
        <w:rPr>
          <w:rFonts w:hint="eastAsia"/>
          <w:lang w:eastAsia="zh-CN"/>
        </w:rPr>
        <w:t>。</w:t>
      </w:r>
      <w:r w:rsidR="00546E94">
        <w:rPr>
          <w:rFonts w:hint="eastAsia"/>
          <w:lang w:eastAsia="zh-CN"/>
        </w:rPr>
        <w:t>应急资金</w:t>
      </w:r>
      <w:bookmarkEnd w:id="21"/>
      <w:r w:rsidR="00E817FA" w:rsidRPr="00F55D20">
        <w:rPr>
          <w:rFonts w:hint="eastAsia"/>
          <w:lang w:val="en-US" w:eastAsia="zh-CN"/>
        </w:rPr>
        <w:t>约占</w:t>
      </w:r>
      <w:r w:rsidR="00E817FA">
        <w:rPr>
          <w:rFonts w:hint="eastAsia"/>
          <w:lang w:val="en-US" w:eastAsia="zh-CN"/>
        </w:rPr>
        <w:t>CFC</w:t>
      </w:r>
      <w:r w:rsidR="00E817FA" w:rsidRPr="00F55D20">
        <w:rPr>
          <w:rFonts w:hint="eastAsia"/>
          <w:lang w:val="en-US" w:eastAsia="zh-CN"/>
        </w:rPr>
        <w:t>预算</w:t>
      </w:r>
      <w:r w:rsidR="00E817FA" w:rsidRPr="00F55D20">
        <w:rPr>
          <w:rFonts w:hint="eastAsia"/>
          <w:lang w:val="en-US" w:eastAsia="zh-CN"/>
        </w:rPr>
        <w:t>1</w:t>
      </w:r>
      <w:r w:rsidR="00E817FA" w:rsidRPr="00F55D20">
        <w:rPr>
          <w:rFonts w:hint="eastAsia"/>
          <w:lang w:val="en-US" w:eastAsia="zh-CN"/>
        </w:rPr>
        <w:t>至</w:t>
      </w:r>
      <w:r w:rsidR="00E817FA" w:rsidRPr="00F55D20">
        <w:rPr>
          <w:rFonts w:hint="eastAsia"/>
          <w:lang w:val="en-US" w:eastAsia="zh-CN"/>
        </w:rPr>
        <w:t>9</w:t>
      </w:r>
      <w:r w:rsidR="00E817FA" w:rsidRPr="00F55D20">
        <w:rPr>
          <w:rFonts w:hint="eastAsia"/>
          <w:lang w:val="en-US" w:eastAsia="zh-CN"/>
        </w:rPr>
        <w:t>的</w:t>
      </w:r>
      <w:r w:rsidR="00E817FA" w:rsidRPr="00F55D20">
        <w:rPr>
          <w:rFonts w:hint="eastAsia"/>
          <w:lang w:val="en-US" w:eastAsia="zh-CN"/>
        </w:rPr>
        <w:t>8%</w:t>
      </w:r>
      <w:r w:rsidR="00E817FA">
        <w:rPr>
          <w:rFonts w:hint="eastAsia"/>
          <w:lang w:val="en-US" w:eastAsia="zh-CN"/>
        </w:rPr>
        <w:t>（</w:t>
      </w:r>
      <w:r w:rsidR="00E817FA" w:rsidRPr="00F55D20">
        <w:rPr>
          <w:rFonts w:hint="eastAsia"/>
          <w:lang w:val="en-US" w:eastAsia="zh-CN"/>
        </w:rPr>
        <w:t>1</w:t>
      </w:r>
      <w:r w:rsidR="00E817FA">
        <w:rPr>
          <w:rFonts w:hint="eastAsia"/>
          <w:lang w:val="en-US" w:eastAsia="zh-CN"/>
        </w:rPr>
        <w:t>,</w:t>
      </w:r>
      <w:r w:rsidR="00E817FA" w:rsidRPr="00F55D20">
        <w:rPr>
          <w:rFonts w:hint="eastAsia"/>
          <w:lang w:val="en-US" w:eastAsia="zh-CN"/>
        </w:rPr>
        <w:t>26</w:t>
      </w:r>
      <w:r w:rsidR="00E817FA">
        <w:rPr>
          <w:rFonts w:hint="eastAsia"/>
          <w:lang w:val="en-US" w:eastAsia="zh-CN"/>
        </w:rPr>
        <w:t>0</w:t>
      </w:r>
      <w:r w:rsidR="00E817FA">
        <w:rPr>
          <w:rFonts w:hint="eastAsia"/>
          <w:lang w:val="en-US" w:eastAsia="zh-CN"/>
        </w:rPr>
        <w:t>万瑞郎）</w:t>
      </w:r>
      <w:r w:rsidR="00E817FA" w:rsidRPr="00F55D20">
        <w:rPr>
          <w:rFonts w:hint="eastAsia"/>
          <w:lang w:val="en-US" w:eastAsia="zh-CN"/>
        </w:rPr>
        <w:t>，</w:t>
      </w:r>
      <w:r w:rsidR="00E817FA">
        <w:rPr>
          <w:rFonts w:hint="eastAsia"/>
          <w:lang w:val="en-US" w:eastAsia="zh-CN"/>
        </w:rPr>
        <w:t>将</w:t>
      </w:r>
      <w:r w:rsidR="00E817FA" w:rsidRPr="00F55D20">
        <w:rPr>
          <w:rFonts w:hint="eastAsia"/>
          <w:lang w:val="en-US" w:eastAsia="zh-CN"/>
        </w:rPr>
        <w:t>必须用于服务未提供和</w:t>
      </w:r>
      <w:r w:rsidR="00E817FA" w:rsidRPr="00F55D20">
        <w:rPr>
          <w:rFonts w:hint="eastAsia"/>
          <w:lang w:val="en-US" w:eastAsia="zh-CN"/>
        </w:rPr>
        <w:t>/</w:t>
      </w:r>
      <w:r w:rsidR="00E817FA" w:rsidRPr="00F55D20">
        <w:rPr>
          <w:rFonts w:hint="eastAsia"/>
          <w:lang w:val="en-US" w:eastAsia="zh-CN"/>
        </w:rPr>
        <w:t>或</w:t>
      </w:r>
      <w:r w:rsidR="00E817FA">
        <w:rPr>
          <w:rFonts w:hint="eastAsia"/>
          <w:lang w:val="en-US" w:eastAsia="zh-CN"/>
        </w:rPr>
        <w:t>因</w:t>
      </w:r>
      <w:r w:rsidR="00E817FA" w:rsidRPr="00F55D20">
        <w:rPr>
          <w:rFonts w:hint="eastAsia"/>
          <w:lang w:val="en-US" w:eastAsia="zh-CN"/>
        </w:rPr>
        <w:t>拆除和施工期间的危险和意外工作导致的意外支出情况。</w:t>
      </w:r>
      <w:r w:rsidR="00E817FA">
        <w:rPr>
          <w:rFonts w:hint="eastAsia"/>
          <w:lang w:val="en-US" w:eastAsia="zh-CN"/>
        </w:rPr>
        <w:t>HILL</w:t>
      </w:r>
      <w:r w:rsidR="00E817FA" w:rsidRPr="00F55D20">
        <w:rPr>
          <w:rFonts w:hint="eastAsia"/>
          <w:lang w:val="en-US" w:eastAsia="zh-CN"/>
        </w:rPr>
        <w:t>国际公司将事先通过一份报告对未预见的服务进行业务和财务分析，</w:t>
      </w:r>
      <w:r w:rsidR="00E817FA">
        <w:rPr>
          <w:rFonts w:hint="eastAsia"/>
          <w:lang w:val="en-US" w:eastAsia="zh-CN"/>
        </w:rPr>
        <w:t>说明</w:t>
      </w:r>
      <w:r w:rsidR="00E817FA" w:rsidRPr="00F55D20">
        <w:rPr>
          <w:rFonts w:hint="eastAsia"/>
          <w:lang w:val="en-US" w:eastAsia="zh-CN"/>
        </w:rPr>
        <w:t>工作的相关性和有效性</w:t>
      </w:r>
      <w:r w:rsidR="00E817FA">
        <w:rPr>
          <w:rFonts w:hint="eastAsia"/>
          <w:lang w:val="en-US" w:eastAsia="zh-CN"/>
        </w:rPr>
        <w:t>的充分理由</w:t>
      </w:r>
      <w:r w:rsidR="00E817FA" w:rsidRPr="00F55D20">
        <w:rPr>
          <w:rFonts w:hint="eastAsia"/>
          <w:lang w:val="en-US" w:eastAsia="zh-CN"/>
        </w:rPr>
        <w:t>，以证明额外干预措施的优点。</w:t>
      </w:r>
      <w:r w:rsidR="00E817FA">
        <w:rPr>
          <w:rFonts w:hint="eastAsia"/>
          <w:lang w:eastAsia="zh-CN"/>
        </w:rPr>
        <w:t>MSAG</w:t>
      </w:r>
      <w:r w:rsidR="00E817FA">
        <w:rPr>
          <w:rFonts w:hint="eastAsia"/>
          <w:lang w:eastAsia="zh-CN"/>
        </w:rPr>
        <w:t>指出，目前拟议的拨款仅为</w:t>
      </w:r>
      <w:r w:rsidR="00E817FA">
        <w:rPr>
          <w:rFonts w:hint="eastAsia"/>
          <w:lang w:eastAsia="zh-CN"/>
        </w:rPr>
        <w:t>50</w:t>
      </w:r>
      <w:r w:rsidR="00E817FA">
        <w:rPr>
          <w:rFonts w:hint="eastAsia"/>
          <w:lang w:eastAsia="zh-CN"/>
        </w:rPr>
        <w:t>万瑞士法郎，该基金无法在可接受的时间框架内达到所需的</w:t>
      </w:r>
      <w:r w:rsidR="00E817FA">
        <w:rPr>
          <w:rFonts w:hint="eastAsia"/>
          <w:lang w:eastAsia="zh-CN"/>
        </w:rPr>
        <w:t>1</w:t>
      </w:r>
      <w:r w:rsidR="00546E94">
        <w:rPr>
          <w:lang w:eastAsia="zh-CN"/>
        </w:rPr>
        <w:t>,</w:t>
      </w:r>
      <w:r w:rsidR="00E817FA">
        <w:rPr>
          <w:rFonts w:hint="eastAsia"/>
          <w:lang w:eastAsia="zh-CN"/>
        </w:rPr>
        <w:t>260</w:t>
      </w:r>
      <w:r w:rsidR="00E817FA">
        <w:rPr>
          <w:rFonts w:hint="eastAsia"/>
          <w:lang w:eastAsia="zh-CN"/>
        </w:rPr>
        <w:t>万瑞郎。</w:t>
      </w:r>
      <w:r w:rsidR="00E817FA">
        <w:rPr>
          <w:rFonts w:hint="eastAsia"/>
          <w:lang w:eastAsia="zh-CN"/>
        </w:rPr>
        <w:t>MSAG</w:t>
      </w:r>
      <w:r w:rsidR="00E817FA">
        <w:rPr>
          <w:rFonts w:hint="eastAsia"/>
          <w:lang w:eastAsia="zh-CN"/>
        </w:rPr>
        <w:t>估计，在</w:t>
      </w:r>
      <w:r w:rsidR="00E817FA">
        <w:rPr>
          <w:rFonts w:hint="eastAsia"/>
          <w:lang w:eastAsia="zh-CN"/>
        </w:rPr>
        <w:t>7</w:t>
      </w:r>
      <w:r w:rsidR="00E817FA">
        <w:rPr>
          <w:rFonts w:hint="eastAsia"/>
          <w:lang w:eastAsia="zh-CN"/>
        </w:rPr>
        <w:t>年项目期限内，平均每年需拨款</w:t>
      </w:r>
      <w:r w:rsidR="00E817FA">
        <w:rPr>
          <w:rFonts w:hint="eastAsia"/>
          <w:lang w:eastAsia="zh-CN"/>
        </w:rPr>
        <w:t>180</w:t>
      </w:r>
      <w:r w:rsidR="00E817FA">
        <w:rPr>
          <w:rFonts w:hint="eastAsia"/>
          <w:lang w:eastAsia="zh-CN"/>
        </w:rPr>
        <w:t>万瑞郎。因此，秘书处提议，</w:t>
      </w:r>
      <w:r w:rsidR="00E817FA" w:rsidRPr="00942D03">
        <w:rPr>
          <w:lang w:eastAsia="zh-CN"/>
        </w:rPr>
        <w:t>离职后健康保</w:t>
      </w:r>
      <w:r w:rsidR="00E817FA" w:rsidRPr="00942D03">
        <w:rPr>
          <w:rFonts w:hint="eastAsia"/>
          <w:lang w:eastAsia="zh-CN"/>
        </w:rPr>
        <w:t>险（</w:t>
      </w:r>
      <w:r w:rsidR="00E817FA">
        <w:rPr>
          <w:rFonts w:hint="eastAsia"/>
          <w:lang w:eastAsia="zh-CN"/>
        </w:rPr>
        <w:t>ASHI</w:t>
      </w:r>
      <w:r w:rsidR="00E817FA">
        <w:rPr>
          <w:rFonts w:hint="eastAsia"/>
          <w:lang w:eastAsia="zh-CN"/>
        </w:rPr>
        <w:t>）基金的缴款应转入风险管控基金，施工结束时留在该账户中的任何资金都将存入</w:t>
      </w:r>
      <w:r w:rsidR="00E817FA">
        <w:rPr>
          <w:rFonts w:hint="eastAsia"/>
          <w:lang w:eastAsia="zh-CN"/>
        </w:rPr>
        <w:t>ASHI</w:t>
      </w:r>
      <w:r w:rsidR="00E817FA">
        <w:rPr>
          <w:rFonts w:hint="eastAsia"/>
          <w:lang w:eastAsia="zh-CN"/>
        </w:rPr>
        <w:t>基金，而非储备金账目。这将需要对第</w:t>
      </w:r>
      <w:r w:rsidR="00E817FA">
        <w:rPr>
          <w:rFonts w:hint="eastAsia"/>
          <w:lang w:eastAsia="zh-CN"/>
        </w:rPr>
        <w:t>619</w:t>
      </w:r>
      <w:r w:rsidR="00E817FA">
        <w:rPr>
          <w:rFonts w:hint="eastAsia"/>
          <w:lang w:eastAsia="zh-CN"/>
        </w:rPr>
        <w:t>号决定进行修正。</w:t>
      </w:r>
      <w:r w:rsidR="003D1D6F" w:rsidRPr="003D1D6F">
        <w:rPr>
          <w:lang w:eastAsia="zh-CN"/>
        </w:rPr>
        <w:t>MSAG</w:t>
      </w:r>
      <w:r w:rsidR="003D1D6F" w:rsidRPr="003D1D6F">
        <w:rPr>
          <w:lang w:eastAsia="zh-CN"/>
        </w:rPr>
        <w:t>内部一致认为，这是一个重要问题，应在理事会</w:t>
      </w:r>
      <w:r w:rsidR="003D1D6F" w:rsidRPr="003D1D6F">
        <w:rPr>
          <w:lang w:eastAsia="zh-CN"/>
        </w:rPr>
        <w:t>20</w:t>
      </w:r>
      <w:r w:rsidR="003D1D6F">
        <w:rPr>
          <w:lang w:eastAsia="zh-CN"/>
        </w:rPr>
        <w:t>20</w:t>
      </w:r>
      <w:r w:rsidR="003D1D6F">
        <w:rPr>
          <w:rFonts w:hint="eastAsia"/>
          <w:lang w:eastAsia="zh-CN"/>
        </w:rPr>
        <w:t>年</w:t>
      </w:r>
      <w:r w:rsidR="003D1D6F" w:rsidRPr="003D1D6F">
        <w:rPr>
          <w:lang w:eastAsia="zh-CN"/>
        </w:rPr>
        <w:t>会议上讨论，</w:t>
      </w:r>
      <w:r w:rsidR="003D1D6F" w:rsidRPr="003D1D6F">
        <w:rPr>
          <w:lang w:eastAsia="zh-CN"/>
        </w:rPr>
        <w:t>MSAG</w:t>
      </w:r>
      <w:r w:rsidR="003D1D6F" w:rsidRPr="003D1D6F">
        <w:rPr>
          <w:lang w:eastAsia="zh-CN"/>
        </w:rPr>
        <w:t>目前无法提供指导。截至</w:t>
      </w:r>
      <w:r w:rsidR="003D1D6F" w:rsidRPr="003D1D6F">
        <w:rPr>
          <w:lang w:eastAsia="zh-CN"/>
        </w:rPr>
        <w:t>2019</w:t>
      </w:r>
      <w:r w:rsidR="003D1D6F" w:rsidRPr="003D1D6F">
        <w:rPr>
          <w:lang w:eastAsia="zh-CN"/>
        </w:rPr>
        <w:t>年</w:t>
      </w:r>
      <w:r w:rsidR="003D1D6F" w:rsidRPr="003D1D6F">
        <w:rPr>
          <w:lang w:eastAsia="zh-CN"/>
        </w:rPr>
        <w:t>12</w:t>
      </w:r>
      <w:r w:rsidR="003D1D6F" w:rsidRPr="003D1D6F">
        <w:rPr>
          <w:lang w:eastAsia="zh-CN"/>
        </w:rPr>
        <w:t>月</w:t>
      </w:r>
      <w:r w:rsidR="003D1D6F" w:rsidRPr="003D1D6F">
        <w:rPr>
          <w:lang w:eastAsia="zh-CN"/>
        </w:rPr>
        <w:t>31</w:t>
      </w:r>
      <w:r w:rsidR="003D1D6F" w:rsidRPr="003D1D6F">
        <w:rPr>
          <w:lang w:eastAsia="zh-CN"/>
        </w:rPr>
        <w:t>日，风险</w:t>
      </w:r>
      <w:r w:rsidR="003D1D6F">
        <w:rPr>
          <w:rFonts w:hint="eastAsia"/>
          <w:lang w:eastAsia="zh-CN"/>
        </w:rPr>
        <w:t>管控</w:t>
      </w:r>
      <w:r w:rsidR="003D1D6F" w:rsidRPr="003D1D6F">
        <w:rPr>
          <w:lang w:eastAsia="zh-CN"/>
        </w:rPr>
        <w:t>基金总额为</w:t>
      </w:r>
      <w:r w:rsidR="003D1D6F" w:rsidRPr="00B23A85">
        <w:rPr>
          <w:rFonts w:eastAsia="Times New Roman"/>
          <w:lang w:eastAsia="zh-CN"/>
        </w:rPr>
        <w:t>1,425,000</w:t>
      </w:r>
      <w:r w:rsidR="003D1D6F" w:rsidRPr="003D1D6F">
        <w:rPr>
          <w:lang w:eastAsia="zh-CN"/>
        </w:rPr>
        <w:t>瑞郎。</w:t>
      </w:r>
    </w:p>
    <w:p w14:paraId="45A0A20A" w14:textId="2248141B" w:rsidR="00B23A85" w:rsidRPr="00B23A85" w:rsidRDefault="00B23A85" w:rsidP="00D92CDC">
      <w:pPr>
        <w:pStyle w:val="Heading2"/>
        <w:rPr>
          <w:rFonts w:asciiTheme="minorHAnsi" w:eastAsia="Times New Roman" w:hAnsiTheme="minorHAnsi" w:cstheme="minorHAnsi"/>
          <w:bCs/>
          <w:lang w:eastAsia="zh-CN"/>
        </w:rPr>
      </w:pPr>
      <w:r w:rsidRPr="00B23A85">
        <w:rPr>
          <w:rFonts w:asciiTheme="minorHAnsi" w:eastAsia="Times New Roman" w:hAnsiTheme="minorHAnsi" w:cstheme="minorHAnsi"/>
          <w:bCs/>
          <w:lang w:eastAsia="zh-CN"/>
        </w:rPr>
        <w:t>2.4</w:t>
      </w:r>
      <w:r w:rsidRPr="00B23A85">
        <w:rPr>
          <w:rFonts w:asciiTheme="minorHAnsi" w:eastAsia="Times New Roman" w:hAnsiTheme="minorHAnsi" w:cstheme="minorHAnsi"/>
          <w:bCs/>
          <w:lang w:eastAsia="zh-CN"/>
        </w:rPr>
        <w:tab/>
      </w:r>
      <w:r w:rsidR="003D1D6F" w:rsidRPr="003D1D6F">
        <w:rPr>
          <w:lang w:eastAsia="zh-CN"/>
        </w:rPr>
        <w:t>施工期间的会议</w:t>
      </w:r>
      <w:r w:rsidR="003D1D6F" w:rsidRPr="003D1D6F">
        <w:rPr>
          <w:rFonts w:hint="eastAsia"/>
          <w:lang w:eastAsia="zh-CN"/>
        </w:rPr>
        <w:t>和大会</w:t>
      </w:r>
    </w:p>
    <w:p w14:paraId="3E753160" w14:textId="29ECB2D2" w:rsidR="00B23A85" w:rsidRPr="00D92CDC" w:rsidRDefault="003D1D6F" w:rsidP="00D92CDC">
      <w:pPr>
        <w:ind w:firstLineChars="200" w:firstLine="480"/>
        <w:rPr>
          <w:lang w:eastAsia="zh-CN"/>
        </w:rPr>
      </w:pPr>
      <w:r w:rsidRPr="003D1D6F">
        <w:rPr>
          <w:lang w:eastAsia="zh-CN"/>
        </w:rPr>
        <w:t>关于在</w:t>
      </w:r>
      <w:proofErr w:type="spellStart"/>
      <w:r w:rsidRPr="00B23A85">
        <w:rPr>
          <w:rFonts w:asciiTheme="minorHAnsi" w:eastAsia="Times New Roman" w:hAnsiTheme="minorHAnsi"/>
          <w:color w:val="000000" w:themeColor="text1"/>
          <w:lang w:eastAsia="zh-CN"/>
        </w:rPr>
        <w:t>Varembé</w:t>
      </w:r>
      <w:proofErr w:type="spellEnd"/>
      <w:r>
        <w:rPr>
          <w:rFonts w:asciiTheme="minorEastAsia" w:eastAsiaTheme="minorEastAsia" w:hAnsiTheme="minorEastAsia" w:hint="eastAsia"/>
          <w:color w:val="000000" w:themeColor="text1"/>
          <w:lang w:eastAsia="zh-CN"/>
        </w:rPr>
        <w:t>楼</w:t>
      </w:r>
      <w:r w:rsidRPr="003D1D6F">
        <w:rPr>
          <w:lang w:eastAsia="zh-CN"/>
        </w:rPr>
        <w:t>拆除和新</w:t>
      </w:r>
      <w:r>
        <w:rPr>
          <w:rFonts w:hint="eastAsia"/>
          <w:lang w:eastAsia="zh-CN"/>
        </w:rPr>
        <w:t>办公楼建设</w:t>
      </w:r>
      <w:r w:rsidRPr="003D1D6F">
        <w:rPr>
          <w:lang w:eastAsia="zh-CN"/>
        </w:rPr>
        <w:t>期间举行</w:t>
      </w:r>
      <w:r>
        <w:rPr>
          <w:rFonts w:hint="eastAsia"/>
          <w:lang w:eastAsia="zh-CN"/>
        </w:rPr>
        <w:t>大会</w:t>
      </w:r>
      <w:r w:rsidRPr="003D1D6F">
        <w:rPr>
          <w:lang w:eastAsia="zh-CN"/>
        </w:rPr>
        <w:t>和重要会议</w:t>
      </w:r>
      <w:r>
        <w:rPr>
          <w:rFonts w:hint="eastAsia"/>
          <w:lang w:eastAsia="zh-CN"/>
        </w:rPr>
        <w:t>的问题</w:t>
      </w:r>
      <w:r w:rsidRPr="003D1D6F">
        <w:rPr>
          <w:lang w:eastAsia="zh-CN"/>
        </w:rPr>
        <w:t>，有必要从国际电</w:t>
      </w:r>
      <w:proofErr w:type="gramStart"/>
      <w:r w:rsidRPr="003D1D6F">
        <w:rPr>
          <w:lang w:eastAsia="zh-CN"/>
        </w:rPr>
        <w:t>联所有</w:t>
      </w:r>
      <w:proofErr w:type="gramEnd"/>
      <w:r w:rsidRPr="003D1D6F">
        <w:rPr>
          <w:lang w:eastAsia="zh-CN"/>
        </w:rPr>
        <w:t>部门获得</w:t>
      </w:r>
      <w:r w:rsidRPr="003D1D6F">
        <w:rPr>
          <w:lang w:eastAsia="zh-CN"/>
        </w:rPr>
        <w:t>2022</w:t>
      </w:r>
      <w:r>
        <w:rPr>
          <w:lang w:eastAsia="zh-CN"/>
        </w:rPr>
        <w:t>年</w:t>
      </w:r>
      <w:r>
        <w:rPr>
          <w:rFonts w:hint="eastAsia"/>
          <w:lang w:eastAsia="zh-CN"/>
        </w:rPr>
        <w:t>中期</w:t>
      </w:r>
      <w:r w:rsidRPr="003D1D6F">
        <w:rPr>
          <w:lang w:eastAsia="zh-CN"/>
        </w:rPr>
        <w:t>至</w:t>
      </w:r>
      <w:r w:rsidRPr="003D1D6F">
        <w:rPr>
          <w:lang w:eastAsia="zh-CN"/>
        </w:rPr>
        <w:t>2026</w:t>
      </w:r>
      <w:r w:rsidRPr="003D1D6F">
        <w:rPr>
          <w:lang w:eastAsia="zh-CN"/>
        </w:rPr>
        <w:t>年的</w:t>
      </w:r>
      <w:r>
        <w:rPr>
          <w:rFonts w:hint="eastAsia"/>
          <w:lang w:eastAsia="zh-CN"/>
        </w:rPr>
        <w:t>会议厅</w:t>
      </w:r>
      <w:r w:rsidRPr="003D1D6F">
        <w:rPr>
          <w:lang w:eastAsia="zh-CN"/>
        </w:rPr>
        <w:t>需求。秘书处一直在与</w:t>
      </w:r>
      <w:r w:rsidRPr="003D1D6F">
        <w:rPr>
          <w:lang w:eastAsia="zh-CN"/>
        </w:rPr>
        <w:t>FIPOI</w:t>
      </w:r>
      <w:r w:rsidRPr="003D1D6F">
        <w:rPr>
          <w:lang w:eastAsia="zh-CN"/>
        </w:rPr>
        <w:t>和</w:t>
      </w:r>
      <w:r w:rsidRPr="003D1D6F">
        <w:rPr>
          <w:lang w:eastAsia="zh-CN"/>
        </w:rPr>
        <w:t>CICG</w:t>
      </w:r>
      <w:r w:rsidRPr="003D1D6F">
        <w:rPr>
          <w:lang w:eastAsia="zh-CN"/>
        </w:rPr>
        <w:t>合作，以便对除</w:t>
      </w:r>
      <w:r>
        <w:rPr>
          <w:rFonts w:asciiTheme="minorHAnsi" w:eastAsia="Times New Roman" w:hAnsiTheme="minorHAnsi"/>
          <w:color w:val="000000" w:themeColor="text1"/>
          <w:lang w:eastAsia="zh-CN"/>
        </w:rPr>
        <w:t>ITU-R</w:t>
      </w:r>
      <w:r>
        <w:rPr>
          <w:rFonts w:asciiTheme="minorEastAsia" w:eastAsiaTheme="minorEastAsia" w:hAnsiTheme="minorEastAsia" w:hint="eastAsia"/>
          <w:color w:val="000000" w:themeColor="text1"/>
          <w:lang w:eastAsia="zh-CN"/>
        </w:rPr>
        <w:t>和</w:t>
      </w:r>
      <w:r w:rsidRPr="003D1D6F">
        <w:rPr>
          <w:rFonts w:asciiTheme="minorHAnsi" w:eastAsia="Times New Roman" w:hAnsiTheme="minorHAnsi"/>
          <w:color w:val="000000" w:themeColor="text1"/>
          <w:lang w:eastAsia="zh-CN"/>
        </w:rPr>
        <w:t>ITU-T</w:t>
      </w:r>
      <w:r w:rsidRPr="003D1D6F">
        <w:rPr>
          <w:lang w:eastAsia="zh-CN"/>
        </w:rPr>
        <w:t>工作组以外的所有请求</w:t>
      </w:r>
      <w:r>
        <w:rPr>
          <w:rFonts w:hint="eastAsia"/>
          <w:lang w:eastAsia="zh-CN"/>
        </w:rPr>
        <w:t>做出</w:t>
      </w:r>
      <w:r w:rsidRPr="003D1D6F">
        <w:rPr>
          <w:lang w:eastAsia="zh-CN"/>
        </w:rPr>
        <w:t>回应，</w:t>
      </w:r>
      <w:r>
        <w:rPr>
          <w:rFonts w:hint="eastAsia"/>
          <w:lang w:eastAsia="zh-CN"/>
        </w:rPr>
        <w:t>这些</w:t>
      </w:r>
      <w:r w:rsidRPr="003D1D6F">
        <w:rPr>
          <w:lang w:eastAsia="zh-CN"/>
        </w:rPr>
        <w:t>工作组的地点尚待决定。秘书处指出，</w:t>
      </w:r>
      <w:r w:rsidRPr="003D1D6F">
        <w:rPr>
          <w:lang w:eastAsia="zh-CN"/>
        </w:rPr>
        <w:t>C20/2</w:t>
      </w:r>
      <w:r w:rsidRPr="003D1D6F">
        <w:rPr>
          <w:lang w:eastAsia="zh-CN"/>
        </w:rPr>
        <w:t>号文件载有理事会</w:t>
      </w:r>
      <w:r w:rsidRPr="003D1D6F">
        <w:rPr>
          <w:lang w:eastAsia="zh-CN"/>
        </w:rPr>
        <w:t>2021</w:t>
      </w:r>
      <w:r w:rsidRPr="003D1D6F">
        <w:rPr>
          <w:lang w:eastAsia="zh-CN"/>
        </w:rPr>
        <w:t>、</w:t>
      </w:r>
      <w:r w:rsidRPr="003D1D6F">
        <w:rPr>
          <w:lang w:eastAsia="zh-CN"/>
        </w:rPr>
        <w:t>2022</w:t>
      </w:r>
      <w:r w:rsidRPr="003D1D6F">
        <w:rPr>
          <w:lang w:eastAsia="zh-CN"/>
        </w:rPr>
        <w:t>、</w:t>
      </w:r>
      <w:r w:rsidRPr="003D1D6F">
        <w:rPr>
          <w:lang w:eastAsia="zh-CN"/>
        </w:rPr>
        <w:t>2023</w:t>
      </w:r>
      <w:r w:rsidRPr="003D1D6F">
        <w:rPr>
          <w:lang w:eastAsia="zh-CN"/>
        </w:rPr>
        <w:t>、</w:t>
      </w:r>
      <w:r w:rsidRPr="003D1D6F">
        <w:rPr>
          <w:lang w:eastAsia="zh-CN"/>
        </w:rPr>
        <w:t>2024</w:t>
      </w:r>
      <w:r w:rsidRPr="003D1D6F">
        <w:rPr>
          <w:lang w:eastAsia="zh-CN"/>
        </w:rPr>
        <w:t>、</w:t>
      </w:r>
      <w:r w:rsidRPr="003D1D6F">
        <w:rPr>
          <w:lang w:eastAsia="zh-CN"/>
        </w:rPr>
        <w:t>2025</w:t>
      </w:r>
      <w:r w:rsidRPr="003D1D6F">
        <w:rPr>
          <w:lang w:eastAsia="zh-CN"/>
        </w:rPr>
        <w:t>和</w:t>
      </w:r>
      <w:r w:rsidRPr="003D1D6F">
        <w:rPr>
          <w:lang w:eastAsia="zh-CN"/>
        </w:rPr>
        <w:t>2026</w:t>
      </w:r>
      <w:r>
        <w:rPr>
          <w:rFonts w:hint="eastAsia"/>
          <w:lang w:eastAsia="zh-CN"/>
        </w:rPr>
        <w:t>年会议以及</w:t>
      </w:r>
      <w:r w:rsidRPr="003D1D6F">
        <w:rPr>
          <w:lang w:eastAsia="zh-CN"/>
        </w:rPr>
        <w:t>CWG2020</w:t>
      </w:r>
      <w:r w:rsidRPr="003D1D6F">
        <w:rPr>
          <w:lang w:eastAsia="zh-CN"/>
        </w:rPr>
        <w:t>年和</w:t>
      </w:r>
      <w:r w:rsidRPr="003D1D6F">
        <w:rPr>
          <w:lang w:eastAsia="zh-CN"/>
        </w:rPr>
        <w:t>2021</w:t>
      </w:r>
      <w:r w:rsidRPr="003D1D6F">
        <w:rPr>
          <w:lang w:eastAsia="zh-CN"/>
        </w:rPr>
        <w:t>年</w:t>
      </w:r>
      <w:r>
        <w:rPr>
          <w:rFonts w:hint="eastAsia"/>
          <w:lang w:eastAsia="zh-CN"/>
        </w:rPr>
        <w:t>集中开会</w:t>
      </w:r>
      <w:r w:rsidRPr="003D1D6F">
        <w:rPr>
          <w:lang w:eastAsia="zh-CN"/>
        </w:rPr>
        <w:t>的拟议日期和会期，</w:t>
      </w:r>
      <w:r w:rsidRPr="003D1D6F">
        <w:rPr>
          <w:lang w:eastAsia="zh-CN"/>
        </w:rPr>
        <w:t>C20/37</w:t>
      </w:r>
      <w:r w:rsidRPr="003D1D6F">
        <w:rPr>
          <w:lang w:eastAsia="zh-CN"/>
        </w:rPr>
        <w:t>号文件提出了</w:t>
      </w:r>
      <w:r w:rsidRPr="003D1D6F">
        <w:rPr>
          <w:lang w:eastAsia="zh-CN"/>
        </w:rPr>
        <w:t>2020</w:t>
      </w:r>
      <w:r w:rsidRPr="003D1D6F">
        <w:rPr>
          <w:lang w:eastAsia="zh-CN"/>
        </w:rPr>
        <w:t>年至</w:t>
      </w:r>
      <w:r w:rsidRPr="003D1D6F">
        <w:rPr>
          <w:lang w:eastAsia="zh-CN"/>
        </w:rPr>
        <w:t>2023</w:t>
      </w:r>
      <w:r w:rsidRPr="003D1D6F">
        <w:rPr>
          <w:lang w:eastAsia="zh-CN"/>
        </w:rPr>
        <w:t>年</w:t>
      </w:r>
      <w:r>
        <w:rPr>
          <w:rFonts w:hint="eastAsia"/>
          <w:lang w:eastAsia="zh-CN"/>
        </w:rPr>
        <w:t>国际电</w:t>
      </w:r>
      <w:proofErr w:type="gramStart"/>
      <w:r>
        <w:rPr>
          <w:rFonts w:hint="eastAsia"/>
          <w:lang w:eastAsia="zh-CN"/>
        </w:rPr>
        <w:t>联</w:t>
      </w:r>
      <w:r w:rsidRPr="003D1D6F">
        <w:rPr>
          <w:lang w:eastAsia="zh-CN"/>
        </w:rPr>
        <w:t>未来</w:t>
      </w:r>
      <w:proofErr w:type="gramEnd"/>
      <w:r>
        <w:rPr>
          <w:rFonts w:hint="eastAsia"/>
          <w:lang w:eastAsia="zh-CN"/>
        </w:rPr>
        <w:t>大会、全会和</w:t>
      </w:r>
      <w:r w:rsidRPr="003D1D6F">
        <w:rPr>
          <w:lang w:eastAsia="zh-CN"/>
        </w:rPr>
        <w:t>会议的拟议时间表</w:t>
      </w:r>
      <w:r w:rsidRPr="003D1D6F">
        <w:rPr>
          <w:rFonts w:hint="eastAsia"/>
          <w:lang w:eastAsia="zh-CN"/>
        </w:rPr>
        <w:t>。</w:t>
      </w:r>
    </w:p>
    <w:p w14:paraId="30F3FE40" w14:textId="27B2A706" w:rsidR="00B23A85" w:rsidRPr="00B23A85" w:rsidRDefault="00B23A85" w:rsidP="00D92CDC">
      <w:pPr>
        <w:pStyle w:val="Heading1"/>
        <w:rPr>
          <w:lang w:eastAsia="zh-CN"/>
        </w:rPr>
      </w:pPr>
      <w:r w:rsidRPr="00B23A85">
        <w:rPr>
          <w:lang w:eastAsia="zh-CN"/>
        </w:rPr>
        <w:lastRenderedPageBreak/>
        <w:t>3</w:t>
      </w:r>
      <w:r w:rsidRPr="00B23A85">
        <w:rPr>
          <w:lang w:eastAsia="zh-CN"/>
        </w:rPr>
        <w:tab/>
      </w:r>
      <w:r w:rsidR="00B068BC">
        <w:rPr>
          <w:rFonts w:asciiTheme="minorEastAsia" w:eastAsiaTheme="minorEastAsia" w:hAnsiTheme="minorEastAsia" w:hint="eastAsia"/>
          <w:lang w:eastAsia="zh-CN"/>
        </w:rPr>
        <w:t>结论</w:t>
      </w:r>
    </w:p>
    <w:p w14:paraId="1B6DB6F1" w14:textId="2CA97534" w:rsidR="00B23A85" w:rsidRPr="00B23A85" w:rsidRDefault="00B068BC" w:rsidP="00D92CDC">
      <w:pPr>
        <w:ind w:firstLineChars="200" w:firstLine="480"/>
        <w:rPr>
          <w:rFonts w:asciiTheme="minorHAnsi" w:eastAsia="Times New Roman" w:hAnsiTheme="minorHAnsi"/>
          <w:lang w:eastAsia="zh-CN"/>
        </w:rPr>
      </w:pPr>
      <w:r>
        <w:rPr>
          <w:rFonts w:hint="eastAsia"/>
          <w:lang w:eastAsia="zh-CN"/>
        </w:rPr>
        <w:t>请理事会审议本报告指出的若干内容：</w:t>
      </w:r>
    </w:p>
    <w:p w14:paraId="5B0FFF49" w14:textId="63124010" w:rsidR="00B23A85" w:rsidRPr="00B23A85" w:rsidRDefault="00D92CDC" w:rsidP="00D92CDC">
      <w:pPr>
        <w:pStyle w:val="enumlev1"/>
        <w:rPr>
          <w:rFonts w:asciiTheme="minorHAnsi" w:eastAsia="Times New Roman" w:hAnsiTheme="minorHAnsi"/>
          <w:lang w:eastAsia="zh-CN"/>
        </w:rPr>
      </w:pPr>
      <w:bookmarkStart w:id="22" w:name="lt_pId156"/>
      <w:r>
        <w:rPr>
          <w:lang w:eastAsia="zh-CN"/>
        </w:rPr>
        <w:t>•</w:t>
      </w:r>
      <w:r>
        <w:rPr>
          <w:lang w:eastAsia="zh-CN"/>
        </w:rPr>
        <w:tab/>
      </w:r>
      <w:r w:rsidR="00B068BC">
        <w:rPr>
          <w:rFonts w:hint="eastAsia"/>
          <w:lang w:eastAsia="zh-CN"/>
        </w:rPr>
        <w:t>塔楼地下室的波波夫厅</w:t>
      </w:r>
      <w:r w:rsidR="00E66BCC">
        <w:rPr>
          <w:rFonts w:ascii="SimSun" w:hAnsi="SimSun" w:cs="SimSun" w:hint="eastAsia"/>
          <w:lang w:eastAsia="zh-CN"/>
        </w:rPr>
        <w:t>（</w:t>
      </w:r>
      <w:r w:rsidR="00B23A85" w:rsidRPr="00B23A85">
        <w:rPr>
          <w:rFonts w:asciiTheme="minorHAnsi" w:eastAsia="Times New Roman" w:hAnsiTheme="minorHAnsi"/>
          <w:lang w:eastAsia="zh-CN"/>
        </w:rPr>
        <w:t>2.1.3</w:t>
      </w:r>
      <w:bookmarkEnd w:id="22"/>
      <w:r w:rsidR="00E66BCC">
        <w:rPr>
          <w:rFonts w:ascii="SimSun" w:hAnsi="SimSun" w:cs="SimSun" w:hint="eastAsia"/>
          <w:lang w:eastAsia="zh-CN"/>
        </w:rPr>
        <w:t>）</w:t>
      </w:r>
    </w:p>
    <w:p w14:paraId="0FC17528" w14:textId="3CC355DC" w:rsidR="00B23A85" w:rsidRPr="00B23A85" w:rsidRDefault="00D92CDC" w:rsidP="00D92CDC">
      <w:pPr>
        <w:pStyle w:val="enumlev1"/>
        <w:rPr>
          <w:rFonts w:asciiTheme="minorHAnsi" w:eastAsia="Times New Roman" w:hAnsiTheme="minorHAnsi"/>
          <w:lang w:eastAsia="zh-CN"/>
        </w:rPr>
      </w:pPr>
      <w:bookmarkStart w:id="23" w:name="lt_pId157"/>
      <w:r>
        <w:rPr>
          <w:lang w:eastAsia="zh-CN"/>
        </w:rPr>
        <w:t>•</w:t>
      </w:r>
      <w:r>
        <w:rPr>
          <w:lang w:eastAsia="zh-CN"/>
        </w:rPr>
        <w:tab/>
      </w:r>
      <w:r w:rsidR="00B068BC">
        <w:rPr>
          <w:rFonts w:hint="eastAsia"/>
          <w:lang w:eastAsia="zh-CN"/>
        </w:rPr>
        <w:t>赞助</w:t>
      </w:r>
      <w:r w:rsidR="00E66BCC">
        <w:rPr>
          <w:rFonts w:ascii="SimSun" w:hAnsi="SimSun" w:cs="SimSun" w:hint="eastAsia"/>
          <w:lang w:eastAsia="zh-CN"/>
        </w:rPr>
        <w:t>（</w:t>
      </w:r>
      <w:r w:rsidR="00B068BC" w:rsidRPr="00B23A85">
        <w:rPr>
          <w:rFonts w:asciiTheme="minorHAnsi" w:eastAsia="Times New Roman" w:hAnsiTheme="minorHAnsi"/>
          <w:lang w:eastAsia="zh-CN"/>
        </w:rPr>
        <w:t>2.3.2</w:t>
      </w:r>
      <w:bookmarkEnd w:id="23"/>
      <w:r w:rsidR="00E66BCC">
        <w:rPr>
          <w:rFonts w:ascii="SimSun" w:hAnsi="SimSun" w:cs="SimSun" w:hint="eastAsia"/>
          <w:lang w:eastAsia="zh-CN"/>
        </w:rPr>
        <w:t>）</w:t>
      </w:r>
    </w:p>
    <w:p w14:paraId="0BB826A6" w14:textId="1C9DA3E7" w:rsidR="00B23A85" w:rsidRPr="00B23A85" w:rsidRDefault="00D92CDC" w:rsidP="00D92CDC">
      <w:pPr>
        <w:pStyle w:val="enumlev1"/>
        <w:rPr>
          <w:rFonts w:asciiTheme="minorHAnsi" w:eastAsia="Times New Roman" w:hAnsiTheme="minorHAnsi"/>
          <w:lang w:eastAsia="zh-CN"/>
        </w:rPr>
      </w:pPr>
      <w:bookmarkStart w:id="24" w:name="lt_pId158"/>
      <w:r>
        <w:rPr>
          <w:lang w:eastAsia="zh-CN"/>
        </w:rPr>
        <w:t>•</w:t>
      </w:r>
      <w:r>
        <w:rPr>
          <w:lang w:eastAsia="zh-CN"/>
        </w:rPr>
        <w:tab/>
      </w:r>
      <w:r w:rsidR="00B068BC">
        <w:rPr>
          <w:rFonts w:hint="eastAsia"/>
          <w:lang w:eastAsia="zh-CN"/>
        </w:rPr>
        <w:t>风险资金</w:t>
      </w:r>
      <w:r w:rsidR="00E66BCC">
        <w:rPr>
          <w:rFonts w:ascii="SimSun" w:hAnsi="SimSun" w:cs="SimSun" w:hint="eastAsia"/>
          <w:lang w:eastAsia="zh-CN"/>
        </w:rPr>
        <w:t>（</w:t>
      </w:r>
      <w:r w:rsidR="00B068BC" w:rsidRPr="00B23A85">
        <w:rPr>
          <w:rFonts w:asciiTheme="minorHAnsi" w:eastAsia="Times New Roman" w:hAnsiTheme="minorHAnsi"/>
          <w:lang w:eastAsia="zh-CN"/>
        </w:rPr>
        <w:t>2.3.3</w:t>
      </w:r>
      <w:bookmarkEnd w:id="24"/>
      <w:r w:rsidR="00E66BCC">
        <w:rPr>
          <w:rFonts w:ascii="SimSun" w:hAnsi="SimSun" w:cs="SimSun" w:hint="eastAsia"/>
          <w:lang w:eastAsia="zh-CN"/>
        </w:rPr>
        <w:t>）</w:t>
      </w:r>
    </w:p>
    <w:p w14:paraId="32AF5ABD" w14:textId="7BDDC947" w:rsidR="00B23A85" w:rsidRPr="00B23A85" w:rsidRDefault="00D92CDC" w:rsidP="00D92CDC">
      <w:pPr>
        <w:pStyle w:val="enumlev1"/>
        <w:rPr>
          <w:rFonts w:asciiTheme="minorHAnsi" w:eastAsia="Times New Roman" w:hAnsiTheme="minorHAnsi"/>
          <w:lang w:eastAsia="zh-CN"/>
        </w:rPr>
      </w:pPr>
      <w:bookmarkStart w:id="25" w:name="lt_pId159"/>
      <w:r>
        <w:rPr>
          <w:lang w:eastAsia="zh-CN"/>
        </w:rPr>
        <w:t>•</w:t>
      </w:r>
      <w:r>
        <w:rPr>
          <w:lang w:eastAsia="zh-CN"/>
        </w:rPr>
        <w:tab/>
      </w:r>
      <w:r w:rsidR="00B068BC">
        <w:rPr>
          <w:rFonts w:hint="eastAsia"/>
          <w:lang w:eastAsia="zh-CN"/>
        </w:rPr>
        <w:t>施工期间的会议和大会</w:t>
      </w:r>
      <w:r w:rsidR="00E66BCC">
        <w:rPr>
          <w:rFonts w:ascii="SimSun" w:hAnsi="SimSun" w:cs="SimSun" w:hint="eastAsia"/>
          <w:lang w:eastAsia="zh-CN"/>
        </w:rPr>
        <w:t>（</w:t>
      </w:r>
      <w:r w:rsidR="00B23A85" w:rsidRPr="00B23A85">
        <w:rPr>
          <w:rFonts w:asciiTheme="minorHAnsi" w:eastAsia="Times New Roman" w:hAnsiTheme="minorHAnsi"/>
          <w:lang w:eastAsia="zh-CN"/>
        </w:rPr>
        <w:t>2.4</w:t>
      </w:r>
      <w:bookmarkEnd w:id="25"/>
      <w:r w:rsidR="00E66BCC">
        <w:rPr>
          <w:rFonts w:ascii="SimSun" w:hAnsi="SimSun" w:cs="SimSun" w:hint="eastAsia"/>
          <w:lang w:eastAsia="zh-CN"/>
        </w:rPr>
        <w:t>）</w:t>
      </w:r>
    </w:p>
    <w:p w14:paraId="23110E2E" w14:textId="067F97FE" w:rsidR="00B23A85" w:rsidRDefault="00B23A85" w:rsidP="00D92CDC">
      <w:pPr>
        <w:ind w:firstLineChars="200" w:firstLine="480"/>
        <w:rPr>
          <w:lang w:eastAsia="zh-CN"/>
        </w:rPr>
      </w:pPr>
      <w:bookmarkStart w:id="26" w:name="lt_pId160"/>
      <w:r w:rsidRPr="00D92CDC">
        <w:rPr>
          <w:lang w:eastAsia="zh-CN"/>
        </w:rPr>
        <w:t>MSAG</w:t>
      </w:r>
      <w:r w:rsidR="00B068BC" w:rsidRPr="00D92CDC">
        <w:rPr>
          <w:rFonts w:hint="eastAsia"/>
          <w:lang w:eastAsia="zh-CN"/>
        </w:rPr>
        <w:t>计划在</w:t>
      </w:r>
      <w:r w:rsidR="00B068BC" w:rsidRPr="00D92CDC">
        <w:rPr>
          <w:rFonts w:hint="eastAsia"/>
          <w:lang w:eastAsia="zh-CN"/>
        </w:rPr>
        <w:t>2020</w:t>
      </w:r>
      <w:r w:rsidR="00B068BC" w:rsidRPr="00D92CDC">
        <w:rPr>
          <w:rFonts w:hint="eastAsia"/>
          <w:lang w:eastAsia="zh-CN"/>
        </w:rPr>
        <w:t>年第</w:t>
      </w:r>
      <w:r w:rsidR="00B068BC" w:rsidRPr="00D92CDC">
        <w:rPr>
          <w:rFonts w:hint="eastAsia"/>
          <w:lang w:eastAsia="zh-CN"/>
        </w:rPr>
        <w:t>3</w:t>
      </w:r>
      <w:r w:rsidR="00B068BC" w:rsidRPr="00D92CDC">
        <w:rPr>
          <w:rFonts w:hint="eastAsia"/>
          <w:lang w:eastAsia="zh-CN"/>
        </w:rPr>
        <w:t>季度初期开会，主要审议风险管控问题。</w:t>
      </w:r>
      <w:bookmarkEnd w:id="26"/>
    </w:p>
    <w:p w14:paraId="31E9131D" w14:textId="77777777" w:rsidR="00B23A85" w:rsidRPr="0072012B" w:rsidRDefault="00B23A85" w:rsidP="00B23A85">
      <w:pPr>
        <w:pStyle w:val="Reasons"/>
        <w:rPr>
          <w:lang w:val="en-US" w:eastAsia="zh-CN"/>
        </w:rPr>
      </w:pPr>
    </w:p>
    <w:p w14:paraId="6ED4D291" w14:textId="6BB98178" w:rsidR="00B23A85" w:rsidRPr="00FE7CFF" w:rsidRDefault="00B23A85" w:rsidP="00B23A85">
      <w:pPr>
        <w:jc w:val="center"/>
      </w:pPr>
      <w:r>
        <w:t>______________</w:t>
      </w:r>
    </w:p>
    <w:sectPr w:rsidR="00B23A85" w:rsidRPr="00FE7CFF" w:rsidSect="006C36CD">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2A492" w14:textId="77777777" w:rsidR="004022EC" w:rsidRDefault="004022EC">
      <w:r>
        <w:separator/>
      </w:r>
    </w:p>
  </w:endnote>
  <w:endnote w:type="continuationSeparator" w:id="0">
    <w:p w14:paraId="5CB55171" w14:textId="77777777" w:rsidR="004022EC" w:rsidRDefault="0040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C2B82" w14:textId="002A46CA" w:rsidR="004022EC" w:rsidRPr="007C5680" w:rsidRDefault="004022EC" w:rsidP="00DC5A19">
    <w:pPr>
      <w:pStyle w:val="Footer"/>
      <w:rPr>
        <w:color w:val="D9D9D9" w:themeColor="background1" w:themeShade="D9"/>
      </w:rPr>
    </w:pPr>
    <w:r w:rsidRPr="007C5680">
      <w:rPr>
        <w:color w:val="D9D9D9" w:themeColor="background1" w:themeShade="D9"/>
      </w:rPr>
      <w:fldChar w:fldCharType="begin"/>
    </w:r>
    <w:r w:rsidRPr="007C5680">
      <w:rPr>
        <w:color w:val="D9D9D9" w:themeColor="background1" w:themeShade="D9"/>
      </w:rPr>
      <w:instrText xml:space="preserve"> FILENAME \p  \* MERGEFORMAT </w:instrText>
    </w:r>
    <w:r w:rsidRPr="007C5680">
      <w:rPr>
        <w:color w:val="D9D9D9" w:themeColor="background1" w:themeShade="D9"/>
      </w:rPr>
      <w:fldChar w:fldCharType="separate"/>
    </w:r>
    <w:r w:rsidR="00D92CDC" w:rsidRPr="007C5680">
      <w:rPr>
        <w:color w:val="D9D9D9" w:themeColor="background1" w:themeShade="D9"/>
      </w:rPr>
      <w:t>P:\CHI\SG\CONSEIL\C20\000\048C.docx</w:t>
    </w:r>
    <w:r w:rsidRPr="007C5680">
      <w:rPr>
        <w:color w:val="D9D9D9" w:themeColor="background1" w:themeShade="D9"/>
      </w:rPr>
      <w:fldChar w:fldCharType="end"/>
    </w:r>
    <w:r w:rsidRPr="007C5680">
      <w:rPr>
        <w:color w:val="D9D9D9" w:themeColor="background1" w:themeShade="D9"/>
      </w:rPr>
      <w:t xml:space="preserve"> (4</w:t>
    </w:r>
    <w:r w:rsidRPr="007C5680">
      <w:rPr>
        <w:rFonts w:hint="eastAsia"/>
        <w:color w:val="D9D9D9" w:themeColor="background1" w:themeShade="D9"/>
        <w:lang w:eastAsia="zh-CN"/>
      </w:rPr>
      <w:t>67360</w:t>
    </w:r>
    <w:r w:rsidRPr="007C5680">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E519" w14:textId="242E6574" w:rsidR="004022EC" w:rsidRPr="007C5680" w:rsidRDefault="004022EC" w:rsidP="007C5680">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AE2FD" w14:textId="77777777" w:rsidR="004022EC" w:rsidRDefault="004022EC">
      <w:r>
        <w:t>____________________</w:t>
      </w:r>
    </w:p>
  </w:footnote>
  <w:footnote w:type="continuationSeparator" w:id="0">
    <w:p w14:paraId="42881224" w14:textId="77777777" w:rsidR="004022EC" w:rsidRDefault="00402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23A2" w14:textId="1F4643B3" w:rsidR="004022EC" w:rsidRDefault="004022EC" w:rsidP="00CE6F22">
    <w:pPr>
      <w:pStyle w:val="Header"/>
    </w:pPr>
    <w:r>
      <w:fldChar w:fldCharType="begin"/>
    </w:r>
    <w:r>
      <w:instrText>PAGE</w:instrText>
    </w:r>
    <w:r>
      <w:fldChar w:fldCharType="separate"/>
    </w:r>
    <w:r w:rsidR="001C3508">
      <w:rPr>
        <w:noProof/>
      </w:rPr>
      <w:t>2</w:t>
    </w:r>
    <w:r>
      <w:rPr>
        <w:noProof/>
      </w:rPr>
      <w:fldChar w:fldCharType="end"/>
    </w:r>
  </w:p>
  <w:p w14:paraId="5478EB05" w14:textId="794627B2" w:rsidR="004022EC" w:rsidRDefault="004022EC" w:rsidP="00D453EE">
    <w:pPr>
      <w:pStyle w:val="Header"/>
      <w:rPr>
        <w:lang w:eastAsia="zh-CN"/>
      </w:rPr>
    </w:pPr>
    <w:r>
      <w:t>C</w:t>
    </w:r>
    <w:r>
      <w:rPr>
        <w:rFonts w:hint="eastAsia"/>
        <w:lang w:eastAsia="zh-CN"/>
      </w:rPr>
      <w:t>20</w:t>
    </w:r>
    <w:r>
      <w:t>/</w:t>
    </w:r>
    <w:r>
      <w:rPr>
        <w:lang w:eastAsia="zh-CN"/>
      </w:rPr>
      <w:t>48</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DA78B5"/>
    <w:multiLevelType w:val="multilevel"/>
    <w:tmpl w:val="0DF8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3692066"/>
    <w:multiLevelType w:val="hybridMultilevel"/>
    <w:tmpl w:val="28745F58"/>
    <w:lvl w:ilvl="0" w:tplc="2170434E">
      <w:start w:val="1"/>
      <w:numFmt w:val="bullet"/>
      <w:lvlText w:val=""/>
      <w:lvlJc w:val="left"/>
      <w:pPr>
        <w:ind w:left="720" w:hanging="360"/>
      </w:pPr>
      <w:rPr>
        <w:rFonts w:ascii="Symbol" w:hAnsi="Symbol" w:hint="default"/>
      </w:rPr>
    </w:lvl>
    <w:lvl w:ilvl="1" w:tplc="5C60673A" w:tentative="1">
      <w:start w:val="1"/>
      <w:numFmt w:val="bullet"/>
      <w:lvlText w:val="o"/>
      <w:lvlJc w:val="left"/>
      <w:pPr>
        <w:ind w:left="1440" w:hanging="360"/>
      </w:pPr>
      <w:rPr>
        <w:rFonts w:ascii="Courier New" w:hAnsi="Courier New" w:cs="Courier New" w:hint="default"/>
      </w:rPr>
    </w:lvl>
    <w:lvl w:ilvl="2" w:tplc="88BAD564" w:tentative="1">
      <w:start w:val="1"/>
      <w:numFmt w:val="bullet"/>
      <w:lvlText w:val=""/>
      <w:lvlJc w:val="left"/>
      <w:pPr>
        <w:ind w:left="2160" w:hanging="360"/>
      </w:pPr>
      <w:rPr>
        <w:rFonts w:ascii="Wingdings" w:hAnsi="Wingdings" w:hint="default"/>
      </w:rPr>
    </w:lvl>
    <w:lvl w:ilvl="3" w:tplc="E13C3E8C" w:tentative="1">
      <w:start w:val="1"/>
      <w:numFmt w:val="bullet"/>
      <w:lvlText w:val=""/>
      <w:lvlJc w:val="left"/>
      <w:pPr>
        <w:ind w:left="2880" w:hanging="360"/>
      </w:pPr>
      <w:rPr>
        <w:rFonts w:ascii="Symbol" w:hAnsi="Symbol" w:hint="default"/>
      </w:rPr>
    </w:lvl>
    <w:lvl w:ilvl="4" w:tplc="D7D828D4" w:tentative="1">
      <w:start w:val="1"/>
      <w:numFmt w:val="bullet"/>
      <w:lvlText w:val="o"/>
      <w:lvlJc w:val="left"/>
      <w:pPr>
        <w:ind w:left="3600" w:hanging="360"/>
      </w:pPr>
      <w:rPr>
        <w:rFonts w:ascii="Courier New" w:hAnsi="Courier New" w:cs="Courier New" w:hint="default"/>
      </w:rPr>
    </w:lvl>
    <w:lvl w:ilvl="5" w:tplc="B692A120" w:tentative="1">
      <w:start w:val="1"/>
      <w:numFmt w:val="bullet"/>
      <w:lvlText w:val=""/>
      <w:lvlJc w:val="left"/>
      <w:pPr>
        <w:ind w:left="4320" w:hanging="360"/>
      </w:pPr>
      <w:rPr>
        <w:rFonts w:ascii="Wingdings" w:hAnsi="Wingdings" w:hint="default"/>
      </w:rPr>
    </w:lvl>
    <w:lvl w:ilvl="6" w:tplc="BA723896" w:tentative="1">
      <w:start w:val="1"/>
      <w:numFmt w:val="bullet"/>
      <w:lvlText w:val=""/>
      <w:lvlJc w:val="left"/>
      <w:pPr>
        <w:ind w:left="5040" w:hanging="360"/>
      </w:pPr>
      <w:rPr>
        <w:rFonts w:ascii="Symbol" w:hAnsi="Symbol" w:hint="default"/>
      </w:rPr>
    </w:lvl>
    <w:lvl w:ilvl="7" w:tplc="466C06B4" w:tentative="1">
      <w:start w:val="1"/>
      <w:numFmt w:val="bullet"/>
      <w:lvlText w:val="o"/>
      <w:lvlJc w:val="left"/>
      <w:pPr>
        <w:ind w:left="5760" w:hanging="360"/>
      </w:pPr>
      <w:rPr>
        <w:rFonts w:ascii="Courier New" w:hAnsi="Courier New" w:cs="Courier New" w:hint="default"/>
      </w:rPr>
    </w:lvl>
    <w:lvl w:ilvl="8" w:tplc="7E82A382"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00"/>
    <w:rsid w:val="00001B77"/>
    <w:rsid w:val="0000517A"/>
    <w:rsid w:val="00031E72"/>
    <w:rsid w:val="000404D2"/>
    <w:rsid w:val="00041872"/>
    <w:rsid w:val="000754AF"/>
    <w:rsid w:val="000853C0"/>
    <w:rsid w:val="00096154"/>
    <w:rsid w:val="000A1C21"/>
    <w:rsid w:val="000A35CE"/>
    <w:rsid w:val="000A6816"/>
    <w:rsid w:val="000B7BCF"/>
    <w:rsid w:val="000D15EA"/>
    <w:rsid w:val="000D3021"/>
    <w:rsid w:val="000F46BC"/>
    <w:rsid w:val="00100D84"/>
    <w:rsid w:val="0011465D"/>
    <w:rsid w:val="00123B0F"/>
    <w:rsid w:val="00124C9D"/>
    <w:rsid w:val="00157773"/>
    <w:rsid w:val="0018251A"/>
    <w:rsid w:val="00190272"/>
    <w:rsid w:val="00190EC0"/>
    <w:rsid w:val="00193244"/>
    <w:rsid w:val="00195C6C"/>
    <w:rsid w:val="00195FED"/>
    <w:rsid w:val="001A4BD6"/>
    <w:rsid w:val="001A6850"/>
    <w:rsid w:val="001B47E6"/>
    <w:rsid w:val="001C3508"/>
    <w:rsid w:val="001D5A18"/>
    <w:rsid w:val="00216471"/>
    <w:rsid w:val="00227034"/>
    <w:rsid w:val="00234185"/>
    <w:rsid w:val="002746B0"/>
    <w:rsid w:val="00280EB8"/>
    <w:rsid w:val="002A6670"/>
    <w:rsid w:val="00303502"/>
    <w:rsid w:val="00315A72"/>
    <w:rsid w:val="00325C25"/>
    <w:rsid w:val="00371417"/>
    <w:rsid w:val="00372C8F"/>
    <w:rsid w:val="0037390E"/>
    <w:rsid w:val="003772A7"/>
    <w:rsid w:val="00380ECE"/>
    <w:rsid w:val="00393DDF"/>
    <w:rsid w:val="00397F55"/>
    <w:rsid w:val="003B361F"/>
    <w:rsid w:val="003B4454"/>
    <w:rsid w:val="003B48CD"/>
    <w:rsid w:val="003C2E37"/>
    <w:rsid w:val="003D1D6F"/>
    <w:rsid w:val="003E0430"/>
    <w:rsid w:val="003F1415"/>
    <w:rsid w:val="003F2DEA"/>
    <w:rsid w:val="0040144C"/>
    <w:rsid w:val="00401C5F"/>
    <w:rsid w:val="004022EC"/>
    <w:rsid w:val="00403EB7"/>
    <w:rsid w:val="00407720"/>
    <w:rsid w:val="00430BF0"/>
    <w:rsid w:val="00464A95"/>
    <w:rsid w:val="004672E6"/>
    <w:rsid w:val="00474ED1"/>
    <w:rsid w:val="004879BC"/>
    <w:rsid w:val="00493085"/>
    <w:rsid w:val="0049731D"/>
    <w:rsid w:val="004A19C6"/>
    <w:rsid w:val="004A2E00"/>
    <w:rsid w:val="004A36EC"/>
    <w:rsid w:val="004D163F"/>
    <w:rsid w:val="004E4BFF"/>
    <w:rsid w:val="004F2598"/>
    <w:rsid w:val="005129F1"/>
    <w:rsid w:val="005403F7"/>
    <w:rsid w:val="00540632"/>
    <w:rsid w:val="00541CF4"/>
    <w:rsid w:val="005451E8"/>
    <w:rsid w:val="00546E94"/>
    <w:rsid w:val="005507F2"/>
    <w:rsid w:val="00554315"/>
    <w:rsid w:val="005759CC"/>
    <w:rsid w:val="00590029"/>
    <w:rsid w:val="005A5F7E"/>
    <w:rsid w:val="005A72E1"/>
    <w:rsid w:val="005A7C42"/>
    <w:rsid w:val="005C6632"/>
    <w:rsid w:val="005D1C9E"/>
    <w:rsid w:val="005D4427"/>
    <w:rsid w:val="00610387"/>
    <w:rsid w:val="006156AF"/>
    <w:rsid w:val="006424F9"/>
    <w:rsid w:val="006523A2"/>
    <w:rsid w:val="00652562"/>
    <w:rsid w:val="00654257"/>
    <w:rsid w:val="0065435A"/>
    <w:rsid w:val="00662893"/>
    <w:rsid w:val="00690D1B"/>
    <w:rsid w:val="00695949"/>
    <w:rsid w:val="006A2DD3"/>
    <w:rsid w:val="006A5AF8"/>
    <w:rsid w:val="006C36CD"/>
    <w:rsid w:val="006D4FF1"/>
    <w:rsid w:val="006E01D5"/>
    <w:rsid w:val="00700D1F"/>
    <w:rsid w:val="0072012B"/>
    <w:rsid w:val="007205CB"/>
    <w:rsid w:val="00726073"/>
    <w:rsid w:val="00730A41"/>
    <w:rsid w:val="00734FE8"/>
    <w:rsid w:val="007360CE"/>
    <w:rsid w:val="007403F1"/>
    <w:rsid w:val="00743138"/>
    <w:rsid w:val="00772315"/>
    <w:rsid w:val="00775157"/>
    <w:rsid w:val="007813AE"/>
    <w:rsid w:val="00791A5B"/>
    <w:rsid w:val="007A37DB"/>
    <w:rsid w:val="007A72D0"/>
    <w:rsid w:val="007B6149"/>
    <w:rsid w:val="007C5680"/>
    <w:rsid w:val="007E189D"/>
    <w:rsid w:val="008043FA"/>
    <w:rsid w:val="00811259"/>
    <w:rsid w:val="00813AA2"/>
    <w:rsid w:val="008173A3"/>
    <w:rsid w:val="0086059C"/>
    <w:rsid w:val="00864589"/>
    <w:rsid w:val="00890AFB"/>
    <w:rsid w:val="00890FC4"/>
    <w:rsid w:val="00895905"/>
    <w:rsid w:val="00895D7E"/>
    <w:rsid w:val="008D03E7"/>
    <w:rsid w:val="008E3FD1"/>
    <w:rsid w:val="009164A9"/>
    <w:rsid w:val="009258CB"/>
    <w:rsid w:val="0093362E"/>
    <w:rsid w:val="00944563"/>
    <w:rsid w:val="00953160"/>
    <w:rsid w:val="009610D4"/>
    <w:rsid w:val="009625D8"/>
    <w:rsid w:val="0098459B"/>
    <w:rsid w:val="00997185"/>
    <w:rsid w:val="009C1070"/>
    <w:rsid w:val="009C2458"/>
    <w:rsid w:val="009C4A7B"/>
    <w:rsid w:val="009C6123"/>
    <w:rsid w:val="009C767F"/>
    <w:rsid w:val="009E415A"/>
    <w:rsid w:val="009F09F9"/>
    <w:rsid w:val="009F1E3E"/>
    <w:rsid w:val="009F5D86"/>
    <w:rsid w:val="00A1213C"/>
    <w:rsid w:val="00A272FF"/>
    <w:rsid w:val="00A30529"/>
    <w:rsid w:val="00A30984"/>
    <w:rsid w:val="00A43406"/>
    <w:rsid w:val="00A436F8"/>
    <w:rsid w:val="00A4486D"/>
    <w:rsid w:val="00A5354B"/>
    <w:rsid w:val="00A71B57"/>
    <w:rsid w:val="00A7298E"/>
    <w:rsid w:val="00AB42C1"/>
    <w:rsid w:val="00AC516F"/>
    <w:rsid w:val="00AE2926"/>
    <w:rsid w:val="00AF03F9"/>
    <w:rsid w:val="00B00678"/>
    <w:rsid w:val="00B0184B"/>
    <w:rsid w:val="00B01BDE"/>
    <w:rsid w:val="00B035CD"/>
    <w:rsid w:val="00B068BC"/>
    <w:rsid w:val="00B0769D"/>
    <w:rsid w:val="00B12496"/>
    <w:rsid w:val="00B177C1"/>
    <w:rsid w:val="00B217F8"/>
    <w:rsid w:val="00B23A85"/>
    <w:rsid w:val="00B332EA"/>
    <w:rsid w:val="00B40A53"/>
    <w:rsid w:val="00B45365"/>
    <w:rsid w:val="00B46A65"/>
    <w:rsid w:val="00B47614"/>
    <w:rsid w:val="00B51D69"/>
    <w:rsid w:val="00B543DE"/>
    <w:rsid w:val="00B60184"/>
    <w:rsid w:val="00B62D20"/>
    <w:rsid w:val="00B81D61"/>
    <w:rsid w:val="00B81E75"/>
    <w:rsid w:val="00BA2372"/>
    <w:rsid w:val="00BD1A5A"/>
    <w:rsid w:val="00BD7A9B"/>
    <w:rsid w:val="00BD7BE1"/>
    <w:rsid w:val="00BF416B"/>
    <w:rsid w:val="00BF540F"/>
    <w:rsid w:val="00C64E4E"/>
    <w:rsid w:val="00C66E64"/>
    <w:rsid w:val="00C761A0"/>
    <w:rsid w:val="00C77FA1"/>
    <w:rsid w:val="00C80FDB"/>
    <w:rsid w:val="00C85F7E"/>
    <w:rsid w:val="00C90D53"/>
    <w:rsid w:val="00C9144A"/>
    <w:rsid w:val="00CC2A39"/>
    <w:rsid w:val="00CC3B24"/>
    <w:rsid w:val="00CD03BF"/>
    <w:rsid w:val="00CD38DD"/>
    <w:rsid w:val="00CD47F0"/>
    <w:rsid w:val="00CD5566"/>
    <w:rsid w:val="00CD64D7"/>
    <w:rsid w:val="00CE6F22"/>
    <w:rsid w:val="00CF41F6"/>
    <w:rsid w:val="00CF7D3E"/>
    <w:rsid w:val="00D02B4E"/>
    <w:rsid w:val="00D04603"/>
    <w:rsid w:val="00D06738"/>
    <w:rsid w:val="00D076C1"/>
    <w:rsid w:val="00D21F11"/>
    <w:rsid w:val="00D31C6D"/>
    <w:rsid w:val="00D36817"/>
    <w:rsid w:val="00D453EE"/>
    <w:rsid w:val="00D5666C"/>
    <w:rsid w:val="00D666BC"/>
    <w:rsid w:val="00D72350"/>
    <w:rsid w:val="00D83542"/>
    <w:rsid w:val="00D92CDC"/>
    <w:rsid w:val="00D92F45"/>
    <w:rsid w:val="00D94637"/>
    <w:rsid w:val="00D9725C"/>
    <w:rsid w:val="00DA0906"/>
    <w:rsid w:val="00DA7006"/>
    <w:rsid w:val="00DC5A19"/>
    <w:rsid w:val="00DC6427"/>
    <w:rsid w:val="00DD66A1"/>
    <w:rsid w:val="00DE196D"/>
    <w:rsid w:val="00DF6B49"/>
    <w:rsid w:val="00E067C5"/>
    <w:rsid w:val="00E265BF"/>
    <w:rsid w:val="00E30F27"/>
    <w:rsid w:val="00E32EFA"/>
    <w:rsid w:val="00E378D8"/>
    <w:rsid w:val="00E43A12"/>
    <w:rsid w:val="00E60135"/>
    <w:rsid w:val="00E66BCC"/>
    <w:rsid w:val="00E67C67"/>
    <w:rsid w:val="00E77476"/>
    <w:rsid w:val="00E776C1"/>
    <w:rsid w:val="00E817FA"/>
    <w:rsid w:val="00E8228B"/>
    <w:rsid w:val="00E93CB9"/>
    <w:rsid w:val="00ED6C5F"/>
    <w:rsid w:val="00EE5706"/>
    <w:rsid w:val="00EF2255"/>
    <w:rsid w:val="00EF373D"/>
    <w:rsid w:val="00F11595"/>
    <w:rsid w:val="00F13BC9"/>
    <w:rsid w:val="00F357B2"/>
    <w:rsid w:val="00F36556"/>
    <w:rsid w:val="00F46293"/>
    <w:rsid w:val="00F669AC"/>
    <w:rsid w:val="00F705DF"/>
    <w:rsid w:val="00F70622"/>
    <w:rsid w:val="00F808FE"/>
    <w:rsid w:val="00F85624"/>
    <w:rsid w:val="00F87C05"/>
    <w:rsid w:val="00F93191"/>
    <w:rsid w:val="00F93A17"/>
    <w:rsid w:val="00FA2AF6"/>
    <w:rsid w:val="00FB073D"/>
    <w:rsid w:val="00FB23D7"/>
    <w:rsid w:val="00FB4865"/>
    <w:rsid w:val="00FB771F"/>
    <w:rsid w:val="00FC5386"/>
    <w:rsid w:val="00FF41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0ADFCB"/>
  <w15:docId w15:val="{89B6A127-9B29-42BA-AD44-3BE4987C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DC5A19"/>
    <w:pPr>
      <w:keepNext/>
      <w:overflowPunct/>
      <w:autoSpaceDE/>
      <w:autoSpaceDN/>
      <w:adjustRightInd/>
      <w:spacing w:before="560" w:after="120"/>
      <w:jc w:val="center"/>
      <w:textAlignment w:val="auto"/>
    </w:pPr>
    <w:rPr>
      <w:rFonts w:ascii="Times New Roman" w:eastAsia="Times New Roman" w:hAnsi="Times New Roman"/>
      <w:caps/>
    </w:rPr>
  </w:style>
  <w:style w:type="table" w:customStyle="1" w:styleId="TableNormal1">
    <w:name w:val="Table Normal1"/>
    <w:uiPriority w:val="2"/>
    <w:semiHidden/>
    <w:unhideWhenUsed/>
    <w:qFormat/>
    <w:rsid w:val="009610D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610D4"/>
    <w:pPr>
      <w:widowControl w:val="0"/>
      <w:tabs>
        <w:tab w:val="clear" w:pos="794"/>
        <w:tab w:val="clear" w:pos="1191"/>
        <w:tab w:val="clear" w:pos="1588"/>
        <w:tab w:val="clear" w:pos="1985"/>
      </w:tabs>
      <w:overflowPunct/>
      <w:adjustRightInd/>
      <w:spacing w:before="0"/>
      <w:textAlignment w:val="auto"/>
    </w:pPr>
    <w:rPr>
      <w:rFonts w:eastAsia="Calibri" w:cs="Calibri"/>
      <w:sz w:val="22"/>
      <w:szCs w:val="22"/>
      <w:lang w:val="en-US"/>
    </w:rPr>
  </w:style>
  <w:style w:type="table" w:customStyle="1" w:styleId="TableGrid1">
    <w:name w:val="Table Grid1"/>
    <w:basedOn w:val="TableNormal"/>
    <w:next w:val="TableGrid"/>
    <w:uiPriority w:val="39"/>
    <w:rsid w:val="00B23A85"/>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F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29315206">
      <w:bodyDiv w:val="1"/>
      <w:marLeft w:val="0"/>
      <w:marRight w:val="0"/>
      <w:marTop w:val="0"/>
      <w:marBottom w:val="0"/>
      <w:divBdr>
        <w:top w:val="none" w:sz="0" w:space="0" w:color="auto"/>
        <w:left w:val="none" w:sz="0" w:space="0" w:color="auto"/>
        <w:bottom w:val="none" w:sz="0" w:space="0" w:color="auto"/>
        <w:right w:val="none" w:sz="0" w:space="0" w:color="auto"/>
      </w:divBdr>
      <w:divsChild>
        <w:div w:id="1139568468">
          <w:marLeft w:val="0"/>
          <w:marRight w:val="0"/>
          <w:marTop w:val="0"/>
          <w:marBottom w:val="1200"/>
          <w:divBdr>
            <w:top w:val="none" w:sz="0" w:space="0" w:color="auto"/>
            <w:left w:val="none" w:sz="0" w:space="0" w:color="auto"/>
            <w:bottom w:val="none" w:sz="0" w:space="0" w:color="auto"/>
            <w:right w:val="none" w:sz="0" w:space="0" w:color="auto"/>
          </w:divBdr>
          <w:divsChild>
            <w:div w:id="808401208">
              <w:marLeft w:val="0"/>
              <w:marRight w:val="0"/>
              <w:marTop w:val="525"/>
              <w:marBottom w:val="0"/>
              <w:divBdr>
                <w:top w:val="none" w:sz="0" w:space="0" w:color="auto"/>
                <w:left w:val="none" w:sz="0" w:space="0" w:color="auto"/>
                <w:bottom w:val="none" w:sz="0" w:space="0" w:color="auto"/>
                <w:right w:val="none" w:sz="0" w:space="0" w:color="auto"/>
              </w:divBdr>
              <w:divsChild>
                <w:div w:id="1117215061">
                  <w:marLeft w:val="0"/>
                  <w:marRight w:val="0"/>
                  <w:marTop w:val="0"/>
                  <w:marBottom w:val="0"/>
                  <w:divBdr>
                    <w:top w:val="none" w:sz="0" w:space="0" w:color="auto"/>
                    <w:left w:val="none" w:sz="0" w:space="0" w:color="auto"/>
                    <w:bottom w:val="none" w:sz="0" w:space="0" w:color="auto"/>
                    <w:right w:val="none" w:sz="0" w:space="0" w:color="auto"/>
                  </w:divBdr>
                  <w:divsChild>
                    <w:div w:id="125085015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359746698">
      <w:bodyDiv w:val="1"/>
      <w:marLeft w:val="0"/>
      <w:marRight w:val="0"/>
      <w:marTop w:val="0"/>
      <w:marBottom w:val="0"/>
      <w:divBdr>
        <w:top w:val="none" w:sz="0" w:space="0" w:color="auto"/>
        <w:left w:val="none" w:sz="0" w:space="0" w:color="auto"/>
        <w:bottom w:val="none" w:sz="0" w:space="0" w:color="auto"/>
        <w:right w:val="none" w:sz="0" w:space="0" w:color="auto"/>
      </w:divBdr>
      <w:divsChild>
        <w:div w:id="1076440551">
          <w:marLeft w:val="0"/>
          <w:marRight w:val="0"/>
          <w:marTop w:val="0"/>
          <w:marBottom w:val="1200"/>
          <w:divBdr>
            <w:top w:val="none" w:sz="0" w:space="0" w:color="auto"/>
            <w:left w:val="none" w:sz="0" w:space="0" w:color="auto"/>
            <w:bottom w:val="none" w:sz="0" w:space="0" w:color="auto"/>
            <w:right w:val="none" w:sz="0" w:space="0" w:color="auto"/>
          </w:divBdr>
          <w:divsChild>
            <w:div w:id="625894382">
              <w:marLeft w:val="0"/>
              <w:marRight w:val="0"/>
              <w:marTop w:val="525"/>
              <w:marBottom w:val="0"/>
              <w:divBdr>
                <w:top w:val="none" w:sz="0" w:space="0" w:color="auto"/>
                <w:left w:val="none" w:sz="0" w:space="0" w:color="auto"/>
                <w:bottom w:val="none" w:sz="0" w:space="0" w:color="auto"/>
                <w:right w:val="none" w:sz="0" w:space="0" w:color="auto"/>
              </w:divBdr>
              <w:divsChild>
                <w:div w:id="769814413">
                  <w:marLeft w:val="0"/>
                  <w:marRight w:val="0"/>
                  <w:marTop w:val="0"/>
                  <w:marBottom w:val="0"/>
                  <w:divBdr>
                    <w:top w:val="none" w:sz="0" w:space="0" w:color="auto"/>
                    <w:left w:val="none" w:sz="0" w:space="0" w:color="auto"/>
                    <w:bottom w:val="none" w:sz="0" w:space="0" w:color="auto"/>
                    <w:right w:val="none" w:sz="0" w:space="0" w:color="auto"/>
                  </w:divBdr>
                  <w:divsChild>
                    <w:div w:id="132324128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22811559">
      <w:bodyDiv w:val="1"/>
      <w:marLeft w:val="0"/>
      <w:marRight w:val="0"/>
      <w:marTop w:val="0"/>
      <w:marBottom w:val="0"/>
      <w:divBdr>
        <w:top w:val="none" w:sz="0" w:space="0" w:color="auto"/>
        <w:left w:val="none" w:sz="0" w:space="0" w:color="auto"/>
        <w:bottom w:val="none" w:sz="0" w:space="0" w:color="auto"/>
        <w:right w:val="none" w:sz="0" w:space="0" w:color="auto"/>
      </w:divBdr>
      <w:divsChild>
        <w:div w:id="1252852063">
          <w:marLeft w:val="0"/>
          <w:marRight w:val="0"/>
          <w:marTop w:val="0"/>
          <w:marBottom w:val="1200"/>
          <w:divBdr>
            <w:top w:val="none" w:sz="0" w:space="0" w:color="auto"/>
            <w:left w:val="none" w:sz="0" w:space="0" w:color="auto"/>
            <w:bottom w:val="none" w:sz="0" w:space="0" w:color="auto"/>
            <w:right w:val="none" w:sz="0" w:space="0" w:color="auto"/>
          </w:divBdr>
          <w:divsChild>
            <w:div w:id="1153831999">
              <w:marLeft w:val="0"/>
              <w:marRight w:val="0"/>
              <w:marTop w:val="525"/>
              <w:marBottom w:val="0"/>
              <w:divBdr>
                <w:top w:val="none" w:sz="0" w:space="0" w:color="auto"/>
                <w:left w:val="none" w:sz="0" w:space="0" w:color="auto"/>
                <w:bottom w:val="none" w:sz="0" w:space="0" w:color="auto"/>
                <w:right w:val="none" w:sz="0" w:space="0" w:color="auto"/>
              </w:divBdr>
              <w:divsChild>
                <w:div w:id="739059500">
                  <w:marLeft w:val="0"/>
                  <w:marRight w:val="0"/>
                  <w:marTop w:val="0"/>
                  <w:marBottom w:val="0"/>
                  <w:divBdr>
                    <w:top w:val="none" w:sz="0" w:space="0" w:color="auto"/>
                    <w:left w:val="none" w:sz="0" w:space="0" w:color="auto"/>
                    <w:bottom w:val="none" w:sz="0" w:space="0" w:color="auto"/>
                    <w:right w:val="none" w:sz="0" w:space="0" w:color="auto"/>
                  </w:divBdr>
                  <w:divsChild>
                    <w:div w:id="132955324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27149083">
      <w:bodyDiv w:val="1"/>
      <w:marLeft w:val="0"/>
      <w:marRight w:val="0"/>
      <w:marTop w:val="0"/>
      <w:marBottom w:val="0"/>
      <w:divBdr>
        <w:top w:val="none" w:sz="0" w:space="0" w:color="auto"/>
        <w:left w:val="none" w:sz="0" w:space="0" w:color="auto"/>
        <w:bottom w:val="none" w:sz="0" w:space="0" w:color="auto"/>
        <w:right w:val="none" w:sz="0" w:space="0" w:color="auto"/>
      </w:divBdr>
      <w:divsChild>
        <w:div w:id="1298490706">
          <w:marLeft w:val="0"/>
          <w:marRight w:val="0"/>
          <w:marTop w:val="0"/>
          <w:marBottom w:val="1200"/>
          <w:divBdr>
            <w:top w:val="none" w:sz="0" w:space="0" w:color="auto"/>
            <w:left w:val="none" w:sz="0" w:space="0" w:color="auto"/>
            <w:bottom w:val="none" w:sz="0" w:space="0" w:color="auto"/>
            <w:right w:val="none" w:sz="0" w:space="0" w:color="auto"/>
          </w:divBdr>
          <w:divsChild>
            <w:div w:id="344133818">
              <w:marLeft w:val="0"/>
              <w:marRight w:val="0"/>
              <w:marTop w:val="525"/>
              <w:marBottom w:val="0"/>
              <w:divBdr>
                <w:top w:val="none" w:sz="0" w:space="0" w:color="auto"/>
                <w:left w:val="none" w:sz="0" w:space="0" w:color="auto"/>
                <w:bottom w:val="none" w:sz="0" w:space="0" w:color="auto"/>
                <w:right w:val="none" w:sz="0" w:space="0" w:color="auto"/>
              </w:divBdr>
              <w:divsChild>
                <w:div w:id="181357203">
                  <w:marLeft w:val="0"/>
                  <w:marRight w:val="0"/>
                  <w:marTop w:val="0"/>
                  <w:marBottom w:val="0"/>
                  <w:divBdr>
                    <w:top w:val="none" w:sz="0" w:space="0" w:color="auto"/>
                    <w:left w:val="none" w:sz="0" w:space="0" w:color="auto"/>
                    <w:bottom w:val="none" w:sz="0" w:space="0" w:color="auto"/>
                    <w:right w:val="none" w:sz="0" w:space="0" w:color="auto"/>
                  </w:divBdr>
                  <w:divsChild>
                    <w:div w:id="203530465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0818292">
      <w:bodyDiv w:val="1"/>
      <w:marLeft w:val="0"/>
      <w:marRight w:val="0"/>
      <w:marTop w:val="0"/>
      <w:marBottom w:val="0"/>
      <w:divBdr>
        <w:top w:val="none" w:sz="0" w:space="0" w:color="auto"/>
        <w:left w:val="none" w:sz="0" w:space="0" w:color="auto"/>
        <w:bottom w:val="none" w:sz="0" w:space="0" w:color="auto"/>
        <w:right w:val="none" w:sz="0" w:space="0" w:color="auto"/>
      </w:divBdr>
      <w:divsChild>
        <w:div w:id="1744332325">
          <w:marLeft w:val="0"/>
          <w:marRight w:val="0"/>
          <w:marTop w:val="0"/>
          <w:marBottom w:val="1200"/>
          <w:divBdr>
            <w:top w:val="none" w:sz="0" w:space="0" w:color="auto"/>
            <w:left w:val="none" w:sz="0" w:space="0" w:color="auto"/>
            <w:bottom w:val="none" w:sz="0" w:space="0" w:color="auto"/>
            <w:right w:val="none" w:sz="0" w:space="0" w:color="auto"/>
          </w:divBdr>
          <w:divsChild>
            <w:div w:id="60107345">
              <w:marLeft w:val="0"/>
              <w:marRight w:val="0"/>
              <w:marTop w:val="525"/>
              <w:marBottom w:val="0"/>
              <w:divBdr>
                <w:top w:val="none" w:sz="0" w:space="0" w:color="auto"/>
                <w:left w:val="none" w:sz="0" w:space="0" w:color="auto"/>
                <w:bottom w:val="none" w:sz="0" w:space="0" w:color="auto"/>
                <w:right w:val="none" w:sz="0" w:space="0" w:color="auto"/>
              </w:divBdr>
              <w:divsChild>
                <w:div w:id="230821435">
                  <w:marLeft w:val="0"/>
                  <w:marRight w:val="0"/>
                  <w:marTop w:val="0"/>
                  <w:marBottom w:val="0"/>
                  <w:divBdr>
                    <w:top w:val="none" w:sz="0" w:space="0" w:color="auto"/>
                    <w:left w:val="none" w:sz="0" w:space="0" w:color="auto"/>
                    <w:bottom w:val="none" w:sz="0" w:space="0" w:color="auto"/>
                    <w:right w:val="none" w:sz="0" w:space="0" w:color="auto"/>
                  </w:divBdr>
                  <w:divsChild>
                    <w:div w:id="118621608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107114402">
      <w:bodyDiv w:val="1"/>
      <w:marLeft w:val="0"/>
      <w:marRight w:val="0"/>
      <w:marTop w:val="0"/>
      <w:marBottom w:val="0"/>
      <w:divBdr>
        <w:top w:val="none" w:sz="0" w:space="0" w:color="auto"/>
        <w:left w:val="none" w:sz="0" w:space="0" w:color="auto"/>
        <w:bottom w:val="none" w:sz="0" w:space="0" w:color="auto"/>
        <w:right w:val="none" w:sz="0" w:space="0" w:color="auto"/>
      </w:divBdr>
      <w:divsChild>
        <w:div w:id="1528593999">
          <w:marLeft w:val="0"/>
          <w:marRight w:val="0"/>
          <w:marTop w:val="0"/>
          <w:marBottom w:val="1200"/>
          <w:divBdr>
            <w:top w:val="none" w:sz="0" w:space="0" w:color="auto"/>
            <w:left w:val="none" w:sz="0" w:space="0" w:color="auto"/>
            <w:bottom w:val="none" w:sz="0" w:space="0" w:color="auto"/>
            <w:right w:val="none" w:sz="0" w:space="0" w:color="auto"/>
          </w:divBdr>
          <w:divsChild>
            <w:div w:id="482047060">
              <w:marLeft w:val="0"/>
              <w:marRight w:val="0"/>
              <w:marTop w:val="525"/>
              <w:marBottom w:val="0"/>
              <w:divBdr>
                <w:top w:val="none" w:sz="0" w:space="0" w:color="auto"/>
                <w:left w:val="none" w:sz="0" w:space="0" w:color="auto"/>
                <w:bottom w:val="none" w:sz="0" w:space="0" w:color="auto"/>
                <w:right w:val="none" w:sz="0" w:space="0" w:color="auto"/>
              </w:divBdr>
              <w:divsChild>
                <w:div w:id="1567371832">
                  <w:marLeft w:val="0"/>
                  <w:marRight w:val="0"/>
                  <w:marTop w:val="0"/>
                  <w:marBottom w:val="0"/>
                  <w:divBdr>
                    <w:top w:val="none" w:sz="0" w:space="0" w:color="auto"/>
                    <w:left w:val="none" w:sz="0" w:space="0" w:color="auto"/>
                    <w:bottom w:val="none" w:sz="0" w:space="0" w:color="auto"/>
                    <w:right w:val="none" w:sz="0" w:space="0" w:color="auto"/>
                  </w:divBdr>
                  <w:divsChild>
                    <w:div w:id="26754839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38977379">
      <w:bodyDiv w:val="1"/>
      <w:marLeft w:val="0"/>
      <w:marRight w:val="0"/>
      <w:marTop w:val="0"/>
      <w:marBottom w:val="0"/>
      <w:divBdr>
        <w:top w:val="none" w:sz="0" w:space="0" w:color="auto"/>
        <w:left w:val="none" w:sz="0" w:space="0" w:color="auto"/>
        <w:bottom w:val="none" w:sz="0" w:space="0" w:color="auto"/>
        <w:right w:val="none" w:sz="0" w:space="0" w:color="auto"/>
      </w:divBdr>
      <w:divsChild>
        <w:div w:id="576212746">
          <w:marLeft w:val="0"/>
          <w:marRight w:val="0"/>
          <w:marTop w:val="0"/>
          <w:marBottom w:val="1200"/>
          <w:divBdr>
            <w:top w:val="none" w:sz="0" w:space="0" w:color="auto"/>
            <w:left w:val="none" w:sz="0" w:space="0" w:color="auto"/>
            <w:bottom w:val="none" w:sz="0" w:space="0" w:color="auto"/>
            <w:right w:val="none" w:sz="0" w:space="0" w:color="auto"/>
          </w:divBdr>
          <w:divsChild>
            <w:div w:id="799767218">
              <w:marLeft w:val="0"/>
              <w:marRight w:val="0"/>
              <w:marTop w:val="525"/>
              <w:marBottom w:val="0"/>
              <w:divBdr>
                <w:top w:val="none" w:sz="0" w:space="0" w:color="auto"/>
                <w:left w:val="none" w:sz="0" w:space="0" w:color="auto"/>
                <w:bottom w:val="none" w:sz="0" w:space="0" w:color="auto"/>
                <w:right w:val="none" w:sz="0" w:space="0" w:color="auto"/>
              </w:divBdr>
              <w:divsChild>
                <w:div w:id="1733504875">
                  <w:marLeft w:val="0"/>
                  <w:marRight w:val="0"/>
                  <w:marTop w:val="0"/>
                  <w:marBottom w:val="0"/>
                  <w:divBdr>
                    <w:top w:val="none" w:sz="0" w:space="0" w:color="auto"/>
                    <w:left w:val="none" w:sz="0" w:space="0" w:color="auto"/>
                    <w:bottom w:val="none" w:sz="0" w:space="0" w:color="auto"/>
                    <w:right w:val="none" w:sz="0" w:space="0" w:color="auto"/>
                  </w:divBdr>
                  <w:divsChild>
                    <w:div w:id="60739447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935287678">
              <w:marLeft w:val="0"/>
              <w:marRight w:val="0"/>
              <w:marTop w:val="150"/>
              <w:marBottom w:val="0"/>
              <w:divBdr>
                <w:top w:val="none" w:sz="0" w:space="0" w:color="auto"/>
                <w:left w:val="none" w:sz="0" w:space="0" w:color="auto"/>
                <w:bottom w:val="none" w:sz="0" w:space="0" w:color="auto"/>
                <w:right w:val="none" w:sz="0" w:space="0" w:color="auto"/>
              </w:divBdr>
            </w:div>
            <w:div w:id="1272782400">
              <w:marLeft w:val="0"/>
              <w:marRight w:val="0"/>
              <w:marTop w:val="300"/>
              <w:marBottom w:val="0"/>
              <w:divBdr>
                <w:top w:val="none" w:sz="0" w:space="0" w:color="auto"/>
                <w:left w:val="none" w:sz="0" w:space="0" w:color="auto"/>
                <w:bottom w:val="none" w:sz="0" w:space="0" w:color="auto"/>
                <w:right w:val="none" w:sz="0" w:space="0" w:color="auto"/>
              </w:divBdr>
              <w:divsChild>
                <w:div w:id="32644609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554321599">
              <w:marLeft w:val="0"/>
              <w:marRight w:val="0"/>
              <w:marTop w:val="525"/>
              <w:marBottom w:val="0"/>
              <w:divBdr>
                <w:top w:val="none" w:sz="0" w:space="0" w:color="auto"/>
                <w:left w:val="none" w:sz="0" w:space="0" w:color="auto"/>
                <w:bottom w:val="none" w:sz="0" w:space="0" w:color="auto"/>
                <w:right w:val="none" w:sz="0" w:space="0" w:color="auto"/>
              </w:divBdr>
              <w:divsChild>
                <w:div w:id="620769304">
                  <w:marLeft w:val="0"/>
                  <w:marRight w:val="0"/>
                  <w:marTop w:val="0"/>
                  <w:marBottom w:val="0"/>
                  <w:divBdr>
                    <w:top w:val="none" w:sz="0" w:space="0" w:color="auto"/>
                    <w:left w:val="none" w:sz="0" w:space="0" w:color="auto"/>
                    <w:bottom w:val="none" w:sz="0" w:space="0" w:color="auto"/>
                    <w:right w:val="none" w:sz="0" w:space="0" w:color="auto"/>
                  </w:divBdr>
                  <w:divsChild>
                    <w:div w:id="1479809884">
                      <w:marLeft w:val="0"/>
                      <w:marRight w:val="0"/>
                      <w:marTop w:val="0"/>
                      <w:marBottom w:val="0"/>
                      <w:divBdr>
                        <w:top w:val="none" w:sz="0" w:space="0" w:color="auto"/>
                        <w:left w:val="none" w:sz="0" w:space="0" w:color="auto"/>
                        <w:bottom w:val="none" w:sz="0" w:space="0" w:color="auto"/>
                        <w:right w:val="none" w:sz="0" w:space="0" w:color="auto"/>
                      </w:divBdr>
                      <w:divsChild>
                        <w:div w:id="659239481">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1241718229">
      <w:bodyDiv w:val="1"/>
      <w:marLeft w:val="0"/>
      <w:marRight w:val="0"/>
      <w:marTop w:val="0"/>
      <w:marBottom w:val="0"/>
      <w:divBdr>
        <w:top w:val="none" w:sz="0" w:space="0" w:color="auto"/>
        <w:left w:val="none" w:sz="0" w:space="0" w:color="auto"/>
        <w:bottom w:val="none" w:sz="0" w:space="0" w:color="auto"/>
        <w:right w:val="none" w:sz="0" w:space="0" w:color="auto"/>
      </w:divBdr>
      <w:divsChild>
        <w:div w:id="1790320574">
          <w:marLeft w:val="0"/>
          <w:marRight w:val="0"/>
          <w:marTop w:val="0"/>
          <w:marBottom w:val="1200"/>
          <w:divBdr>
            <w:top w:val="none" w:sz="0" w:space="0" w:color="auto"/>
            <w:left w:val="none" w:sz="0" w:space="0" w:color="auto"/>
            <w:bottom w:val="none" w:sz="0" w:space="0" w:color="auto"/>
            <w:right w:val="none" w:sz="0" w:space="0" w:color="auto"/>
          </w:divBdr>
          <w:divsChild>
            <w:div w:id="1834712562">
              <w:marLeft w:val="0"/>
              <w:marRight w:val="0"/>
              <w:marTop w:val="525"/>
              <w:marBottom w:val="0"/>
              <w:divBdr>
                <w:top w:val="none" w:sz="0" w:space="0" w:color="auto"/>
                <w:left w:val="none" w:sz="0" w:space="0" w:color="auto"/>
                <w:bottom w:val="none" w:sz="0" w:space="0" w:color="auto"/>
                <w:right w:val="none" w:sz="0" w:space="0" w:color="auto"/>
              </w:divBdr>
              <w:divsChild>
                <w:div w:id="36510621">
                  <w:marLeft w:val="0"/>
                  <w:marRight w:val="0"/>
                  <w:marTop w:val="0"/>
                  <w:marBottom w:val="0"/>
                  <w:divBdr>
                    <w:top w:val="none" w:sz="0" w:space="0" w:color="auto"/>
                    <w:left w:val="none" w:sz="0" w:space="0" w:color="auto"/>
                    <w:bottom w:val="none" w:sz="0" w:space="0" w:color="auto"/>
                    <w:right w:val="none" w:sz="0" w:space="0" w:color="auto"/>
                  </w:divBdr>
                  <w:divsChild>
                    <w:div w:id="175755905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35038463">
      <w:bodyDiv w:val="1"/>
      <w:marLeft w:val="0"/>
      <w:marRight w:val="0"/>
      <w:marTop w:val="0"/>
      <w:marBottom w:val="0"/>
      <w:divBdr>
        <w:top w:val="none" w:sz="0" w:space="0" w:color="auto"/>
        <w:left w:val="none" w:sz="0" w:space="0" w:color="auto"/>
        <w:bottom w:val="none" w:sz="0" w:space="0" w:color="auto"/>
        <w:right w:val="none" w:sz="0" w:space="0" w:color="auto"/>
      </w:divBdr>
      <w:divsChild>
        <w:div w:id="350959275">
          <w:marLeft w:val="0"/>
          <w:marRight w:val="0"/>
          <w:marTop w:val="0"/>
          <w:marBottom w:val="1200"/>
          <w:divBdr>
            <w:top w:val="none" w:sz="0" w:space="0" w:color="auto"/>
            <w:left w:val="none" w:sz="0" w:space="0" w:color="auto"/>
            <w:bottom w:val="none" w:sz="0" w:space="0" w:color="auto"/>
            <w:right w:val="none" w:sz="0" w:space="0" w:color="auto"/>
          </w:divBdr>
          <w:divsChild>
            <w:div w:id="334571119">
              <w:marLeft w:val="0"/>
              <w:marRight w:val="0"/>
              <w:marTop w:val="525"/>
              <w:marBottom w:val="0"/>
              <w:divBdr>
                <w:top w:val="none" w:sz="0" w:space="0" w:color="auto"/>
                <w:left w:val="none" w:sz="0" w:space="0" w:color="auto"/>
                <w:bottom w:val="none" w:sz="0" w:space="0" w:color="auto"/>
                <w:right w:val="none" w:sz="0" w:space="0" w:color="auto"/>
              </w:divBdr>
              <w:divsChild>
                <w:div w:id="1154832000">
                  <w:marLeft w:val="0"/>
                  <w:marRight w:val="0"/>
                  <w:marTop w:val="0"/>
                  <w:marBottom w:val="0"/>
                  <w:divBdr>
                    <w:top w:val="none" w:sz="0" w:space="0" w:color="auto"/>
                    <w:left w:val="none" w:sz="0" w:space="0" w:color="auto"/>
                    <w:bottom w:val="none" w:sz="0" w:space="0" w:color="auto"/>
                    <w:right w:val="none" w:sz="0" w:space="0" w:color="auto"/>
                  </w:divBdr>
                  <w:divsChild>
                    <w:div w:id="48177969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2144151090">
              <w:marLeft w:val="0"/>
              <w:marRight w:val="0"/>
              <w:marTop w:val="150"/>
              <w:marBottom w:val="0"/>
              <w:divBdr>
                <w:top w:val="none" w:sz="0" w:space="0" w:color="auto"/>
                <w:left w:val="none" w:sz="0" w:space="0" w:color="auto"/>
                <w:bottom w:val="none" w:sz="0" w:space="0" w:color="auto"/>
                <w:right w:val="none" w:sz="0" w:space="0" w:color="auto"/>
              </w:divBdr>
            </w:div>
            <w:div w:id="530072099">
              <w:marLeft w:val="0"/>
              <w:marRight w:val="0"/>
              <w:marTop w:val="300"/>
              <w:marBottom w:val="0"/>
              <w:divBdr>
                <w:top w:val="none" w:sz="0" w:space="0" w:color="auto"/>
                <w:left w:val="none" w:sz="0" w:space="0" w:color="auto"/>
                <w:bottom w:val="none" w:sz="0" w:space="0" w:color="auto"/>
                <w:right w:val="none" w:sz="0" w:space="0" w:color="auto"/>
              </w:divBdr>
              <w:divsChild>
                <w:div w:id="1469200752">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2042897297">
              <w:marLeft w:val="0"/>
              <w:marRight w:val="0"/>
              <w:marTop w:val="525"/>
              <w:marBottom w:val="0"/>
              <w:divBdr>
                <w:top w:val="none" w:sz="0" w:space="0" w:color="auto"/>
                <w:left w:val="none" w:sz="0" w:space="0" w:color="auto"/>
                <w:bottom w:val="none" w:sz="0" w:space="0" w:color="auto"/>
                <w:right w:val="none" w:sz="0" w:space="0" w:color="auto"/>
              </w:divBdr>
              <w:divsChild>
                <w:div w:id="1998613051">
                  <w:marLeft w:val="0"/>
                  <w:marRight w:val="0"/>
                  <w:marTop w:val="0"/>
                  <w:marBottom w:val="0"/>
                  <w:divBdr>
                    <w:top w:val="none" w:sz="0" w:space="0" w:color="auto"/>
                    <w:left w:val="none" w:sz="0" w:space="0" w:color="auto"/>
                    <w:bottom w:val="none" w:sz="0" w:space="0" w:color="auto"/>
                    <w:right w:val="none" w:sz="0" w:space="0" w:color="auto"/>
                  </w:divBdr>
                  <w:divsChild>
                    <w:div w:id="1421874200">
                      <w:marLeft w:val="0"/>
                      <w:marRight w:val="0"/>
                      <w:marTop w:val="0"/>
                      <w:marBottom w:val="0"/>
                      <w:divBdr>
                        <w:top w:val="none" w:sz="0" w:space="0" w:color="auto"/>
                        <w:left w:val="none" w:sz="0" w:space="0" w:color="auto"/>
                        <w:bottom w:val="none" w:sz="0" w:space="0" w:color="auto"/>
                        <w:right w:val="none" w:sz="0" w:space="0" w:color="auto"/>
                      </w:divBdr>
                      <w:divsChild>
                        <w:div w:id="1753427740">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54194030">
      <w:bodyDiv w:val="1"/>
      <w:marLeft w:val="0"/>
      <w:marRight w:val="0"/>
      <w:marTop w:val="0"/>
      <w:marBottom w:val="0"/>
      <w:divBdr>
        <w:top w:val="none" w:sz="0" w:space="0" w:color="auto"/>
        <w:left w:val="none" w:sz="0" w:space="0" w:color="auto"/>
        <w:bottom w:val="none" w:sz="0" w:space="0" w:color="auto"/>
        <w:right w:val="none" w:sz="0" w:space="0" w:color="auto"/>
      </w:divBdr>
      <w:divsChild>
        <w:div w:id="750813088">
          <w:marLeft w:val="0"/>
          <w:marRight w:val="0"/>
          <w:marTop w:val="0"/>
          <w:marBottom w:val="1200"/>
          <w:divBdr>
            <w:top w:val="none" w:sz="0" w:space="0" w:color="auto"/>
            <w:left w:val="none" w:sz="0" w:space="0" w:color="auto"/>
            <w:bottom w:val="none" w:sz="0" w:space="0" w:color="auto"/>
            <w:right w:val="none" w:sz="0" w:space="0" w:color="auto"/>
          </w:divBdr>
          <w:divsChild>
            <w:div w:id="807281861">
              <w:marLeft w:val="0"/>
              <w:marRight w:val="0"/>
              <w:marTop w:val="525"/>
              <w:marBottom w:val="0"/>
              <w:divBdr>
                <w:top w:val="none" w:sz="0" w:space="0" w:color="auto"/>
                <w:left w:val="none" w:sz="0" w:space="0" w:color="auto"/>
                <w:bottom w:val="none" w:sz="0" w:space="0" w:color="auto"/>
                <w:right w:val="none" w:sz="0" w:space="0" w:color="auto"/>
              </w:divBdr>
              <w:divsChild>
                <w:div w:id="1954240025">
                  <w:marLeft w:val="0"/>
                  <w:marRight w:val="0"/>
                  <w:marTop w:val="0"/>
                  <w:marBottom w:val="0"/>
                  <w:divBdr>
                    <w:top w:val="none" w:sz="0" w:space="0" w:color="auto"/>
                    <w:left w:val="none" w:sz="0" w:space="0" w:color="auto"/>
                    <w:bottom w:val="none" w:sz="0" w:space="0" w:color="auto"/>
                    <w:right w:val="none" w:sz="0" w:space="0" w:color="auto"/>
                  </w:divBdr>
                  <w:divsChild>
                    <w:div w:id="141631639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57441991">
      <w:bodyDiv w:val="1"/>
      <w:marLeft w:val="0"/>
      <w:marRight w:val="0"/>
      <w:marTop w:val="0"/>
      <w:marBottom w:val="0"/>
      <w:divBdr>
        <w:top w:val="none" w:sz="0" w:space="0" w:color="auto"/>
        <w:left w:val="none" w:sz="0" w:space="0" w:color="auto"/>
        <w:bottom w:val="none" w:sz="0" w:space="0" w:color="auto"/>
        <w:right w:val="none" w:sz="0" w:space="0" w:color="auto"/>
      </w:divBdr>
      <w:divsChild>
        <w:div w:id="1604729446">
          <w:marLeft w:val="0"/>
          <w:marRight w:val="0"/>
          <w:marTop w:val="0"/>
          <w:marBottom w:val="1200"/>
          <w:divBdr>
            <w:top w:val="none" w:sz="0" w:space="0" w:color="auto"/>
            <w:left w:val="none" w:sz="0" w:space="0" w:color="auto"/>
            <w:bottom w:val="none" w:sz="0" w:space="0" w:color="auto"/>
            <w:right w:val="none" w:sz="0" w:space="0" w:color="auto"/>
          </w:divBdr>
          <w:divsChild>
            <w:div w:id="924726375">
              <w:marLeft w:val="0"/>
              <w:marRight w:val="0"/>
              <w:marTop w:val="525"/>
              <w:marBottom w:val="0"/>
              <w:divBdr>
                <w:top w:val="none" w:sz="0" w:space="0" w:color="auto"/>
                <w:left w:val="none" w:sz="0" w:space="0" w:color="auto"/>
                <w:bottom w:val="none" w:sz="0" w:space="0" w:color="auto"/>
                <w:right w:val="none" w:sz="0" w:space="0" w:color="auto"/>
              </w:divBdr>
              <w:divsChild>
                <w:div w:id="680207057">
                  <w:marLeft w:val="0"/>
                  <w:marRight w:val="0"/>
                  <w:marTop w:val="0"/>
                  <w:marBottom w:val="0"/>
                  <w:divBdr>
                    <w:top w:val="none" w:sz="0" w:space="0" w:color="auto"/>
                    <w:left w:val="none" w:sz="0" w:space="0" w:color="auto"/>
                    <w:bottom w:val="none" w:sz="0" w:space="0" w:color="auto"/>
                    <w:right w:val="none" w:sz="0" w:space="0" w:color="auto"/>
                  </w:divBdr>
                  <w:divsChild>
                    <w:div w:id="151153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212-C.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19-CLADD-C-0005/en" TargetMode="External"/><Relationship Id="rId17" Type="http://schemas.openxmlformats.org/officeDocument/2006/relationships/hyperlink" Target="https://www.itu.int/md/S20-CL-C-0007/en" TargetMode="External"/><Relationship Id="rId2" Type="http://schemas.openxmlformats.org/officeDocument/2006/relationships/customXml" Target="../customXml/item2.xml"/><Relationship Id="rId16" Type="http://schemas.openxmlformats.org/officeDocument/2006/relationships/hyperlink" Target="https://www.itu.int/md/S19-CLADD-C-00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hq-building/Pages/default.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9-CL-C-0048/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EFCF-E4DA-4163-8A74-4F7C6BAB7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4FE2CC-74E2-4C70-9A34-3A27054FAC96}">
  <ds:schemaRefs>
    <ds:schemaRef ds:uri="http://schemas.microsoft.com/sharepoint/v3/contenttype/forms"/>
  </ds:schemaRefs>
</ds:datastoreItem>
</file>

<file path=customXml/itemProps3.xml><?xml version="1.0" encoding="utf-8"?>
<ds:datastoreItem xmlns:ds="http://schemas.openxmlformats.org/officeDocument/2006/customXml" ds:itemID="{978B4358-A766-42AC-A041-E3EC1CE7C0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400BB9-C8E1-4B40-8E55-F67758C5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6</Pages>
  <Words>4736</Words>
  <Characters>1536</Characters>
  <Application>Microsoft Office Word</Application>
  <DocSecurity>4</DocSecurity>
  <Lines>12</Lines>
  <Paragraphs>12</Paragraphs>
  <ScaleCrop>false</ScaleCrop>
  <HeadingPairs>
    <vt:vector size="2" baseType="variant">
      <vt:variant>
        <vt:lpstr>Title</vt:lpstr>
      </vt:variant>
      <vt:variant>
        <vt:i4>1</vt:i4>
      </vt:variant>
    </vt:vector>
  </HeadingPairs>
  <TitlesOfParts>
    <vt:vector size="1" baseType="lpstr">
      <vt:lpstr>Summary report on the work of the Member States Advisory Group on the Union's Headquarters premises project</vt:lpstr>
    </vt:vector>
  </TitlesOfParts>
  <Manager>General Secretariat - Pool</Manager>
  <Company>International Telecommunication Union (ITU)</Company>
  <LinksUpToDate>false</LinksUpToDate>
  <CharactersWithSpaces>6260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on the work of the Member States Advisory Group on the Union's headquarters premises project</dc:title>
  <dc:subject>Council 2020</dc:subject>
  <dc:creator>Tang, Ting</dc:creator>
  <cp:keywords>C2020, C20</cp:keywords>
  <dc:description/>
  <cp:lastModifiedBy>Brouard, Ricarda</cp:lastModifiedBy>
  <cp:revision>2</cp:revision>
  <cp:lastPrinted>2015-02-24T13:23:00Z</cp:lastPrinted>
  <dcterms:created xsi:type="dcterms:W3CDTF">2020-05-27T06:50:00Z</dcterms:created>
  <dcterms:modified xsi:type="dcterms:W3CDTF">2020-05-27T06:50:00Z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