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0EDF54D0" w14:textId="77777777">
        <w:trPr>
          <w:cantSplit/>
        </w:trPr>
        <w:tc>
          <w:tcPr>
            <w:tcW w:w="6912" w:type="dxa"/>
          </w:tcPr>
          <w:p w14:paraId="592ECD1F" w14:textId="77777777" w:rsidR="00520F36" w:rsidRPr="0092392D" w:rsidRDefault="00520F36" w:rsidP="00162CA6">
            <w:pPr>
              <w:spacing w:before="360"/>
              <w:rPr>
                <w:lang w:val="fr-CH"/>
              </w:rPr>
            </w:pPr>
            <w:bookmarkStart w:id="0" w:name="dc06"/>
            <w:bookmarkEnd w:id="0"/>
            <w:r w:rsidRPr="00520F36">
              <w:rPr>
                <w:b/>
                <w:bCs/>
                <w:sz w:val="30"/>
                <w:szCs w:val="30"/>
                <w:lang w:val="fr-CH"/>
              </w:rPr>
              <w:t>Conseil 20</w:t>
            </w:r>
            <w:r w:rsidR="009C353C">
              <w:rPr>
                <w:b/>
                <w:bCs/>
                <w:sz w:val="30"/>
                <w:szCs w:val="30"/>
                <w:lang w:val="fr-CH"/>
              </w:rPr>
              <w:t>20</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9C353C">
              <w:rPr>
                <w:b/>
                <w:bCs/>
                <w:szCs w:val="24"/>
                <w:lang w:val="fr-CH"/>
              </w:rPr>
              <w:t>9</w:t>
            </w:r>
            <w:r w:rsidRPr="00520F36">
              <w:rPr>
                <w:b/>
                <w:bCs/>
                <w:szCs w:val="24"/>
                <w:lang w:val="fr-CH"/>
              </w:rPr>
              <w:t>-</w:t>
            </w:r>
            <w:r w:rsidR="009C353C">
              <w:rPr>
                <w:b/>
                <w:bCs/>
                <w:szCs w:val="24"/>
                <w:lang w:val="fr-CH"/>
              </w:rPr>
              <w:t>19</w:t>
            </w:r>
            <w:r w:rsidR="00106B19">
              <w:rPr>
                <w:b/>
                <w:bCs/>
                <w:szCs w:val="24"/>
                <w:lang w:val="fr-CH"/>
              </w:rPr>
              <w:t xml:space="preserve"> juin</w:t>
            </w:r>
            <w:r w:rsidRPr="00520F36">
              <w:rPr>
                <w:b/>
                <w:bCs/>
                <w:szCs w:val="24"/>
                <w:lang w:val="fr-CH"/>
              </w:rPr>
              <w:t xml:space="preserve"> 20</w:t>
            </w:r>
            <w:r w:rsidR="009C353C">
              <w:rPr>
                <w:b/>
                <w:bCs/>
                <w:szCs w:val="24"/>
                <w:lang w:val="fr-CH"/>
              </w:rPr>
              <w:t>20</w:t>
            </w:r>
          </w:p>
        </w:tc>
        <w:tc>
          <w:tcPr>
            <w:tcW w:w="3261" w:type="dxa"/>
          </w:tcPr>
          <w:p w14:paraId="737FF4CD" w14:textId="77777777" w:rsidR="00520F36" w:rsidRPr="0092392D" w:rsidRDefault="009C353C" w:rsidP="00162CA6">
            <w:pPr>
              <w:spacing w:before="0"/>
              <w:rPr>
                <w:lang w:val="fr-CH"/>
              </w:rPr>
            </w:pPr>
            <w:bookmarkStart w:id="1" w:name="ditulogo"/>
            <w:bookmarkEnd w:id="1"/>
            <w:r>
              <w:rPr>
                <w:noProof/>
                <w:lang w:val="en-US"/>
              </w:rPr>
              <w:drawing>
                <wp:inline distT="0" distB="0" distL="0" distR="0" wp14:anchorId="0EF72F4C" wp14:editId="3BDE20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21C82179" w14:textId="77777777" w:rsidTr="00EF41DD">
        <w:trPr>
          <w:cantSplit/>
          <w:trHeight w:val="20"/>
        </w:trPr>
        <w:tc>
          <w:tcPr>
            <w:tcW w:w="6912" w:type="dxa"/>
            <w:tcBorders>
              <w:bottom w:val="single" w:sz="12" w:space="0" w:color="auto"/>
            </w:tcBorders>
            <w:vAlign w:val="center"/>
          </w:tcPr>
          <w:p w14:paraId="28C55840" w14:textId="77777777" w:rsidR="00520F36" w:rsidRPr="00361350" w:rsidRDefault="00520F36" w:rsidP="00162CA6">
            <w:pPr>
              <w:spacing w:before="0"/>
              <w:rPr>
                <w:b/>
                <w:bCs/>
                <w:sz w:val="26"/>
                <w:szCs w:val="26"/>
                <w:lang w:val="fr-CH"/>
              </w:rPr>
            </w:pPr>
          </w:p>
        </w:tc>
        <w:tc>
          <w:tcPr>
            <w:tcW w:w="3261" w:type="dxa"/>
            <w:tcBorders>
              <w:bottom w:val="single" w:sz="12" w:space="0" w:color="auto"/>
            </w:tcBorders>
          </w:tcPr>
          <w:p w14:paraId="35D75AEE" w14:textId="77777777" w:rsidR="00520F36" w:rsidRPr="0092392D" w:rsidRDefault="00520F36" w:rsidP="00162CA6">
            <w:pPr>
              <w:spacing w:before="0"/>
              <w:rPr>
                <w:b/>
                <w:bCs/>
              </w:rPr>
            </w:pPr>
          </w:p>
        </w:tc>
      </w:tr>
      <w:tr w:rsidR="00520F36" w:rsidRPr="0092392D" w14:paraId="321A5ABC" w14:textId="77777777">
        <w:trPr>
          <w:cantSplit/>
          <w:trHeight w:val="20"/>
        </w:trPr>
        <w:tc>
          <w:tcPr>
            <w:tcW w:w="6912" w:type="dxa"/>
            <w:tcBorders>
              <w:top w:val="single" w:sz="12" w:space="0" w:color="auto"/>
            </w:tcBorders>
          </w:tcPr>
          <w:p w14:paraId="15B8DD9A" w14:textId="77777777" w:rsidR="00520F36" w:rsidRPr="0092392D" w:rsidRDefault="00520F36" w:rsidP="00162CA6">
            <w:pPr>
              <w:spacing w:before="0"/>
              <w:rPr>
                <w:smallCaps/>
                <w:sz w:val="22"/>
                <w:lang w:val="fr-CH"/>
              </w:rPr>
            </w:pPr>
          </w:p>
        </w:tc>
        <w:tc>
          <w:tcPr>
            <w:tcW w:w="3261" w:type="dxa"/>
            <w:tcBorders>
              <w:top w:val="single" w:sz="12" w:space="0" w:color="auto"/>
            </w:tcBorders>
          </w:tcPr>
          <w:p w14:paraId="701A0AB9" w14:textId="77777777" w:rsidR="00520F36" w:rsidRPr="0092392D" w:rsidRDefault="00520F36" w:rsidP="00162CA6">
            <w:pPr>
              <w:spacing w:before="0"/>
              <w:rPr>
                <w:b/>
                <w:bCs/>
              </w:rPr>
            </w:pPr>
          </w:p>
        </w:tc>
      </w:tr>
      <w:tr w:rsidR="00520F36" w:rsidRPr="0092392D" w14:paraId="6A840E9B" w14:textId="77777777">
        <w:trPr>
          <w:cantSplit/>
          <w:trHeight w:val="20"/>
        </w:trPr>
        <w:tc>
          <w:tcPr>
            <w:tcW w:w="6912" w:type="dxa"/>
            <w:vMerge w:val="restart"/>
          </w:tcPr>
          <w:p w14:paraId="3817BE22" w14:textId="77777777" w:rsidR="00520F36" w:rsidRPr="00520F36" w:rsidRDefault="004231A9" w:rsidP="00162CA6">
            <w:pPr>
              <w:spacing w:before="0"/>
              <w:rPr>
                <w:rFonts w:cs="Times"/>
                <w:b/>
                <w:bCs/>
                <w:szCs w:val="24"/>
                <w:lang w:val="fr-CH"/>
              </w:rPr>
            </w:pPr>
            <w:bookmarkStart w:id="2" w:name="dnum" w:colFirst="1" w:colLast="1"/>
            <w:bookmarkStart w:id="3" w:name="dmeeting" w:colFirst="0" w:colLast="0"/>
            <w:r>
              <w:rPr>
                <w:rFonts w:cs="Times"/>
                <w:b/>
                <w:bCs/>
                <w:szCs w:val="24"/>
              </w:rPr>
              <w:t>Point de l'ordre du jour: ADM 17</w:t>
            </w:r>
          </w:p>
        </w:tc>
        <w:tc>
          <w:tcPr>
            <w:tcW w:w="3261" w:type="dxa"/>
          </w:tcPr>
          <w:p w14:paraId="01E5DE0B" w14:textId="77777777" w:rsidR="00520F36" w:rsidRPr="00520F36" w:rsidRDefault="00520F36" w:rsidP="00162CA6">
            <w:pPr>
              <w:spacing w:before="0"/>
              <w:rPr>
                <w:b/>
                <w:bCs/>
              </w:rPr>
            </w:pPr>
            <w:r>
              <w:rPr>
                <w:b/>
                <w:bCs/>
              </w:rPr>
              <w:t>Document C</w:t>
            </w:r>
            <w:r w:rsidR="009C353C">
              <w:rPr>
                <w:b/>
                <w:bCs/>
              </w:rPr>
              <w:t>20</w:t>
            </w:r>
            <w:r>
              <w:rPr>
                <w:b/>
                <w:bCs/>
              </w:rPr>
              <w:t>/</w:t>
            </w:r>
            <w:r w:rsidR="004231A9">
              <w:rPr>
                <w:b/>
                <w:bCs/>
              </w:rPr>
              <w:t>46</w:t>
            </w:r>
            <w:r>
              <w:rPr>
                <w:b/>
                <w:bCs/>
              </w:rPr>
              <w:t>-F</w:t>
            </w:r>
          </w:p>
        </w:tc>
      </w:tr>
      <w:tr w:rsidR="00520F36" w:rsidRPr="0092392D" w14:paraId="64BC8238" w14:textId="77777777">
        <w:trPr>
          <w:cantSplit/>
          <w:trHeight w:val="20"/>
        </w:trPr>
        <w:tc>
          <w:tcPr>
            <w:tcW w:w="6912" w:type="dxa"/>
            <w:vMerge/>
          </w:tcPr>
          <w:p w14:paraId="67313C81" w14:textId="77777777" w:rsidR="00520F36" w:rsidRPr="0092392D" w:rsidRDefault="00520F36" w:rsidP="00162CA6">
            <w:pPr>
              <w:shd w:val="solid" w:color="FFFFFF" w:fill="FFFFFF"/>
              <w:spacing w:before="180"/>
              <w:rPr>
                <w:smallCaps/>
                <w:lang w:val="fr-CH"/>
              </w:rPr>
            </w:pPr>
            <w:bookmarkStart w:id="4" w:name="ddate" w:colFirst="1" w:colLast="1"/>
            <w:bookmarkEnd w:id="2"/>
            <w:bookmarkEnd w:id="3"/>
          </w:p>
        </w:tc>
        <w:tc>
          <w:tcPr>
            <w:tcW w:w="3261" w:type="dxa"/>
          </w:tcPr>
          <w:p w14:paraId="66EB1CCB" w14:textId="77777777" w:rsidR="00520F36" w:rsidRPr="00520F36" w:rsidRDefault="004231A9" w:rsidP="00162CA6">
            <w:pPr>
              <w:spacing w:before="0"/>
              <w:rPr>
                <w:b/>
                <w:bCs/>
              </w:rPr>
            </w:pPr>
            <w:r>
              <w:rPr>
                <w:b/>
                <w:bCs/>
              </w:rPr>
              <w:t>27 avril</w:t>
            </w:r>
            <w:r w:rsidR="00520F36">
              <w:rPr>
                <w:b/>
                <w:bCs/>
              </w:rPr>
              <w:t xml:space="preserve"> 20</w:t>
            </w:r>
            <w:r w:rsidR="009C353C">
              <w:rPr>
                <w:b/>
                <w:bCs/>
              </w:rPr>
              <w:t>20</w:t>
            </w:r>
          </w:p>
        </w:tc>
      </w:tr>
      <w:tr w:rsidR="00520F36" w:rsidRPr="0092392D" w14:paraId="0968308C" w14:textId="77777777">
        <w:trPr>
          <w:cantSplit/>
          <w:trHeight w:val="20"/>
        </w:trPr>
        <w:tc>
          <w:tcPr>
            <w:tcW w:w="6912" w:type="dxa"/>
            <w:vMerge/>
          </w:tcPr>
          <w:p w14:paraId="2EDC7C74" w14:textId="77777777" w:rsidR="00520F36" w:rsidRPr="0092392D" w:rsidRDefault="00520F36" w:rsidP="00162CA6">
            <w:pPr>
              <w:shd w:val="solid" w:color="FFFFFF" w:fill="FFFFFF"/>
              <w:spacing w:before="180"/>
              <w:rPr>
                <w:smallCaps/>
                <w:lang w:val="fr-CH"/>
              </w:rPr>
            </w:pPr>
            <w:bookmarkStart w:id="5" w:name="dorlang" w:colFirst="1" w:colLast="1"/>
            <w:bookmarkEnd w:id="4"/>
          </w:p>
        </w:tc>
        <w:tc>
          <w:tcPr>
            <w:tcW w:w="3261" w:type="dxa"/>
          </w:tcPr>
          <w:p w14:paraId="5B9F4D60" w14:textId="77777777" w:rsidR="00520F36" w:rsidRPr="00520F36" w:rsidRDefault="00520F36" w:rsidP="00162CA6">
            <w:pPr>
              <w:spacing w:before="0"/>
              <w:rPr>
                <w:b/>
                <w:bCs/>
              </w:rPr>
            </w:pPr>
            <w:r>
              <w:rPr>
                <w:b/>
                <w:bCs/>
              </w:rPr>
              <w:t>Original: anglais</w:t>
            </w:r>
          </w:p>
        </w:tc>
      </w:tr>
      <w:tr w:rsidR="00520F36" w:rsidRPr="0092392D" w14:paraId="15DD4A1B" w14:textId="77777777">
        <w:trPr>
          <w:cantSplit/>
        </w:trPr>
        <w:tc>
          <w:tcPr>
            <w:tcW w:w="10173" w:type="dxa"/>
            <w:gridSpan w:val="2"/>
          </w:tcPr>
          <w:p w14:paraId="7D1B2813" w14:textId="77777777" w:rsidR="00520F36" w:rsidRPr="0092392D" w:rsidRDefault="004231A9" w:rsidP="00162CA6">
            <w:pPr>
              <w:pStyle w:val="Source"/>
            </w:pPr>
            <w:bookmarkStart w:id="6" w:name="dsource" w:colFirst="0" w:colLast="0"/>
            <w:bookmarkEnd w:id="5"/>
            <w:r>
              <w:t>Rapport du Secrétaire général</w:t>
            </w:r>
          </w:p>
        </w:tc>
      </w:tr>
      <w:tr w:rsidR="00520F36" w:rsidRPr="0092392D" w14:paraId="2D0ABDA4" w14:textId="77777777">
        <w:trPr>
          <w:cantSplit/>
        </w:trPr>
        <w:tc>
          <w:tcPr>
            <w:tcW w:w="10173" w:type="dxa"/>
            <w:gridSpan w:val="2"/>
          </w:tcPr>
          <w:p w14:paraId="6570A22E" w14:textId="77777777" w:rsidR="00520F36" w:rsidRPr="0092392D" w:rsidRDefault="004231A9" w:rsidP="00162CA6">
            <w:pPr>
              <w:pStyle w:val="Title1"/>
            </w:pPr>
            <w:bookmarkStart w:id="7" w:name="dtitle1" w:colFirst="0" w:colLast="0"/>
            <w:bookmarkEnd w:id="6"/>
            <w:r>
              <w:t>PASSIFS DE L'ASSURANCE MALADIE APRÈS LA CESSATION DE SERVICE (ASHI)</w:t>
            </w:r>
          </w:p>
        </w:tc>
      </w:tr>
      <w:bookmarkEnd w:id="7"/>
    </w:tbl>
    <w:p w14:paraId="101A0AE2" w14:textId="77777777" w:rsidR="004231A9" w:rsidRDefault="004231A9" w:rsidP="00162CA6">
      <w:pPr>
        <w:rPr>
          <w:lang w:val="fr-CH"/>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4231A9" w:rsidRPr="004231A9" w14:paraId="29ADE8DA" w14:textId="77777777" w:rsidTr="004231A9">
        <w:trPr>
          <w:trHeight w:val="3372"/>
        </w:trPr>
        <w:tc>
          <w:tcPr>
            <w:tcW w:w="8080" w:type="dxa"/>
            <w:tcBorders>
              <w:top w:val="single" w:sz="12" w:space="0" w:color="auto"/>
              <w:left w:val="single" w:sz="12" w:space="0" w:color="auto"/>
              <w:bottom w:val="single" w:sz="12" w:space="0" w:color="auto"/>
              <w:right w:val="single" w:sz="12" w:space="0" w:color="auto"/>
            </w:tcBorders>
            <w:hideMark/>
          </w:tcPr>
          <w:p w14:paraId="52202C75" w14:textId="77777777" w:rsidR="004231A9" w:rsidRDefault="004231A9" w:rsidP="00162CA6">
            <w:pPr>
              <w:pStyle w:val="Headingb"/>
              <w:rPr>
                <w:lang w:val="fr-CH" w:eastAsia="zh-CN"/>
              </w:rPr>
            </w:pPr>
            <w:r>
              <w:rPr>
                <w:lang w:val="fr-CH" w:eastAsia="zh-CN"/>
              </w:rPr>
              <w:t>Résumé</w:t>
            </w:r>
          </w:p>
          <w:p w14:paraId="375672B9" w14:textId="77777777" w:rsidR="004231A9" w:rsidRDefault="004231A9" w:rsidP="00162CA6">
            <w:pPr>
              <w:rPr>
                <w:lang w:val="fr-CH" w:eastAsia="zh-CN"/>
              </w:rPr>
            </w:pPr>
            <w:r>
              <w:rPr>
                <w:lang w:eastAsia="zh-CN"/>
              </w:rPr>
              <w:t>Le présent document fait le point sur la situation concernant les passifs de l'Assurance maladie après la cessation de service (ASHI) au 31 décembre 2019, conformément à une demande formulée par le Conseil à sa session de 2014 pour que l'UIT lui soumette des rapports annuels sur les passifs de l'ASHI et présente des propositions chiffrées pour financer une partie de ces passifs, conformément à la Recommandation 6 formulée par le Vérificateur extérieur des comptes dans ses rapports sur les comptes pour l'exercice 2012.</w:t>
            </w:r>
          </w:p>
          <w:p w14:paraId="0A7C0478" w14:textId="77777777" w:rsidR="004231A9" w:rsidRDefault="004231A9" w:rsidP="00162CA6">
            <w:pPr>
              <w:pStyle w:val="Headingb"/>
              <w:rPr>
                <w:lang w:val="fr-CH" w:eastAsia="zh-CN"/>
              </w:rPr>
            </w:pPr>
            <w:r>
              <w:rPr>
                <w:lang w:val="fr-CH" w:eastAsia="zh-CN"/>
              </w:rPr>
              <w:t>Suite à donner</w:t>
            </w:r>
          </w:p>
          <w:p w14:paraId="52C41A3A" w14:textId="77777777" w:rsidR="004231A9" w:rsidRDefault="004231A9" w:rsidP="00162CA6">
            <w:pPr>
              <w:rPr>
                <w:lang w:val="fr-CH" w:eastAsia="zh-CN"/>
              </w:rPr>
            </w:pPr>
            <w:r>
              <w:rPr>
                <w:lang w:eastAsia="zh-CN"/>
              </w:rPr>
              <w:t xml:space="preserve">Le Conseil est invité à </w:t>
            </w:r>
            <w:r>
              <w:rPr>
                <w:b/>
                <w:bCs/>
                <w:lang w:eastAsia="zh-CN"/>
              </w:rPr>
              <w:t>prendre note</w:t>
            </w:r>
            <w:r>
              <w:rPr>
                <w:lang w:eastAsia="zh-CN"/>
              </w:rPr>
              <w:t xml:space="preserve"> du présent document.</w:t>
            </w:r>
          </w:p>
          <w:p w14:paraId="482F0A79" w14:textId="77777777" w:rsidR="004231A9" w:rsidRDefault="004231A9" w:rsidP="00162CA6">
            <w:pPr>
              <w:pStyle w:val="Table"/>
              <w:keepNext w:val="0"/>
              <w:spacing w:before="0" w:after="0"/>
              <w:rPr>
                <w:rFonts w:ascii="Calibri" w:hAnsi="Calibri"/>
                <w:caps w:val="0"/>
                <w:sz w:val="22"/>
                <w:lang w:val="fr-CH" w:eastAsia="zh-CN"/>
              </w:rPr>
            </w:pPr>
            <w:r>
              <w:rPr>
                <w:rFonts w:ascii="Calibri" w:hAnsi="Calibri"/>
                <w:caps w:val="0"/>
                <w:sz w:val="22"/>
                <w:lang w:val="fr-CH" w:eastAsia="zh-CN"/>
              </w:rPr>
              <w:t>____________</w:t>
            </w:r>
          </w:p>
          <w:p w14:paraId="4FB190E8" w14:textId="77777777" w:rsidR="004231A9" w:rsidRDefault="004231A9" w:rsidP="00162CA6">
            <w:pPr>
              <w:pStyle w:val="Headingb"/>
              <w:rPr>
                <w:lang w:val="fr-CH" w:eastAsia="zh-CN"/>
              </w:rPr>
            </w:pPr>
            <w:r>
              <w:rPr>
                <w:lang w:val="fr-CH" w:eastAsia="zh-CN"/>
              </w:rPr>
              <w:t>Références</w:t>
            </w:r>
          </w:p>
          <w:p w14:paraId="6A110306" w14:textId="77777777" w:rsidR="004231A9" w:rsidRDefault="004231A9" w:rsidP="00162CA6">
            <w:pPr>
              <w:spacing w:after="120"/>
              <w:rPr>
                <w:i/>
                <w:iCs/>
                <w:lang w:val="fr-CH" w:eastAsia="zh-CN"/>
              </w:rPr>
            </w:pPr>
            <w:r>
              <w:rPr>
                <w:i/>
                <w:iCs/>
                <w:lang w:eastAsia="zh-CN"/>
              </w:rPr>
              <w:t xml:space="preserve">Document </w:t>
            </w:r>
            <w:hyperlink r:id="rId11" w:history="1">
              <w:r w:rsidRPr="004231A9">
                <w:rPr>
                  <w:rStyle w:val="Hyperlink"/>
                  <w:i/>
                  <w:lang w:eastAsia="zh-CN"/>
                </w:rPr>
                <w:t>C19/46</w:t>
              </w:r>
            </w:hyperlink>
            <w:r>
              <w:rPr>
                <w:i/>
                <w:iCs/>
                <w:lang w:eastAsia="zh-CN"/>
              </w:rPr>
              <w:t xml:space="preserve">; </w:t>
            </w:r>
            <w:hyperlink r:id="rId12" w:history="1">
              <w:r>
                <w:rPr>
                  <w:rStyle w:val="Hyperlink"/>
                  <w:i/>
                  <w:iCs/>
                  <w:color w:val="0070C0"/>
                  <w:lang w:eastAsia="zh-CN"/>
                </w:rPr>
                <w:t>Décision 5</w:t>
              </w:r>
            </w:hyperlink>
            <w:r>
              <w:rPr>
                <w:i/>
                <w:iCs/>
                <w:lang w:eastAsia="zh-CN"/>
              </w:rPr>
              <w:t xml:space="preserve"> (Rév. Dubaï, 2018) de la Conférence de plénipotentiaires</w:t>
            </w:r>
          </w:p>
        </w:tc>
      </w:tr>
    </w:tbl>
    <w:p w14:paraId="0FCACDB6" w14:textId="77777777" w:rsidR="004231A9" w:rsidRDefault="004231A9" w:rsidP="00162CA6">
      <w:pPr>
        <w:pStyle w:val="Heading1"/>
      </w:pPr>
      <w:r>
        <w:t>1</w:t>
      </w:r>
      <w:r>
        <w:tab/>
        <w:t>Introduction</w:t>
      </w:r>
    </w:p>
    <w:p w14:paraId="724282C6" w14:textId="77777777" w:rsidR="004231A9" w:rsidRDefault="004231A9" w:rsidP="00162CA6">
      <w:r>
        <w:t>1.1</w:t>
      </w:r>
      <w:r>
        <w:tab/>
        <w:t>L'actif net de l'UIT est passé d'un solde positif à un solde négatif en raison du traitement des engagements concernant l'assurance maladie après la cessation de service (ASHI) conformément aux normes comptables pour le secteur public international (IPSAS), entraînant l'obligation de comptabiliser la valeur actuelle des engagements futurs liés à l'ASHI.</w:t>
      </w:r>
    </w:p>
    <w:p w14:paraId="7C9FE6F4" w14:textId="77777777" w:rsidR="004231A9" w:rsidRDefault="004231A9" w:rsidP="00162CA6">
      <w:r>
        <w:t>1.2</w:t>
      </w:r>
      <w:r>
        <w:tab/>
        <w:t>Le programme ASHI, programme autofinancé assurant le maintien de l'assurance maladie après le départ à la retraite pour les fonctionnaires remplissant les conditions, a été créé en 1967. Depuis, les coûts correspondants répartis entre l'Union et les fonctionnaires ont considérablement augmenté en raison de la hausse du nombre de retraités couverts et de l'augmentation des frais médicaux.</w:t>
      </w:r>
    </w:p>
    <w:p w14:paraId="7AE14676" w14:textId="77777777" w:rsidR="00162CA6" w:rsidRDefault="00162CA6" w:rsidP="00162CA6">
      <w:r>
        <w:br w:type="page"/>
      </w:r>
    </w:p>
    <w:p w14:paraId="1D6C16C1" w14:textId="723BCAD5" w:rsidR="004231A9" w:rsidRDefault="004231A9" w:rsidP="00162CA6">
      <w:r>
        <w:lastRenderedPageBreak/>
        <w:t>1.3</w:t>
      </w:r>
      <w:r>
        <w:tab/>
        <w:t>Les passifs de l'ASHI rendent compte à la date de clôture, de la valeur actuelle de ce que l'UIT devrait payer aujourd'hui dans l'éventualité d'une cessation d'activité. Bien qu'il soit très peu probable que cette situation se produise, l'Union cherche à accroître les actifs de ce fonds et, ainsi, à réduire les engagements correspondants. Des mesures ont été prises pour revenir à une situation où le régime d'assurance maladie serait excédentaire afin de garantir la couverture par répartition et de dégager des ressources pour financer les passifs actuariels.</w:t>
      </w:r>
    </w:p>
    <w:p w14:paraId="56B1A42F" w14:textId="13C4A4A1" w:rsidR="004231A9" w:rsidRPr="00303A65" w:rsidRDefault="004231A9" w:rsidP="00162CA6">
      <w:r>
        <w:t>1.4</w:t>
      </w:r>
      <w:r>
        <w:tab/>
        <w:t>Les engagements au titre de l'ASHI au 31 décembre 201</w:t>
      </w:r>
      <w:r w:rsidR="00592069">
        <w:t>9</w:t>
      </w:r>
      <w:r>
        <w:t xml:space="preserve"> s'élèvent à </w:t>
      </w:r>
      <w:r w:rsidR="00592069" w:rsidRPr="00592069">
        <w:rPr>
          <w:szCs w:val="24"/>
        </w:rPr>
        <w:t xml:space="preserve">611,89 </w:t>
      </w:r>
      <w:r>
        <w:t xml:space="preserve">millions CHF. Cette </w:t>
      </w:r>
      <w:r w:rsidR="00E5512F">
        <w:t>hausse</w:t>
      </w:r>
      <w:r>
        <w:t xml:space="preserve"> significative en 201</w:t>
      </w:r>
      <w:r w:rsidR="00592069">
        <w:t>9</w:t>
      </w:r>
      <w:r>
        <w:t xml:space="preserve"> par rapport à la fin de 201</w:t>
      </w:r>
      <w:r w:rsidR="00592069">
        <w:t>8</w:t>
      </w:r>
      <w:r>
        <w:t xml:space="preserve">, où ce montant était de </w:t>
      </w:r>
      <w:r w:rsidR="00592069" w:rsidRPr="00592069">
        <w:rPr>
          <w:szCs w:val="24"/>
        </w:rPr>
        <w:t xml:space="preserve">552,24 </w:t>
      </w:r>
      <w:r>
        <w:t>millions CHF, pourrait s'exp</w:t>
      </w:r>
      <w:r w:rsidR="00E5512F">
        <w:t>liquer par différents facteurs. Le principal élément ayant une incidence sur l'évaluation de l'ASHI est le</w:t>
      </w:r>
      <w:r>
        <w:t xml:space="preserve"> taux d'actualisation</w:t>
      </w:r>
      <w:r w:rsidR="006C6558">
        <w:t>,</w:t>
      </w:r>
      <w:r>
        <w:t xml:space="preserve"> </w:t>
      </w:r>
      <w:r w:rsidR="00E5512F">
        <w:t xml:space="preserve">qui est </w:t>
      </w:r>
      <w:r>
        <w:t>utilisé pour calculer la valeur actuelle des futures demandes de remboursement cumulées</w:t>
      </w:r>
      <w:r w:rsidR="000B1ADC">
        <w:t xml:space="preserve">. </w:t>
      </w:r>
      <w:r w:rsidR="00E5512F" w:rsidRPr="00303A65">
        <w:rPr>
          <w:szCs w:val="24"/>
        </w:rPr>
        <w:t>E</w:t>
      </w:r>
      <w:r w:rsidR="00592069" w:rsidRPr="00303A65">
        <w:rPr>
          <w:szCs w:val="24"/>
        </w:rPr>
        <w:t xml:space="preserve">n 2019, </w:t>
      </w:r>
      <w:r w:rsidR="00DD3062">
        <w:rPr>
          <w:szCs w:val="24"/>
        </w:rPr>
        <w:t xml:space="preserve">ce taux </w:t>
      </w:r>
      <w:r w:rsidR="00E5512F" w:rsidRPr="00303A65">
        <w:rPr>
          <w:szCs w:val="24"/>
        </w:rPr>
        <w:t>est passé de 1,2% à</w:t>
      </w:r>
      <w:r w:rsidR="00592069" w:rsidRPr="00303A65">
        <w:rPr>
          <w:szCs w:val="24"/>
        </w:rPr>
        <w:t xml:space="preserve"> 0,60%.</w:t>
      </w:r>
    </w:p>
    <w:p w14:paraId="77F47025" w14:textId="77777777" w:rsidR="004231A9" w:rsidRDefault="004231A9" w:rsidP="00162CA6">
      <w:r>
        <w:t>1.5</w:t>
      </w:r>
      <w:r>
        <w:tab/>
      </w:r>
      <w:r w:rsidR="00303A65">
        <w:t>Bie</w:t>
      </w:r>
      <w:r w:rsidR="006A5C20">
        <w:t xml:space="preserve">n que l'UIT ait </w:t>
      </w:r>
      <w:r w:rsidR="006A5C20" w:rsidRPr="007B5813">
        <w:t xml:space="preserve">intégré le </w:t>
      </w:r>
      <w:r w:rsidR="00E22DF2" w:rsidRPr="007B5813">
        <w:t>régime</w:t>
      </w:r>
      <w:r w:rsidR="00303A65" w:rsidRPr="007B5813">
        <w:t xml:space="preserve"> </w:t>
      </w:r>
      <w:r w:rsidR="005255CE" w:rsidRPr="007B5813">
        <w:t>de l'</w:t>
      </w:r>
      <w:r w:rsidR="00303A65" w:rsidRPr="007B5813">
        <w:t>UNSMIS</w:t>
      </w:r>
      <w:r w:rsidR="00303A65">
        <w:t xml:space="preserve"> le 1</w:t>
      </w:r>
      <w:r w:rsidR="00303A65" w:rsidRPr="006A5C20">
        <w:t>er</w:t>
      </w:r>
      <w:r w:rsidR="00303A65">
        <w:t xml:space="preserve"> janvier 2020, ce paramètre a été pris en considération pour l'évaluation de 2019. Cela a </w:t>
      </w:r>
      <w:r w:rsidR="00303A65" w:rsidRPr="006A5C20">
        <w:t>conduit à une augmentation</w:t>
      </w:r>
      <w:r w:rsidR="00303A65">
        <w:t xml:space="preserve"> </w:t>
      </w:r>
      <w:r w:rsidR="006A5C20">
        <w:t>de la provision en raison de</w:t>
      </w:r>
      <w:r>
        <w:t xml:space="preserve"> la </w:t>
      </w:r>
      <w:r w:rsidR="00303A65">
        <w:t xml:space="preserve">réévaluation </w:t>
      </w:r>
      <w:r w:rsidR="00260F37">
        <w:t>des coûts des prestations au titre des services rendus</w:t>
      </w:r>
      <w:r>
        <w:t xml:space="preserve">. </w:t>
      </w:r>
    </w:p>
    <w:p w14:paraId="777F29CF" w14:textId="1DB5BA84" w:rsidR="004231A9" w:rsidRPr="00303A65" w:rsidRDefault="004231A9" w:rsidP="00162CA6">
      <w:r>
        <w:t>1.6</w:t>
      </w:r>
      <w:r>
        <w:tab/>
      </w:r>
      <w:r w:rsidR="00303A65">
        <w:t>Au cours de l'année 2019</w:t>
      </w:r>
      <w:r>
        <w:t xml:space="preserve">, l'UIT </w:t>
      </w:r>
      <w:r w:rsidR="00303A65">
        <w:t>faisait toujours partie</w:t>
      </w:r>
      <w:r>
        <w:t xml:space="preserve"> </w:t>
      </w:r>
      <w:r w:rsidR="00CD27B5">
        <w:t xml:space="preserve">du </w:t>
      </w:r>
      <w:r>
        <w:t>plan d'assurance pour la protection de la santé du personnel appelé Convention Collective Assurance Maladie (CCAM)</w:t>
      </w:r>
      <w:r w:rsidR="00303A65">
        <w:t>, qui a été mis en place en 2014</w:t>
      </w:r>
      <w:r>
        <w:t>. Admi</w:t>
      </w:r>
      <w:r w:rsidR="00303A65">
        <w:t>nistré par l'UIT, ce plan reposait</w:t>
      </w:r>
      <w:r>
        <w:t xml:space="preserve"> sur un contrat conclu avec les entreprises Cigna/Vanbreda International, Cigna étant l'assureur et Cigna/Vanbreda l'administrateur des demandes de remboursement. </w:t>
      </w:r>
      <w:r w:rsidR="00303A65" w:rsidRPr="00303A65">
        <w:t>Dans le cadre de la CCAM</w:t>
      </w:r>
      <w:r w:rsidR="00592069" w:rsidRPr="00303A65">
        <w:t xml:space="preserve">, </w:t>
      </w:r>
      <w:r w:rsidR="00303A65" w:rsidRPr="00303A65">
        <w:t>les</w:t>
      </w:r>
      <w:r w:rsidR="00592069" w:rsidRPr="00303A65">
        <w:t xml:space="preserve"> </w:t>
      </w:r>
      <w:r w:rsidR="00B65C8D">
        <w:t>cotisation</w:t>
      </w:r>
      <w:r w:rsidR="00B65C8D" w:rsidRPr="00303A65">
        <w:t xml:space="preserve">s </w:t>
      </w:r>
      <w:r w:rsidR="00303A65" w:rsidRPr="00303A65">
        <w:t xml:space="preserve">étaient </w:t>
      </w:r>
      <w:r w:rsidR="00303A65">
        <w:t>perçues</w:t>
      </w:r>
      <w:r w:rsidR="00303A65" w:rsidRPr="00303A65">
        <w:t xml:space="preserve"> par l'UIT</w:t>
      </w:r>
      <w:r w:rsidR="00CD27B5">
        <w:t>,</w:t>
      </w:r>
      <w:r w:rsidR="00303A65" w:rsidRPr="00303A65">
        <w:t xml:space="preserve"> </w:t>
      </w:r>
      <w:r w:rsidR="00CD27B5">
        <w:t xml:space="preserve">qui versait des </w:t>
      </w:r>
      <w:r w:rsidR="00303A65">
        <w:t xml:space="preserve">primes annuelles fixes à </w:t>
      </w:r>
      <w:r w:rsidR="00592069" w:rsidRPr="00303A65">
        <w:t>Cigna/Vanbreda.</w:t>
      </w:r>
    </w:p>
    <w:p w14:paraId="6473D977" w14:textId="70AA2B39" w:rsidR="004231A9" w:rsidRDefault="004231A9" w:rsidP="00162CA6">
      <w:r>
        <w:t>1.7</w:t>
      </w:r>
      <w:r>
        <w:tab/>
        <w:t xml:space="preserve">L'UIT met tout en œuvre pour continuer d'assurer le financement de ces engagements sur le long terme, tout en s'efforçant de financer le régime d'assurance maladie selon la méthode par répartition. Il est à noter que l'estimation des </w:t>
      </w:r>
      <w:r w:rsidR="00B65C8D">
        <w:t xml:space="preserve">cotisations </w:t>
      </w:r>
      <w:r>
        <w:t>versées par l'UIT au titre de l'assurance maladie pour les fonctionnaires en activité ainsi que pour les fonctionnaires retraités figure dans le budget biennal présenté au Conseil.</w:t>
      </w:r>
    </w:p>
    <w:p w14:paraId="4B6AA064" w14:textId="77777777" w:rsidR="004231A9" w:rsidRDefault="004231A9" w:rsidP="00162CA6">
      <w:pPr>
        <w:pStyle w:val="Heading1"/>
        <w:spacing w:before="360"/>
      </w:pPr>
      <w:r>
        <w:t>2</w:t>
      </w:r>
      <w:r>
        <w:tab/>
        <w:t>Évolution des passifs de l'ASHI en 201</w:t>
      </w:r>
      <w:r w:rsidR="00923313">
        <w:t>9</w:t>
      </w:r>
    </w:p>
    <w:p w14:paraId="54980753" w14:textId="77777777" w:rsidR="004231A9" w:rsidRDefault="004231A9" w:rsidP="00162CA6">
      <w:pPr>
        <w:spacing w:after="120"/>
      </w:pPr>
      <w:r>
        <w:t>2.1</w:t>
      </w:r>
      <w:r>
        <w:tab/>
        <w:t>L'évolution des passifs de l'ASHI depuis 2010 s'est traduite par un actif net négatif de plus en plus élevé, étant donné que les pertes actuarielles ont été intégralement comptabilisées à l'actif net. Fin 201</w:t>
      </w:r>
      <w:r w:rsidR="00923313">
        <w:t>9</w:t>
      </w:r>
      <w:r>
        <w:t xml:space="preserve">, les passifs de l'ASHI ont </w:t>
      </w:r>
      <w:r w:rsidR="00303A65">
        <w:t>augmenté</w:t>
      </w:r>
      <w:r>
        <w:t xml:space="preserve"> en raison de la variation des hypothèses et ont entraîné une </w:t>
      </w:r>
      <w:r w:rsidR="00303A65">
        <w:t>hausse</w:t>
      </w:r>
      <w:r>
        <w:t xml:space="preserve"> des passifs de </w:t>
      </w:r>
      <w:r w:rsidR="00923313">
        <w:t>59,</w:t>
      </w:r>
      <w:r>
        <w:t>65 millions CHF.</w:t>
      </w:r>
    </w:p>
    <w:tbl>
      <w:tblPr>
        <w:tblW w:w="9639" w:type="dxa"/>
        <w:jc w:val="center"/>
        <w:tblLook w:val="04A0" w:firstRow="1" w:lastRow="0" w:firstColumn="1" w:lastColumn="0" w:noHBand="0" w:noVBand="1"/>
      </w:tblPr>
      <w:tblGrid>
        <w:gridCol w:w="5665"/>
        <w:gridCol w:w="1985"/>
        <w:gridCol w:w="1989"/>
      </w:tblGrid>
      <w:tr w:rsidR="004231A9" w14:paraId="25303C4E" w14:textId="77777777" w:rsidTr="004231A9">
        <w:trPr>
          <w:trHeight w:val="841"/>
          <w:jc w:val="center"/>
        </w:trPr>
        <w:tc>
          <w:tcPr>
            <w:tcW w:w="5665" w:type="dxa"/>
            <w:tcBorders>
              <w:top w:val="single" w:sz="4" w:space="0" w:color="auto"/>
              <w:left w:val="single" w:sz="4" w:space="0" w:color="auto"/>
              <w:bottom w:val="single" w:sz="4" w:space="0" w:color="auto"/>
              <w:right w:val="nil"/>
            </w:tcBorders>
            <w:hideMark/>
          </w:tcPr>
          <w:p w14:paraId="675DE3AD" w14:textId="77777777" w:rsidR="004231A9" w:rsidRDefault="004231A9" w:rsidP="00162CA6">
            <w:pPr>
              <w:pStyle w:val="Tablehead"/>
              <w:jc w:val="left"/>
              <w:rPr>
                <w:lang w:eastAsia="zh-CN"/>
              </w:rPr>
            </w:pPr>
            <w:r>
              <w:rPr>
                <w:lang w:eastAsia="zh-CN"/>
              </w:rPr>
              <w:t xml:space="preserve">Montant des engagements au titre du plan ASHI au 31 décembre </w:t>
            </w:r>
            <w:r w:rsidR="00092603">
              <w:rPr>
                <w:lang w:eastAsia="zh-CN"/>
              </w:rPr>
              <w:t xml:space="preserve">2019 et </w:t>
            </w:r>
            <w:r>
              <w:rPr>
                <w:lang w:eastAsia="zh-CN"/>
              </w:rPr>
              <w:t>2018 dans l'état de la situation financière</w:t>
            </w:r>
          </w:p>
        </w:tc>
        <w:tc>
          <w:tcPr>
            <w:tcW w:w="1985" w:type="dxa"/>
            <w:tcBorders>
              <w:top w:val="single" w:sz="4" w:space="0" w:color="auto"/>
              <w:left w:val="single" w:sz="4" w:space="0" w:color="auto"/>
              <w:bottom w:val="single" w:sz="4" w:space="0" w:color="auto"/>
              <w:right w:val="single" w:sz="4" w:space="0" w:color="auto"/>
            </w:tcBorders>
            <w:hideMark/>
          </w:tcPr>
          <w:p w14:paraId="17F44C9A" w14:textId="77777777" w:rsidR="004231A9" w:rsidRDefault="004231A9" w:rsidP="00162CA6">
            <w:pPr>
              <w:pStyle w:val="Tablehead"/>
              <w:rPr>
                <w:lang w:eastAsia="zh-CN"/>
              </w:rPr>
            </w:pPr>
            <w:r>
              <w:rPr>
                <w:lang w:eastAsia="zh-CN"/>
              </w:rPr>
              <w:t>En milliers de CHF 31.12.201</w:t>
            </w:r>
            <w:r w:rsidR="006F1AE8">
              <w:rPr>
                <w:lang w:eastAsia="zh-CN"/>
              </w:rPr>
              <w:t>9</w:t>
            </w:r>
          </w:p>
        </w:tc>
        <w:tc>
          <w:tcPr>
            <w:tcW w:w="1989" w:type="dxa"/>
            <w:tcBorders>
              <w:top w:val="single" w:sz="4" w:space="0" w:color="auto"/>
              <w:left w:val="single" w:sz="4" w:space="0" w:color="auto"/>
              <w:bottom w:val="single" w:sz="4" w:space="0" w:color="auto"/>
              <w:right w:val="single" w:sz="4" w:space="0" w:color="auto"/>
            </w:tcBorders>
            <w:hideMark/>
          </w:tcPr>
          <w:p w14:paraId="122B60E0" w14:textId="77777777" w:rsidR="004231A9" w:rsidRDefault="004231A9" w:rsidP="00162CA6">
            <w:pPr>
              <w:pStyle w:val="Tablehead"/>
              <w:rPr>
                <w:lang w:eastAsia="zh-CN"/>
              </w:rPr>
            </w:pPr>
            <w:r>
              <w:rPr>
                <w:lang w:eastAsia="zh-CN"/>
              </w:rPr>
              <w:t>En milliers de CHF 31.12.201</w:t>
            </w:r>
            <w:r w:rsidR="006F1AE8">
              <w:rPr>
                <w:lang w:eastAsia="zh-CN"/>
              </w:rPr>
              <w:t>8</w:t>
            </w:r>
          </w:p>
        </w:tc>
      </w:tr>
      <w:tr w:rsidR="00092603" w14:paraId="6E5D6D2B" w14:textId="77777777" w:rsidTr="004231A9">
        <w:trPr>
          <w:trHeight w:val="264"/>
          <w:jc w:val="center"/>
        </w:trPr>
        <w:tc>
          <w:tcPr>
            <w:tcW w:w="5665" w:type="dxa"/>
            <w:tcBorders>
              <w:top w:val="nil"/>
              <w:left w:val="single" w:sz="4" w:space="0" w:color="auto"/>
              <w:bottom w:val="nil"/>
              <w:right w:val="single" w:sz="4" w:space="0" w:color="auto"/>
            </w:tcBorders>
            <w:hideMark/>
          </w:tcPr>
          <w:p w14:paraId="46864863" w14:textId="77777777" w:rsidR="00092603" w:rsidRDefault="00092603" w:rsidP="00162CA6">
            <w:pPr>
              <w:pStyle w:val="Tabletext"/>
              <w:rPr>
                <w:lang w:eastAsia="zh-CN"/>
              </w:rPr>
            </w:pPr>
            <w:r>
              <w:rPr>
                <w:lang w:eastAsia="zh-CN"/>
              </w:rPr>
              <w:t>Solde au 31 décembre 2019-2018</w:t>
            </w:r>
          </w:p>
        </w:tc>
        <w:tc>
          <w:tcPr>
            <w:tcW w:w="1985" w:type="dxa"/>
            <w:tcBorders>
              <w:top w:val="single" w:sz="4" w:space="0" w:color="auto"/>
              <w:left w:val="single" w:sz="4" w:space="0" w:color="auto"/>
              <w:bottom w:val="nil"/>
              <w:right w:val="single" w:sz="4" w:space="0" w:color="auto"/>
            </w:tcBorders>
            <w:hideMark/>
          </w:tcPr>
          <w:p w14:paraId="2893E5D1" w14:textId="77777777" w:rsidR="00092603" w:rsidRPr="00703FB6" w:rsidRDefault="00092603" w:rsidP="00162CA6">
            <w:pPr>
              <w:widowControl w:val="0"/>
              <w:tabs>
                <w:tab w:val="clear" w:pos="1701"/>
              </w:tabs>
              <w:kinsoku w:val="0"/>
              <w:ind w:right="210"/>
              <w:jc w:val="right"/>
              <w:rPr>
                <w:sz w:val="22"/>
              </w:rPr>
            </w:pPr>
            <w:r>
              <w:rPr>
                <w:sz w:val="22"/>
                <w:szCs w:val="22"/>
              </w:rPr>
              <w:t xml:space="preserve">552 </w:t>
            </w:r>
            <w:r w:rsidRPr="00EB3703">
              <w:rPr>
                <w:sz w:val="22"/>
                <w:szCs w:val="22"/>
              </w:rPr>
              <w:t>240</w:t>
            </w:r>
          </w:p>
        </w:tc>
        <w:tc>
          <w:tcPr>
            <w:tcW w:w="1989" w:type="dxa"/>
            <w:tcBorders>
              <w:top w:val="single" w:sz="4" w:space="0" w:color="auto"/>
              <w:left w:val="single" w:sz="4" w:space="0" w:color="auto"/>
              <w:bottom w:val="nil"/>
              <w:right w:val="single" w:sz="4" w:space="0" w:color="auto"/>
            </w:tcBorders>
            <w:hideMark/>
          </w:tcPr>
          <w:p w14:paraId="4CE45353" w14:textId="77777777" w:rsidR="00092603" w:rsidRPr="00703FB6" w:rsidRDefault="00092603" w:rsidP="00162CA6">
            <w:pPr>
              <w:widowControl w:val="0"/>
              <w:tabs>
                <w:tab w:val="clear" w:pos="1701"/>
              </w:tabs>
              <w:kinsoku w:val="0"/>
              <w:ind w:right="210"/>
              <w:jc w:val="right"/>
              <w:rPr>
                <w:sz w:val="22"/>
              </w:rPr>
            </w:pPr>
            <w:r>
              <w:rPr>
                <w:sz w:val="22"/>
              </w:rPr>
              <w:t xml:space="preserve">617 </w:t>
            </w:r>
            <w:r w:rsidRPr="00703FB6">
              <w:rPr>
                <w:sz w:val="22"/>
              </w:rPr>
              <w:t>250</w:t>
            </w:r>
          </w:p>
        </w:tc>
      </w:tr>
      <w:tr w:rsidR="00092603" w14:paraId="5E0F4223" w14:textId="77777777" w:rsidTr="004231A9">
        <w:trPr>
          <w:trHeight w:val="336"/>
          <w:jc w:val="center"/>
        </w:trPr>
        <w:tc>
          <w:tcPr>
            <w:tcW w:w="5665" w:type="dxa"/>
            <w:tcBorders>
              <w:top w:val="nil"/>
              <w:left w:val="single" w:sz="4" w:space="0" w:color="auto"/>
              <w:bottom w:val="nil"/>
              <w:right w:val="single" w:sz="4" w:space="0" w:color="auto"/>
            </w:tcBorders>
            <w:hideMark/>
          </w:tcPr>
          <w:p w14:paraId="1131F88B" w14:textId="77777777" w:rsidR="00092603" w:rsidRDefault="00092603" w:rsidP="00162CA6">
            <w:pPr>
              <w:pStyle w:val="Tabletext"/>
              <w:rPr>
                <w:lang w:eastAsia="zh-CN"/>
              </w:rPr>
            </w:pPr>
            <w:r>
              <w:rPr>
                <w:lang w:eastAsia="zh-CN"/>
              </w:rPr>
              <w:t>Total des charges comptabilisées dans l'état de la performance financière</w:t>
            </w:r>
          </w:p>
        </w:tc>
        <w:tc>
          <w:tcPr>
            <w:tcW w:w="1985" w:type="dxa"/>
            <w:tcBorders>
              <w:top w:val="nil"/>
              <w:left w:val="single" w:sz="4" w:space="0" w:color="auto"/>
              <w:bottom w:val="nil"/>
              <w:right w:val="single" w:sz="4" w:space="0" w:color="auto"/>
            </w:tcBorders>
            <w:hideMark/>
          </w:tcPr>
          <w:p w14:paraId="4518B1F4" w14:textId="77777777" w:rsidR="00092603" w:rsidRPr="00703FB6" w:rsidRDefault="00092603" w:rsidP="00162CA6">
            <w:pPr>
              <w:widowControl w:val="0"/>
              <w:tabs>
                <w:tab w:val="clear" w:pos="1701"/>
              </w:tabs>
              <w:kinsoku w:val="0"/>
              <w:ind w:right="210"/>
              <w:jc w:val="right"/>
              <w:rPr>
                <w:sz w:val="22"/>
              </w:rPr>
            </w:pPr>
            <w:r>
              <w:rPr>
                <w:sz w:val="22"/>
                <w:szCs w:val="22"/>
              </w:rPr>
              <w:t xml:space="preserve">78 </w:t>
            </w:r>
            <w:r w:rsidRPr="00EB3703">
              <w:rPr>
                <w:sz w:val="22"/>
                <w:szCs w:val="22"/>
              </w:rPr>
              <w:t>357</w:t>
            </w:r>
          </w:p>
        </w:tc>
        <w:tc>
          <w:tcPr>
            <w:tcW w:w="1989" w:type="dxa"/>
            <w:tcBorders>
              <w:top w:val="nil"/>
              <w:left w:val="single" w:sz="4" w:space="0" w:color="auto"/>
              <w:bottom w:val="nil"/>
              <w:right w:val="single" w:sz="4" w:space="0" w:color="auto"/>
            </w:tcBorders>
            <w:hideMark/>
          </w:tcPr>
          <w:p w14:paraId="5F6FC617" w14:textId="77777777" w:rsidR="00092603" w:rsidRPr="00703FB6" w:rsidRDefault="00092603" w:rsidP="00162CA6">
            <w:pPr>
              <w:widowControl w:val="0"/>
              <w:tabs>
                <w:tab w:val="clear" w:pos="1701"/>
              </w:tabs>
              <w:kinsoku w:val="0"/>
              <w:ind w:right="210"/>
              <w:jc w:val="right"/>
              <w:rPr>
                <w:sz w:val="22"/>
              </w:rPr>
            </w:pPr>
            <w:r>
              <w:rPr>
                <w:sz w:val="22"/>
              </w:rPr>
              <w:t xml:space="preserve">28 </w:t>
            </w:r>
            <w:r w:rsidRPr="00703FB6">
              <w:rPr>
                <w:sz w:val="22"/>
              </w:rPr>
              <w:t>548</w:t>
            </w:r>
          </w:p>
        </w:tc>
      </w:tr>
      <w:tr w:rsidR="00092603" w14:paraId="59061CC8" w14:textId="77777777" w:rsidTr="004231A9">
        <w:trPr>
          <w:trHeight w:val="264"/>
          <w:jc w:val="center"/>
        </w:trPr>
        <w:tc>
          <w:tcPr>
            <w:tcW w:w="5665" w:type="dxa"/>
            <w:tcBorders>
              <w:top w:val="nil"/>
              <w:left w:val="single" w:sz="4" w:space="0" w:color="auto"/>
              <w:bottom w:val="nil"/>
              <w:right w:val="single" w:sz="4" w:space="0" w:color="auto"/>
            </w:tcBorders>
            <w:hideMark/>
          </w:tcPr>
          <w:p w14:paraId="0A691422" w14:textId="77777777" w:rsidR="00092603" w:rsidRDefault="00092603" w:rsidP="00162CA6">
            <w:pPr>
              <w:pStyle w:val="Tabletext"/>
              <w:rPr>
                <w:lang w:eastAsia="zh-CN"/>
              </w:rPr>
            </w:pPr>
            <w:r>
              <w:rPr>
                <w:lang w:eastAsia="zh-CN"/>
              </w:rPr>
              <w:t>Pertes actuarielles comptabilisées à l'actif net</w:t>
            </w:r>
          </w:p>
        </w:tc>
        <w:tc>
          <w:tcPr>
            <w:tcW w:w="1985" w:type="dxa"/>
            <w:tcBorders>
              <w:top w:val="nil"/>
              <w:left w:val="single" w:sz="4" w:space="0" w:color="auto"/>
              <w:bottom w:val="nil"/>
              <w:right w:val="single" w:sz="4" w:space="0" w:color="auto"/>
            </w:tcBorders>
            <w:hideMark/>
          </w:tcPr>
          <w:p w14:paraId="7C36008A" w14:textId="77777777" w:rsidR="00092603" w:rsidRPr="00703FB6" w:rsidRDefault="00092603" w:rsidP="00162CA6">
            <w:pPr>
              <w:widowControl w:val="0"/>
              <w:tabs>
                <w:tab w:val="clear" w:pos="1701"/>
              </w:tabs>
              <w:kinsoku w:val="0"/>
              <w:ind w:right="210"/>
              <w:jc w:val="right"/>
              <w:rPr>
                <w:sz w:val="22"/>
              </w:rPr>
            </w:pPr>
            <w:r w:rsidRPr="00092603">
              <w:rPr>
                <w:sz w:val="22"/>
              </w:rPr>
              <w:t>–</w:t>
            </w:r>
            <w:r>
              <w:rPr>
                <w:sz w:val="22"/>
                <w:szCs w:val="22"/>
              </w:rPr>
              <w:t xml:space="preserve">12 </w:t>
            </w:r>
            <w:r w:rsidRPr="00EB3703">
              <w:rPr>
                <w:sz w:val="22"/>
                <w:szCs w:val="22"/>
              </w:rPr>
              <w:t>038</w:t>
            </w:r>
          </w:p>
        </w:tc>
        <w:tc>
          <w:tcPr>
            <w:tcW w:w="1989" w:type="dxa"/>
            <w:tcBorders>
              <w:top w:val="nil"/>
              <w:left w:val="single" w:sz="4" w:space="0" w:color="auto"/>
              <w:bottom w:val="nil"/>
              <w:right w:val="single" w:sz="4" w:space="0" w:color="auto"/>
            </w:tcBorders>
            <w:hideMark/>
          </w:tcPr>
          <w:p w14:paraId="3EBFA412" w14:textId="77777777" w:rsidR="00092603" w:rsidRPr="00703FB6" w:rsidRDefault="00092603" w:rsidP="00162CA6">
            <w:pPr>
              <w:widowControl w:val="0"/>
              <w:tabs>
                <w:tab w:val="clear" w:pos="1701"/>
              </w:tabs>
              <w:kinsoku w:val="0"/>
              <w:ind w:right="210"/>
              <w:jc w:val="right"/>
              <w:rPr>
                <w:sz w:val="22"/>
              </w:rPr>
            </w:pPr>
            <w:r w:rsidRPr="00092603">
              <w:rPr>
                <w:sz w:val="22"/>
              </w:rPr>
              <w:t>–</w:t>
            </w:r>
            <w:r>
              <w:rPr>
                <w:sz w:val="22"/>
                <w:szCs w:val="22"/>
              </w:rPr>
              <w:t xml:space="preserve">87 </w:t>
            </w:r>
            <w:r w:rsidRPr="00EB3703">
              <w:rPr>
                <w:sz w:val="22"/>
                <w:szCs w:val="22"/>
              </w:rPr>
              <w:t>277</w:t>
            </w:r>
          </w:p>
        </w:tc>
      </w:tr>
      <w:tr w:rsidR="00092603" w14:paraId="5BD3632D" w14:textId="77777777" w:rsidTr="004231A9">
        <w:trPr>
          <w:trHeight w:val="264"/>
          <w:jc w:val="center"/>
        </w:trPr>
        <w:tc>
          <w:tcPr>
            <w:tcW w:w="5665" w:type="dxa"/>
            <w:tcBorders>
              <w:top w:val="nil"/>
              <w:left w:val="single" w:sz="4" w:space="0" w:color="auto"/>
              <w:bottom w:val="nil"/>
              <w:right w:val="single" w:sz="4" w:space="0" w:color="auto"/>
            </w:tcBorders>
            <w:vAlign w:val="bottom"/>
            <w:hideMark/>
          </w:tcPr>
          <w:p w14:paraId="5A8B011E" w14:textId="37D84ED8" w:rsidR="00092603" w:rsidRDefault="00B65C8D" w:rsidP="00162CA6">
            <w:pPr>
              <w:pStyle w:val="Tabletext"/>
              <w:rPr>
                <w:lang w:eastAsia="zh-CN"/>
              </w:rPr>
            </w:pPr>
            <w:r>
              <w:rPr>
                <w:lang w:eastAsia="zh-CN"/>
              </w:rPr>
              <w:t xml:space="preserve">Cotisations pendant </w:t>
            </w:r>
            <w:r w:rsidR="00092603">
              <w:rPr>
                <w:lang w:eastAsia="zh-CN"/>
              </w:rPr>
              <w:t>l'exercice</w:t>
            </w:r>
          </w:p>
        </w:tc>
        <w:tc>
          <w:tcPr>
            <w:tcW w:w="1985" w:type="dxa"/>
            <w:tcBorders>
              <w:top w:val="nil"/>
              <w:left w:val="single" w:sz="4" w:space="0" w:color="auto"/>
              <w:bottom w:val="nil"/>
              <w:right w:val="single" w:sz="4" w:space="0" w:color="auto"/>
            </w:tcBorders>
            <w:hideMark/>
          </w:tcPr>
          <w:p w14:paraId="21B6BB49" w14:textId="77777777" w:rsidR="00092603" w:rsidRPr="00703FB6" w:rsidRDefault="00092603" w:rsidP="00162CA6">
            <w:pPr>
              <w:widowControl w:val="0"/>
              <w:tabs>
                <w:tab w:val="clear" w:pos="1701"/>
              </w:tabs>
              <w:kinsoku w:val="0"/>
              <w:ind w:right="210"/>
              <w:jc w:val="right"/>
              <w:rPr>
                <w:sz w:val="22"/>
              </w:rPr>
            </w:pPr>
            <w:r w:rsidRPr="00092603">
              <w:rPr>
                <w:sz w:val="22"/>
              </w:rPr>
              <w:t>–</w:t>
            </w:r>
            <w:r>
              <w:rPr>
                <w:sz w:val="22"/>
              </w:rPr>
              <w:t xml:space="preserve">6 </w:t>
            </w:r>
            <w:r w:rsidRPr="00EB3703">
              <w:rPr>
                <w:sz w:val="22"/>
                <w:szCs w:val="22"/>
              </w:rPr>
              <w:t>663</w:t>
            </w:r>
          </w:p>
        </w:tc>
        <w:tc>
          <w:tcPr>
            <w:tcW w:w="1989" w:type="dxa"/>
            <w:tcBorders>
              <w:top w:val="nil"/>
              <w:left w:val="single" w:sz="4" w:space="0" w:color="auto"/>
              <w:bottom w:val="nil"/>
              <w:right w:val="single" w:sz="4" w:space="0" w:color="auto"/>
            </w:tcBorders>
            <w:hideMark/>
          </w:tcPr>
          <w:p w14:paraId="7A3B9BC2" w14:textId="77777777" w:rsidR="00092603" w:rsidRPr="00703FB6" w:rsidRDefault="00752852" w:rsidP="00162CA6">
            <w:pPr>
              <w:widowControl w:val="0"/>
              <w:tabs>
                <w:tab w:val="clear" w:pos="1701"/>
              </w:tabs>
              <w:kinsoku w:val="0"/>
              <w:ind w:right="210"/>
              <w:jc w:val="right"/>
              <w:rPr>
                <w:sz w:val="22"/>
              </w:rPr>
            </w:pPr>
            <w:r w:rsidRPr="00752852">
              <w:rPr>
                <w:sz w:val="22"/>
              </w:rPr>
              <w:t>–</w:t>
            </w:r>
            <w:r w:rsidR="00092603">
              <w:rPr>
                <w:sz w:val="22"/>
                <w:szCs w:val="22"/>
              </w:rPr>
              <w:t xml:space="preserve">6 </w:t>
            </w:r>
            <w:r w:rsidR="00092603" w:rsidRPr="00EB3703">
              <w:rPr>
                <w:sz w:val="22"/>
                <w:szCs w:val="22"/>
              </w:rPr>
              <w:t>281</w:t>
            </w:r>
          </w:p>
        </w:tc>
      </w:tr>
      <w:tr w:rsidR="00092603" w14:paraId="08D13357" w14:textId="77777777" w:rsidTr="004231A9">
        <w:trPr>
          <w:trHeight w:val="264"/>
          <w:jc w:val="center"/>
        </w:trPr>
        <w:tc>
          <w:tcPr>
            <w:tcW w:w="5665" w:type="dxa"/>
            <w:tcBorders>
              <w:top w:val="nil"/>
              <w:left w:val="single" w:sz="4" w:space="0" w:color="auto"/>
              <w:bottom w:val="nil"/>
              <w:right w:val="single" w:sz="4" w:space="0" w:color="auto"/>
            </w:tcBorders>
            <w:hideMark/>
          </w:tcPr>
          <w:p w14:paraId="57909F5F" w14:textId="77777777" w:rsidR="00092603" w:rsidRDefault="00092603" w:rsidP="00162CA6">
            <w:pPr>
              <w:pStyle w:val="Tabletext"/>
              <w:rPr>
                <w:lang w:eastAsia="zh-CN"/>
              </w:rPr>
            </w:pPr>
            <w:r>
              <w:rPr>
                <w:lang w:eastAsia="zh-CN"/>
              </w:rPr>
              <w:t>Pertes/(gains) de change non réalisés</w:t>
            </w:r>
          </w:p>
        </w:tc>
        <w:tc>
          <w:tcPr>
            <w:tcW w:w="1985" w:type="dxa"/>
            <w:tcBorders>
              <w:top w:val="nil"/>
              <w:left w:val="single" w:sz="4" w:space="0" w:color="auto"/>
              <w:bottom w:val="nil"/>
              <w:right w:val="single" w:sz="4" w:space="0" w:color="auto"/>
            </w:tcBorders>
            <w:hideMark/>
          </w:tcPr>
          <w:p w14:paraId="623EDA2C" w14:textId="77777777" w:rsidR="00092603" w:rsidRPr="00703FB6" w:rsidRDefault="00092603" w:rsidP="00162CA6">
            <w:pPr>
              <w:widowControl w:val="0"/>
              <w:tabs>
                <w:tab w:val="clear" w:pos="1701"/>
              </w:tabs>
              <w:kinsoku w:val="0"/>
              <w:ind w:right="210"/>
              <w:jc w:val="right"/>
              <w:rPr>
                <w:sz w:val="22"/>
              </w:rPr>
            </w:pPr>
            <w:r w:rsidRPr="00703FB6">
              <w:rPr>
                <w:sz w:val="22"/>
              </w:rPr>
              <w:t>0</w:t>
            </w:r>
          </w:p>
        </w:tc>
        <w:tc>
          <w:tcPr>
            <w:tcW w:w="1989" w:type="dxa"/>
            <w:tcBorders>
              <w:top w:val="nil"/>
              <w:left w:val="single" w:sz="4" w:space="0" w:color="auto"/>
              <w:bottom w:val="nil"/>
              <w:right w:val="single" w:sz="4" w:space="0" w:color="auto"/>
            </w:tcBorders>
            <w:hideMark/>
          </w:tcPr>
          <w:p w14:paraId="2044C1F2" w14:textId="77777777" w:rsidR="00092603" w:rsidRPr="00703FB6" w:rsidRDefault="00092603" w:rsidP="00162CA6">
            <w:pPr>
              <w:widowControl w:val="0"/>
              <w:tabs>
                <w:tab w:val="clear" w:pos="1701"/>
              </w:tabs>
              <w:kinsoku w:val="0"/>
              <w:ind w:right="210"/>
              <w:jc w:val="right"/>
              <w:rPr>
                <w:sz w:val="22"/>
              </w:rPr>
            </w:pPr>
            <w:r w:rsidRPr="00703FB6">
              <w:rPr>
                <w:sz w:val="22"/>
              </w:rPr>
              <w:t>0</w:t>
            </w:r>
          </w:p>
        </w:tc>
      </w:tr>
      <w:tr w:rsidR="00092603" w14:paraId="4235A3BC" w14:textId="77777777" w:rsidTr="004231A9">
        <w:trPr>
          <w:trHeight w:val="336"/>
          <w:jc w:val="center"/>
        </w:trPr>
        <w:tc>
          <w:tcPr>
            <w:tcW w:w="5665" w:type="dxa"/>
            <w:tcBorders>
              <w:top w:val="nil"/>
              <w:left w:val="single" w:sz="4" w:space="0" w:color="auto"/>
              <w:bottom w:val="single" w:sz="4" w:space="0" w:color="auto"/>
              <w:right w:val="single" w:sz="4" w:space="0" w:color="auto"/>
            </w:tcBorders>
            <w:hideMark/>
          </w:tcPr>
          <w:p w14:paraId="5CAB3C96" w14:textId="77777777" w:rsidR="00092603" w:rsidRDefault="00092603" w:rsidP="00162CA6">
            <w:pPr>
              <w:pStyle w:val="Tabletext"/>
              <w:rPr>
                <w:lang w:eastAsia="zh-CN"/>
              </w:rPr>
            </w:pPr>
            <w:r>
              <w:rPr>
                <w:lang w:eastAsia="zh-CN"/>
              </w:rPr>
              <w:t>Montant des engagements au titre du plan ASHI au 31 décembre 2019-2018</w:t>
            </w:r>
          </w:p>
        </w:tc>
        <w:tc>
          <w:tcPr>
            <w:tcW w:w="1985" w:type="dxa"/>
            <w:tcBorders>
              <w:top w:val="nil"/>
              <w:left w:val="single" w:sz="4" w:space="0" w:color="auto"/>
              <w:bottom w:val="single" w:sz="4" w:space="0" w:color="auto"/>
              <w:right w:val="single" w:sz="4" w:space="0" w:color="auto"/>
            </w:tcBorders>
            <w:hideMark/>
          </w:tcPr>
          <w:p w14:paraId="3040383C" w14:textId="77777777" w:rsidR="00092603" w:rsidRPr="00703FB6" w:rsidRDefault="00092603" w:rsidP="00162CA6">
            <w:pPr>
              <w:widowControl w:val="0"/>
              <w:tabs>
                <w:tab w:val="clear" w:pos="1701"/>
              </w:tabs>
              <w:kinsoku w:val="0"/>
              <w:ind w:right="210"/>
              <w:jc w:val="right"/>
              <w:rPr>
                <w:sz w:val="22"/>
              </w:rPr>
            </w:pPr>
            <w:r>
              <w:rPr>
                <w:sz w:val="22"/>
                <w:szCs w:val="22"/>
              </w:rPr>
              <w:t xml:space="preserve">611 </w:t>
            </w:r>
            <w:r w:rsidRPr="00EB3703">
              <w:rPr>
                <w:sz w:val="22"/>
                <w:szCs w:val="22"/>
              </w:rPr>
              <w:t>896</w:t>
            </w:r>
          </w:p>
        </w:tc>
        <w:tc>
          <w:tcPr>
            <w:tcW w:w="1989" w:type="dxa"/>
            <w:tcBorders>
              <w:top w:val="nil"/>
              <w:left w:val="single" w:sz="4" w:space="0" w:color="auto"/>
              <w:bottom w:val="single" w:sz="4" w:space="0" w:color="auto"/>
              <w:right w:val="single" w:sz="4" w:space="0" w:color="auto"/>
            </w:tcBorders>
            <w:hideMark/>
          </w:tcPr>
          <w:p w14:paraId="2ABA254C" w14:textId="77777777" w:rsidR="00092603" w:rsidRPr="00897BF1" w:rsidRDefault="00092603" w:rsidP="00162CA6">
            <w:pPr>
              <w:widowControl w:val="0"/>
              <w:tabs>
                <w:tab w:val="clear" w:pos="1701"/>
              </w:tabs>
              <w:kinsoku w:val="0"/>
              <w:ind w:right="210"/>
              <w:jc w:val="right"/>
              <w:rPr>
                <w:sz w:val="22"/>
              </w:rPr>
            </w:pPr>
            <w:r w:rsidRPr="00703FB6">
              <w:rPr>
                <w:sz w:val="22"/>
              </w:rPr>
              <w:t>552</w:t>
            </w:r>
            <w:r>
              <w:rPr>
                <w:sz w:val="22"/>
              </w:rPr>
              <w:t xml:space="preserve"> </w:t>
            </w:r>
            <w:r w:rsidRPr="00703FB6">
              <w:rPr>
                <w:sz w:val="22"/>
              </w:rPr>
              <w:t>240</w:t>
            </w:r>
          </w:p>
        </w:tc>
      </w:tr>
    </w:tbl>
    <w:p w14:paraId="1ED735F2" w14:textId="77777777" w:rsidR="004231A9" w:rsidRPr="006F1AE8" w:rsidRDefault="004231A9" w:rsidP="00162CA6">
      <w:pPr>
        <w:spacing w:after="240"/>
      </w:pPr>
      <w:r w:rsidRPr="006F1AE8">
        <w:lastRenderedPageBreak/>
        <w:t>2.2</w:t>
      </w:r>
      <w:r w:rsidRPr="006F1AE8">
        <w:tab/>
      </w:r>
      <w:r w:rsidR="006F1AE8" w:rsidRPr="006F1AE8">
        <w:t>Le tableau ci-dessous présente une analyse</w:t>
      </w:r>
      <w:r w:rsidR="00752852" w:rsidRPr="006F1AE8">
        <w:t xml:space="preserve"> </w:t>
      </w:r>
      <w:r w:rsidR="000E38F7">
        <w:t>des charges et produits</w:t>
      </w:r>
      <w:r w:rsidR="00037C64">
        <w:t xml:space="preserve"> </w:t>
      </w:r>
      <w:r w:rsidR="00672D39">
        <w:t>enregistré</w:t>
      </w:r>
      <w:r w:rsidR="000E38F7">
        <w:t>s</w:t>
      </w:r>
      <w:r w:rsidR="00672D39">
        <w:t xml:space="preserve"> a</w:t>
      </w:r>
      <w:r w:rsidR="00037C64">
        <w:t xml:space="preserve">u compte de </w:t>
      </w:r>
      <w:r w:rsidR="00A55755">
        <w:t>pertes et profits</w:t>
      </w:r>
      <w:r w:rsidR="00037C64">
        <w:t xml:space="preserve"> </w:t>
      </w:r>
      <w:r w:rsidR="006F1AE8" w:rsidRPr="006F1AE8">
        <w:t xml:space="preserve">à la fin </w:t>
      </w:r>
      <w:r w:rsidR="006F1AE8">
        <w:t>de l'exercice</w:t>
      </w:r>
      <w:r w:rsidR="00752852" w:rsidRPr="006F1AE8">
        <w:t>.</w:t>
      </w:r>
    </w:p>
    <w:tbl>
      <w:tblPr>
        <w:tblW w:w="86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79"/>
        <w:gridCol w:w="1346"/>
        <w:gridCol w:w="1417"/>
      </w:tblGrid>
      <w:tr w:rsidR="004231A9" w14:paraId="635FB1D1" w14:textId="77777777" w:rsidTr="004231A9">
        <w:trPr>
          <w:trHeight w:val="567"/>
          <w:jc w:val="center"/>
        </w:trPr>
        <w:tc>
          <w:tcPr>
            <w:tcW w:w="5879" w:type="dxa"/>
            <w:tcBorders>
              <w:top w:val="single" w:sz="4" w:space="0" w:color="auto"/>
              <w:left w:val="single" w:sz="4" w:space="0" w:color="auto"/>
              <w:bottom w:val="single" w:sz="4" w:space="0" w:color="auto"/>
              <w:right w:val="single" w:sz="4" w:space="0" w:color="auto"/>
            </w:tcBorders>
            <w:vAlign w:val="center"/>
            <w:hideMark/>
          </w:tcPr>
          <w:p w14:paraId="413D45CD" w14:textId="5B30A353" w:rsidR="004231A9" w:rsidRDefault="006F1AE8" w:rsidP="00162CA6">
            <w:pPr>
              <w:pStyle w:val="Tablehead"/>
              <w:rPr>
                <w:lang w:eastAsia="zh-CN"/>
              </w:rPr>
            </w:pPr>
            <w:r>
              <w:rPr>
                <w:lang w:eastAsia="zh-CN"/>
              </w:rPr>
              <w:t>Montants comptabilisé</w:t>
            </w:r>
            <w:r w:rsidR="004231A9">
              <w:rPr>
                <w:lang w:eastAsia="zh-CN"/>
              </w:rPr>
              <w:t xml:space="preserve">s </w:t>
            </w:r>
            <w:r>
              <w:rPr>
                <w:lang w:eastAsia="zh-CN"/>
              </w:rPr>
              <w:t xml:space="preserve">dans l'état </w:t>
            </w:r>
            <w:r w:rsidR="00897BF1">
              <w:rPr>
                <w:lang w:eastAsia="zh-CN"/>
              </w:rPr>
              <w:br/>
            </w:r>
            <w:r>
              <w:rPr>
                <w:lang w:eastAsia="zh-CN"/>
              </w:rPr>
              <w:t>de la performance financière</w:t>
            </w:r>
          </w:p>
        </w:tc>
        <w:tc>
          <w:tcPr>
            <w:tcW w:w="2763" w:type="dxa"/>
            <w:gridSpan w:val="2"/>
            <w:tcBorders>
              <w:top w:val="single" w:sz="4" w:space="0" w:color="auto"/>
              <w:left w:val="nil"/>
              <w:bottom w:val="single" w:sz="4" w:space="0" w:color="auto"/>
              <w:right w:val="single" w:sz="4" w:space="0" w:color="auto"/>
            </w:tcBorders>
            <w:hideMark/>
          </w:tcPr>
          <w:p w14:paraId="66ABAED9" w14:textId="77777777" w:rsidR="004231A9" w:rsidRDefault="004231A9" w:rsidP="00162CA6">
            <w:pPr>
              <w:pStyle w:val="Tablehead"/>
              <w:rPr>
                <w:lang w:eastAsia="zh-CN"/>
              </w:rPr>
            </w:pPr>
            <w:r>
              <w:rPr>
                <w:lang w:eastAsia="zh-CN"/>
              </w:rPr>
              <w:t>En milliers de CHF</w:t>
            </w:r>
          </w:p>
        </w:tc>
      </w:tr>
      <w:tr w:rsidR="004231A9" w14:paraId="541525A8" w14:textId="77777777" w:rsidTr="004231A9">
        <w:trPr>
          <w:trHeight w:val="264"/>
          <w:jc w:val="center"/>
        </w:trPr>
        <w:tc>
          <w:tcPr>
            <w:tcW w:w="5879" w:type="dxa"/>
            <w:tcBorders>
              <w:top w:val="single" w:sz="4" w:space="0" w:color="auto"/>
              <w:left w:val="single" w:sz="4" w:space="0" w:color="auto"/>
              <w:bottom w:val="nil"/>
              <w:right w:val="single" w:sz="4" w:space="0" w:color="auto"/>
            </w:tcBorders>
            <w:hideMark/>
          </w:tcPr>
          <w:p w14:paraId="693589D9" w14:textId="77777777" w:rsidR="004231A9" w:rsidRDefault="004231A9" w:rsidP="00162CA6">
            <w:pPr>
              <w:rPr>
                <w:lang w:eastAsia="zh-CN"/>
              </w:rPr>
            </w:pPr>
          </w:p>
        </w:tc>
        <w:tc>
          <w:tcPr>
            <w:tcW w:w="1346" w:type="dxa"/>
            <w:tcBorders>
              <w:top w:val="single" w:sz="4" w:space="0" w:color="auto"/>
              <w:left w:val="nil"/>
              <w:bottom w:val="nil"/>
              <w:right w:val="single" w:sz="4" w:space="0" w:color="auto"/>
            </w:tcBorders>
            <w:hideMark/>
          </w:tcPr>
          <w:p w14:paraId="45F62B63" w14:textId="77777777" w:rsidR="004231A9" w:rsidRDefault="004231A9" w:rsidP="00162CA6">
            <w:pPr>
              <w:pStyle w:val="Tabletext"/>
              <w:jc w:val="center"/>
              <w:rPr>
                <w:b/>
                <w:lang w:eastAsia="zh-CN"/>
              </w:rPr>
            </w:pPr>
            <w:r>
              <w:rPr>
                <w:b/>
                <w:lang w:eastAsia="zh-CN"/>
              </w:rPr>
              <w:t>31.12.201</w:t>
            </w:r>
            <w:r w:rsidR="00752852">
              <w:rPr>
                <w:b/>
                <w:lang w:eastAsia="zh-CN"/>
              </w:rPr>
              <w:t>9</w:t>
            </w:r>
          </w:p>
        </w:tc>
        <w:tc>
          <w:tcPr>
            <w:tcW w:w="1417" w:type="dxa"/>
            <w:tcBorders>
              <w:top w:val="single" w:sz="4" w:space="0" w:color="auto"/>
              <w:left w:val="single" w:sz="4" w:space="0" w:color="auto"/>
              <w:bottom w:val="nil"/>
              <w:right w:val="single" w:sz="4" w:space="0" w:color="auto"/>
            </w:tcBorders>
            <w:vAlign w:val="bottom"/>
            <w:hideMark/>
          </w:tcPr>
          <w:p w14:paraId="0FEB61D7" w14:textId="77777777" w:rsidR="004231A9" w:rsidRDefault="004231A9" w:rsidP="00162CA6">
            <w:pPr>
              <w:pStyle w:val="Tabletext"/>
              <w:jc w:val="center"/>
              <w:rPr>
                <w:b/>
                <w:lang w:eastAsia="zh-CN"/>
              </w:rPr>
            </w:pPr>
            <w:r>
              <w:rPr>
                <w:b/>
                <w:lang w:eastAsia="zh-CN"/>
              </w:rPr>
              <w:t>31.12.201</w:t>
            </w:r>
            <w:r w:rsidR="00752852">
              <w:rPr>
                <w:b/>
                <w:lang w:eastAsia="zh-CN"/>
              </w:rPr>
              <w:t>8</w:t>
            </w:r>
          </w:p>
        </w:tc>
      </w:tr>
      <w:tr w:rsidR="004231A9" w:rsidRPr="00421B4A" w14:paraId="1B8D93F4" w14:textId="77777777" w:rsidTr="009938C2">
        <w:trPr>
          <w:trHeight w:val="264"/>
          <w:jc w:val="center"/>
        </w:trPr>
        <w:tc>
          <w:tcPr>
            <w:tcW w:w="5879" w:type="dxa"/>
            <w:tcBorders>
              <w:top w:val="nil"/>
              <w:left w:val="single" w:sz="4" w:space="0" w:color="auto"/>
              <w:bottom w:val="nil"/>
              <w:right w:val="single" w:sz="4" w:space="0" w:color="auto"/>
            </w:tcBorders>
            <w:hideMark/>
          </w:tcPr>
          <w:p w14:paraId="4A5292D8" w14:textId="3A15E502" w:rsidR="004231A9" w:rsidRPr="00421B4A" w:rsidRDefault="00421B4A" w:rsidP="00162CA6">
            <w:pPr>
              <w:pStyle w:val="Tabletext"/>
              <w:rPr>
                <w:lang w:eastAsia="zh-CN"/>
              </w:rPr>
            </w:pPr>
            <w:r w:rsidRPr="00421B4A">
              <w:rPr>
                <w:lang w:eastAsia="zh-CN"/>
              </w:rPr>
              <w:t xml:space="preserve">Mise à jour des engagements et des </w:t>
            </w:r>
            <w:r w:rsidR="00B65C8D">
              <w:rPr>
                <w:lang w:eastAsia="zh-CN"/>
              </w:rPr>
              <w:t xml:space="preserve">cotisations </w:t>
            </w:r>
            <w:r w:rsidR="00B75B55">
              <w:rPr>
                <w:lang w:eastAsia="zh-CN"/>
              </w:rPr>
              <w:t xml:space="preserve">pour </w:t>
            </w:r>
            <w:r w:rsidR="004231A9" w:rsidRPr="00421B4A">
              <w:rPr>
                <w:lang w:eastAsia="zh-CN"/>
              </w:rPr>
              <w:t>l'exercice</w:t>
            </w:r>
          </w:p>
        </w:tc>
        <w:tc>
          <w:tcPr>
            <w:tcW w:w="1346" w:type="dxa"/>
            <w:tcBorders>
              <w:top w:val="nil"/>
              <w:left w:val="nil"/>
              <w:bottom w:val="nil"/>
              <w:right w:val="single" w:sz="4" w:space="0" w:color="auto"/>
            </w:tcBorders>
          </w:tcPr>
          <w:p w14:paraId="5CD84920" w14:textId="77777777" w:rsidR="004231A9" w:rsidRPr="00421B4A" w:rsidRDefault="004231A9" w:rsidP="00162CA6">
            <w:pPr>
              <w:pStyle w:val="Tabletext"/>
              <w:jc w:val="right"/>
              <w:rPr>
                <w:bCs/>
                <w:color w:val="000000"/>
                <w:szCs w:val="18"/>
                <w:lang w:eastAsia="zh-CN"/>
              </w:rPr>
            </w:pPr>
          </w:p>
        </w:tc>
        <w:tc>
          <w:tcPr>
            <w:tcW w:w="1417" w:type="dxa"/>
            <w:tcBorders>
              <w:top w:val="nil"/>
              <w:left w:val="single" w:sz="4" w:space="0" w:color="auto"/>
              <w:bottom w:val="nil"/>
              <w:right w:val="single" w:sz="4" w:space="0" w:color="auto"/>
            </w:tcBorders>
          </w:tcPr>
          <w:p w14:paraId="707A369A" w14:textId="77777777" w:rsidR="004231A9" w:rsidRPr="00421B4A" w:rsidRDefault="004231A9" w:rsidP="00162CA6">
            <w:pPr>
              <w:pStyle w:val="Tabletext"/>
              <w:jc w:val="right"/>
              <w:rPr>
                <w:bCs/>
                <w:color w:val="000000"/>
                <w:szCs w:val="18"/>
                <w:lang w:eastAsia="zh-CN"/>
              </w:rPr>
            </w:pPr>
          </w:p>
        </w:tc>
      </w:tr>
      <w:tr w:rsidR="009938C2" w14:paraId="1A3D0005" w14:textId="77777777" w:rsidTr="00975619">
        <w:trPr>
          <w:trHeight w:val="264"/>
          <w:jc w:val="center"/>
        </w:trPr>
        <w:tc>
          <w:tcPr>
            <w:tcW w:w="5879" w:type="dxa"/>
            <w:tcBorders>
              <w:top w:val="nil"/>
              <w:left w:val="single" w:sz="4" w:space="0" w:color="auto"/>
              <w:bottom w:val="nil"/>
              <w:right w:val="single" w:sz="4" w:space="0" w:color="auto"/>
            </w:tcBorders>
            <w:hideMark/>
          </w:tcPr>
          <w:p w14:paraId="2171C199" w14:textId="77777777" w:rsidR="009938C2" w:rsidRDefault="006F1AE8" w:rsidP="00162CA6">
            <w:pPr>
              <w:pStyle w:val="Tabletext"/>
              <w:rPr>
                <w:lang w:eastAsia="zh-CN"/>
              </w:rPr>
            </w:pPr>
            <w:r w:rsidRPr="00421B4A">
              <w:rPr>
                <w:szCs w:val="22"/>
              </w:rPr>
              <w:t xml:space="preserve">Coûts </w:t>
            </w:r>
            <w:r w:rsidR="00421B4A" w:rsidRPr="00421B4A">
              <w:rPr>
                <w:szCs w:val="22"/>
              </w:rPr>
              <w:t>des prestations au titre des services rendus</w:t>
            </w:r>
          </w:p>
        </w:tc>
        <w:tc>
          <w:tcPr>
            <w:tcW w:w="1346" w:type="dxa"/>
            <w:tcBorders>
              <w:top w:val="nil"/>
              <w:left w:val="nil"/>
              <w:bottom w:val="nil"/>
              <w:right w:val="single" w:sz="4" w:space="0" w:color="auto"/>
            </w:tcBorders>
            <w:vAlign w:val="bottom"/>
            <w:hideMark/>
          </w:tcPr>
          <w:p w14:paraId="241CC8C6" w14:textId="77777777" w:rsidR="009938C2" w:rsidRPr="00703FB6" w:rsidRDefault="009938C2" w:rsidP="00162CA6">
            <w:pPr>
              <w:tabs>
                <w:tab w:val="clear" w:pos="567"/>
                <w:tab w:val="clear" w:pos="1134"/>
                <w:tab w:val="clear" w:pos="1701"/>
                <w:tab w:val="clear" w:pos="2268"/>
                <w:tab w:val="clear" w:pos="2835"/>
              </w:tabs>
              <w:overflowPunct/>
              <w:autoSpaceDE/>
              <w:autoSpaceDN/>
              <w:adjustRightInd/>
              <w:spacing w:before="0"/>
              <w:jc w:val="right"/>
              <w:textAlignment w:val="auto"/>
              <w:rPr>
                <w:sz w:val="22"/>
                <w:lang w:val="en-US"/>
              </w:rPr>
            </w:pPr>
            <w:r>
              <w:rPr>
                <w:bCs/>
                <w:sz w:val="22"/>
                <w:szCs w:val="22"/>
                <w:lang w:val="en-US"/>
              </w:rPr>
              <w:t xml:space="preserve">21 </w:t>
            </w:r>
            <w:r w:rsidRPr="00CF674C">
              <w:rPr>
                <w:bCs/>
                <w:sz w:val="22"/>
                <w:szCs w:val="22"/>
                <w:lang w:val="en-US"/>
              </w:rPr>
              <w:t>759</w:t>
            </w:r>
          </w:p>
        </w:tc>
        <w:tc>
          <w:tcPr>
            <w:tcW w:w="1417" w:type="dxa"/>
            <w:tcBorders>
              <w:top w:val="nil"/>
              <w:left w:val="single" w:sz="4" w:space="0" w:color="auto"/>
              <w:bottom w:val="nil"/>
              <w:right w:val="single" w:sz="4" w:space="0" w:color="auto"/>
            </w:tcBorders>
            <w:vAlign w:val="bottom"/>
            <w:hideMark/>
          </w:tcPr>
          <w:p w14:paraId="7F4F24A0" w14:textId="77777777" w:rsidR="009938C2" w:rsidRPr="00703FB6" w:rsidRDefault="009938C2" w:rsidP="00162CA6">
            <w:pPr>
              <w:tabs>
                <w:tab w:val="clear" w:pos="567"/>
                <w:tab w:val="clear" w:pos="1134"/>
                <w:tab w:val="clear" w:pos="1701"/>
                <w:tab w:val="clear" w:pos="2268"/>
                <w:tab w:val="clear" w:pos="2835"/>
              </w:tabs>
              <w:overflowPunct/>
              <w:autoSpaceDE/>
              <w:autoSpaceDN/>
              <w:adjustRightInd/>
              <w:spacing w:before="0"/>
              <w:jc w:val="right"/>
              <w:textAlignment w:val="auto"/>
              <w:rPr>
                <w:sz w:val="22"/>
                <w:lang w:val="en-US"/>
              </w:rPr>
            </w:pPr>
            <w:r>
              <w:rPr>
                <w:bCs/>
                <w:sz w:val="22"/>
                <w:szCs w:val="22"/>
                <w:lang w:val="en-US"/>
              </w:rPr>
              <w:t xml:space="preserve">23 </w:t>
            </w:r>
            <w:r w:rsidRPr="00CF674C">
              <w:rPr>
                <w:bCs/>
                <w:sz w:val="22"/>
                <w:szCs w:val="22"/>
                <w:lang w:val="en-US"/>
              </w:rPr>
              <w:t>025</w:t>
            </w:r>
          </w:p>
        </w:tc>
      </w:tr>
      <w:tr w:rsidR="009938C2" w14:paraId="7F701DCB" w14:textId="77777777" w:rsidTr="00FF05D5">
        <w:trPr>
          <w:trHeight w:val="264"/>
          <w:jc w:val="center"/>
        </w:trPr>
        <w:tc>
          <w:tcPr>
            <w:tcW w:w="5879" w:type="dxa"/>
            <w:tcBorders>
              <w:top w:val="nil"/>
              <w:left w:val="single" w:sz="4" w:space="0" w:color="auto"/>
              <w:bottom w:val="nil"/>
              <w:right w:val="single" w:sz="4" w:space="0" w:color="auto"/>
            </w:tcBorders>
            <w:vAlign w:val="bottom"/>
          </w:tcPr>
          <w:p w14:paraId="313676E4" w14:textId="77777777" w:rsidR="009938C2" w:rsidRPr="006F1AE8" w:rsidRDefault="00421B4A" w:rsidP="00162CA6">
            <w:pPr>
              <w:widowControl w:val="0"/>
              <w:kinsoku w:val="0"/>
              <w:spacing w:before="20" w:after="60"/>
              <w:rPr>
                <w:sz w:val="22"/>
                <w:szCs w:val="22"/>
              </w:rPr>
            </w:pPr>
            <w:r>
              <w:rPr>
                <w:sz w:val="22"/>
                <w:szCs w:val="22"/>
              </w:rPr>
              <w:t xml:space="preserve">Coûts </w:t>
            </w:r>
            <w:r w:rsidRPr="00421B4A">
              <w:rPr>
                <w:sz w:val="22"/>
                <w:szCs w:val="22"/>
              </w:rPr>
              <w:t xml:space="preserve">des prestations au titre des services rendus </w:t>
            </w:r>
            <w:r>
              <w:rPr>
                <w:sz w:val="22"/>
                <w:szCs w:val="22"/>
              </w:rPr>
              <w:t xml:space="preserve">dans le passé </w:t>
            </w:r>
            <w:r w:rsidR="009938C2" w:rsidRPr="006F1AE8">
              <w:rPr>
                <w:sz w:val="22"/>
                <w:szCs w:val="22"/>
              </w:rPr>
              <w:t>(</w:t>
            </w:r>
            <w:r w:rsidR="006F1AE8" w:rsidRPr="006F1AE8">
              <w:rPr>
                <w:sz w:val="22"/>
                <w:szCs w:val="22"/>
              </w:rPr>
              <w:t xml:space="preserve">en raison du nouveau </w:t>
            </w:r>
            <w:r w:rsidR="00037C64">
              <w:rPr>
                <w:sz w:val="22"/>
                <w:szCs w:val="22"/>
              </w:rPr>
              <w:t>régime</w:t>
            </w:r>
            <w:r w:rsidR="009938C2" w:rsidRPr="006F1AE8">
              <w:rPr>
                <w:sz w:val="22"/>
                <w:szCs w:val="22"/>
              </w:rPr>
              <w:t>)</w:t>
            </w:r>
          </w:p>
        </w:tc>
        <w:tc>
          <w:tcPr>
            <w:tcW w:w="1346" w:type="dxa"/>
            <w:tcBorders>
              <w:top w:val="nil"/>
              <w:left w:val="nil"/>
              <w:bottom w:val="nil"/>
              <w:right w:val="single" w:sz="4" w:space="0" w:color="auto"/>
            </w:tcBorders>
          </w:tcPr>
          <w:p w14:paraId="117BCFB7" w14:textId="77777777" w:rsidR="009938C2" w:rsidRPr="009938C2" w:rsidRDefault="009938C2" w:rsidP="00162CA6">
            <w:pPr>
              <w:pStyle w:val="Tabletext"/>
              <w:jc w:val="right"/>
              <w:rPr>
                <w:lang w:val="en-US" w:eastAsia="zh-CN"/>
              </w:rPr>
            </w:pPr>
            <w:r>
              <w:rPr>
                <w:bCs/>
                <w:szCs w:val="22"/>
                <w:lang w:val="en-US"/>
              </w:rPr>
              <w:t xml:space="preserve">50 </w:t>
            </w:r>
            <w:r w:rsidRPr="00CF674C">
              <w:rPr>
                <w:bCs/>
                <w:szCs w:val="22"/>
                <w:lang w:val="en-US"/>
              </w:rPr>
              <w:t>029</w:t>
            </w:r>
          </w:p>
        </w:tc>
        <w:tc>
          <w:tcPr>
            <w:tcW w:w="1417" w:type="dxa"/>
            <w:tcBorders>
              <w:top w:val="nil"/>
              <w:left w:val="single" w:sz="4" w:space="0" w:color="auto"/>
              <w:bottom w:val="nil"/>
              <w:right w:val="single" w:sz="4" w:space="0" w:color="auto"/>
            </w:tcBorders>
          </w:tcPr>
          <w:p w14:paraId="55DC4C83" w14:textId="77777777" w:rsidR="009938C2" w:rsidRPr="009938C2" w:rsidRDefault="009938C2" w:rsidP="00162CA6">
            <w:pPr>
              <w:pStyle w:val="Tabletext"/>
              <w:jc w:val="right"/>
              <w:rPr>
                <w:bCs/>
                <w:color w:val="000000"/>
                <w:szCs w:val="18"/>
                <w:lang w:val="en-US" w:eastAsia="zh-CN"/>
              </w:rPr>
            </w:pPr>
          </w:p>
        </w:tc>
      </w:tr>
      <w:tr w:rsidR="009938C2" w14:paraId="5AB29DC2" w14:textId="77777777" w:rsidTr="00F90F24">
        <w:trPr>
          <w:trHeight w:val="264"/>
          <w:jc w:val="center"/>
        </w:trPr>
        <w:tc>
          <w:tcPr>
            <w:tcW w:w="5879" w:type="dxa"/>
            <w:tcBorders>
              <w:top w:val="nil"/>
              <w:left w:val="single" w:sz="4" w:space="0" w:color="auto"/>
              <w:bottom w:val="nil"/>
              <w:right w:val="single" w:sz="4" w:space="0" w:color="auto"/>
            </w:tcBorders>
          </w:tcPr>
          <w:p w14:paraId="0B33FDA5" w14:textId="77777777" w:rsidR="009938C2" w:rsidRPr="00CF674C" w:rsidRDefault="006F1AE8" w:rsidP="00162CA6">
            <w:pPr>
              <w:pStyle w:val="Tabletext"/>
              <w:rPr>
                <w:szCs w:val="22"/>
                <w:lang w:val="en-US"/>
              </w:rPr>
            </w:pPr>
            <w:r>
              <w:rPr>
                <w:szCs w:val="22"/>
                <w:lang w:val="en-US"/>
              </w:rPr>
              <w:t>Charge financière</w:t>
            </w:r>
          </w:p>
        </w:tc>
        <w:tc>
          <w:tcPr>
            <w:tcW w:w="1346" w:type="dxa"/>
            <w:tcBorders>
              <w:top w:val="nil"/>
              <w:left w:val="nil"/>
              <w:bottom w:val="nil"/>
              <w:right w:val="single" w:sz="4" w:space="0" w:color="auto"/>
            </w:tcBorders>
            <w:vAlign w:val="bottom"/>
          </w:tcPr>
          <w:p w14:paraId="64965105" w14:textId="77777777" w:rsidR="009938C2" w:rsidRPr="00CF674C" w:rsidRDefault="009938C2" w:rsidP="00162CA6">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 xml:space="preserve">6 </w:t>
            </w:r>
            <w:r w:rsidRPr="00CF674C">
              <w:rPr>
                <w:bCs/>
                <w:sz w:val="22"/>
                <w:szCs w:val="22"/>
                <w:lang w:val="en-US"/>
              </w:rPr>
              <w:t>569</w:t>
            </w:r>
          </w:p>
        </w:tc>
        <w:tc>
          <w:tcPr>
            <w:tcW w:w="1417" w:type="dxa"/>
            <w:tcBorders>
              <w:top w:val="nil"/>
              <w:left w:val="single" w:sz="4" w:space="0" w:color="auto"/>
              <w:bottom w:val="nil"/>
              <w:right w:val="single" w:sz="4" w:space="0" w:color="auto"/>
            </w:tcBorders>
            <w:vAlign w:val="bottom"/>
          </w:tcPr>
          <w:p w14:paraId="75AF21DA" w14:textId="77777777" w:rsidR="009938C2" w:rsidRPr="00CF674C" w:rsidRDefault="009938C2" w:rsidP="00162CA6">
            <w:pPr>
              <w:tabs>
                <w:tab w:val="clear" w:pos="567"/>
                <w:tab w:val="clear" w:pos="1134"/>
                <w:tab w:val="clear" w:pos="1701"/>
                <w:tab w:val="clear" w:pos="2268"/>
                <w:tab w:val="clear" w:pos="2835"/>
              </w:tabs>
              <w:overflowPunct/>
              <w:autoSpaceDE/>
              <w:autoSpaceDN/>
              <w:adjustRightInd/>
              <w:spacing w:before="0"/>
              <w:jc w:val="right"/>
              <w:textAlignment w:val="auto"/>
              <w:rPr>
                <w:bCs/>
                <w:sz w:val="22"/>
                <w:szCs w:val="22"/>
                <w:lang w:val="en-US"/>
              </w:rPr>
            </w:pPr>
            <w:r>
              <w:rPr>
                <w:bCs/>
                <w:sz w:val="22"/>
                <w:szCs w:val="22"/>
                <w:lang w:val="en-US"/>
              </w:rPr>
              <w:t xml:space="preserve">5 </w:t>
            </w:r>
            <w:r w:rsidRPr="00CF674C">
              <w:rPr>
                <w:bCs/>
                <w:sz w:val="22"/>
                <w:szCs w:val="22"/>
                <w:lang w:val="en-US"/>
              </w:rPr>
              <w:t>523</w:t>
            </w:r>
          </w:p>
        </w:tc>
      </w:tr>
      <w:tr w:rsidR="009938C2" w14:paraId="33C5ADC7" w14:textId="77777777" w:rsidTr="009938C2">
        <w:trPr>
          <w:trHeight w:val="336"/>
          <w:jc w:val="center"/>
        </w:trPr>
        <w:tc>
          <w:tcPr>
            <w:tcW w:w="5879" w:type="dxa"/>
            <w:tcBorders>
              <w:top w:val="nil"/>
              <w:left w:val="single" w:sz="4" w:space="0" w:color="auto"/>
              <w:bottom w:val="nil"/>
              <w:right w:val="single" w:sz="4" w:space="0" w:color="auto"/>
            </w:tcBorders>
            <w:hideMark/>
          </w:tcPr>
          <w:p w14:paraId="115AF52B" w14:textId="77777777" w:rsidR="009938C2" w:rsidRPr="00421B4A" w:rsidRDefault="00421B4A" w:rsidP="00162CA6">
            <w:pPr>
              <w:pStyle w:val="Tabletext"/>
              <w:rPr>
                <w:lang w:eastAsia="zh-CN"/>
              </w:rPr>
            </w:pPr>
            <w:r w:rsidRPr="00421B4A">
              <w:rPr>
                <w:szCs w:val="22"/>
              </w:rPr>
              <w:t>Rendement attendu des actifs liés au plan ASHI</w:t>
            </w:r>
          </w:p>
        </w:tc>
        <w:tc>
          <w:tcPr>
            <w:tcW w:w="1346" w:type="dxa"/>
            <w:tcBorders>
              <w:top w:val="nil"/>
              <w:left w:val="nil"/>
              <w:bottom w:val="single" w:sz="4" w:space="0" w:color="auto"/>
              <w:right w:val="single" w:sz="4" w:space="0" w:color="auto"/>
            </w:tcBorders>
            <w:hideMark/>
          </w:tcPr>
          <w:p w14:paraId="697C365B" w14:textId="77777777" w:rsidR="009938C2" w:rsidRDefault="009938C2" w:rsidP="00162CA6">
            <w:pPr>
              <w:pStyle w:val="Tabletext"/>
              <w:jc w:val="right"/>
              <w:rPr>
                <w:bCs/>
                <w:color w:val="000000"/>
                <w:szCs w:val="18"/>
                <w:lang w:eastAsia="zh-CN"/>
              </w:rPr>
            </w:pPr>
            <w:r>
              <w:rPr>
                <w:bCs/>
                <w:color w:val="000000"/>
                <w:szCs w:val="18"/>
                <w:lang w:eastAsia="zh-CN"/>
              </w:rPr>
              <w:t>0</w:t>
            </w:r>
          </w:p>
        </w:tc>
        <w:tc>
          <w:tcPr>
            <w:tcW w:w="1417" w:type="dxa"/>
            <w:tcBorders>
              <w:top w:val="nil"/>
              <w:left w:val="single" w:sz="4" w:space="0" w:color="auto"/>
              <w:bottom w:val="single" w:sz="4" w:space="0" w:color="auto"/>
              <w:right w:val="single" w:sz="4" w:space="0" w:color="auto"/>
            </w:tcBorders>
            <w:hideMark/>
          </w:tcPr>
          <w:p w14:paraId="5D3E22B0" w14:textId="77777777" w:rsidR="009938C2" w:rsidRDefault="009938C2" w:rsidP="00162CA6">
            <w:pPr>
              <w:pStyle w:val="Tabletext"/>
              <w:jc w:val="right"/>
              <w:rPr>
                <w:bCs/>
                <w:color w:val="000000"/>
                <w:szCs w:val="18"/>
                <w:lang w:eastAsia="zh-CN"/>
              </w:rPr>
            </w:pPr>
            <w:r>
              <w:rPr>
                <w:bCs/>
                <w:color w:val="000000"/>
                <w:szCs w:val="18"/>
                <w:lang w:eastAsia="zh-CN"/>
              </w:rPr>
              <w:t>0</w:t>
            </w:r>
          </w:p>
        </w:tc>
      </w:tr>
      <w:tr w:rsidR="009938C2" w14:paraId="637AF247" w14:textId="77777777" w:rsidTr="009938C2">
        <w:trPr>
          <w:trHeight w:val="336"/>
          <w:jc w:val="center"/>
        </w:trPr>
        <w:tc>
          <w:tcPr>
            <w:tcW w:w="5879" w:type="dxa"/>
            <w:tcBorders>
              <w:top w:val="nil"/>
              <w:left w:val="single" w:sz="4" w:space="0" w:color="auto"/>
              <w:bottom w:val="single" w:sz="4" w:space="0" w:color="auto"/>
              <w:right w:val="single" w:sz="4" w:space="0" w:color="auto"/>
            </w:tcBorders>
          </w:tcPr>
          <w:p w14:paraId="41A87E17" w14:textId="77777777" w:rsidR="009938C2" w:rsidRPr="00CF674C" w:rsidRDefault="009938C2" w:rsidP="00162CA6">
            <w:pPr>
              <w:pStyle w:val="Tabletext"/>
              <w:rPr>
                <w:szCs w:val="22"/>
                <w:lang w:val="en-US"/>
              </w:rPr>
            </w:pPr>
            <w:r w:rsidRPr="00CF674C">
              <w:rPr>
                <w:szCs w:val="22"/>
                <w:lang w:val="en-US"/>
              </w:rPr>
              <w:t>Total</w:t>
            </w:r>
          </w:p>
        </w:tc>
        <w:tc>
          <w:tcPr>
            <w:tcW w:w="1346" w:type="dxa"/>
            <w:tcBorders>
              <w:top w:val="single" w:sz="4" w:space="0" w:color="auto"/>
              <w:left w:val="nil"/>
              <w:bottom w:val="single" w:sz="4" w:space="0" w:color="auto"/>
              <w:right w:val="single" w:sz="4" w:space="0" w:color="auto"/>
            </w:tcBorders>
            <w:vAlign w:val="center"/>
          </w:tcPr>
          <w:p w14:paraId="77FA072D" w14:textId="77777777" w:rsidR="009938C2" w:rsidRPr="00CF674C" w:rsidRDefault="009938C2" w:rsidP="00162CA6">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 xml:space="preserve">78 </w:t>
            </w:r>
            <w:r w:rsidRPr="00CF674C">
              <w:rPr>
                <w:rFonts w:cs="Arial"/>
                <w:sz w:val="22"/>
                <w:szCs w:val="22"/>
              </w:rPr>
              <w:t>357</w:t>
            </w:r>
          </w:p>
        </w:tc>
        <w:tc>
          <w:tcPr>
            <w:tcW w:w="1417" w:type="dxa"/>
            <w:tcBorders>
              <w:top w:val="single" w:sz="4" w:space="0" w:color="auto"/>
              <w:left w:val="single" w:sz="4" w:space="0" w:color="auto"/>
              <w:bottom w:val="single" w:sz="4" w:space="0" w:color="auto"/>
              <w:right w:val="single" w:sz="4" w:space="0" w:color="auto"/>
            </w:tcBorders>
            <w:vAlign w:val="center"/>
          </w:tcPr>
          <w:p w14:paraId="4DF24CD9" w14:textId="77777777" w:rsidR="009938C2" w:rsidRPr="00CF674C" w:rsidRDefault="009938C2" w:rsidP="00162CA6">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 xml:space="preserve">28 </w:t>
            </w:r>
            <w:r w:rsidRPr="00CF674C">
              <w:rPr>
                <w:rFonts w:cs="Arial"/>
                <w:sz w:val="22"/>
                <w:szCs w:val="22"/>
              </w:rPr>
              <w:t>548</w:t>
            </w:r>
          </w:p>
        </w:tc>
      </w:tr>
    </w:tbl>
    <w:p w14:paraId="7EAD78A3" w14:textId="77777777" w:rsidR="009938C2" w:rsidRDefault="009938C2" w:rsidP="00162CA6">
      <w:pPr>
        <w:spacing w:before="240"/>
      </w:pPr>
      <w:r w:rsidRPr="009938C2">
        <w:t>2.3</w:t>
      </w:r>
      <w:r w:rsidRPr="009938C2">
        <w:tab/>
      </w:r>
      <w:r w:rsidR="003F27D3">
        <w:t xml:space="preserve">Ces trois dernières années, </w:t>
      </w:r>
      <w:r w:rsidR="003236AC">
        <w:t xml:space="preserve">et </w:t>
      </w:r>
      <w:r w:rsidRPr="009938C2">
        <w:t>en application d'une décision du Groupe d'action des Nations Unies pour la mise en œuvre des normes IPSAS, toutes les hypothèses relatives à l'évaluation de l'ASHI utilisées par les institutions des Nations Unies ont été harmonisées.</w:t>
      </w:r>
    </w:p>
    <w:p w14:paraId="5FFA062A" w14:textId="4723E183" w:rsidR="004231A9" w:rsidRDefault="004231A9" w:rsidP="00897BF1">
      <w:r>
        <w:t>2.4</w:t>
      </w:r>
      <w:r>
        <w:tab/>
        <w:t xml:space="preserve">Parmi les hypothèses actuarielles utilisées pour l'évaluation actuarielle, le taux d'actualisation (reposant sur le rendement des obligations des entreprises notées AA), la hausse des coûts médicaux et l'augmentation des traitements sont celles dont l'incidence est la plus forte. Une baisse du taux d'actualisation ou une augmentation des coûts médicaux se traduit par une hausse des passifs de l'ASHI, tandis qu'une augmentation des traitements entraîne une hausse des </w:t>
      </w:r>
      <w:r w:rsidR="00B65C8D">
        <w:t xml:space="preserve">cotisations </w:t>
      </w:r>
      <w:r>
        <w:t>versées par les membres et l'UIT et a un effet positif sur le financement des passifs de l'ASHI.</w:t>
      </w:r>
    </w:p>
    <w:p w14:paraId="15CB6A54" w14:textId="77777777" w:rsidR="004231A9" w:rsidRDefault="004231A9" w:rsidP="00162CA6">
      <w:pPr>
        <w:spacing w:after="240"/>
      </w:pPr>
      <w:r>
        <w:t>2.5</w:t>
      </w:r>
      <w:r>
        <w:tab/>
        <w:t>L'évolution de ces hypothèses fait l'objet du tableau ci-après.</w:t>
      </w:r>
    </w:p>
    <w:tbl>
      <w:tblPr>
        <w:tblpPr w:leftFromText="180" w:rightFromText="180" w:vertAnchor="text" w:horzAnchor="margin" w:tblpXSpec="center" w:tblpY="-50"/>
        <w:tblW w:w="8921" w:type="dxa"/>
        <w:tblLayout w:type="fixed"/>
        <w:tblLook w:val="04A0" w:firstRow="1" w:lastRow="0" w:firstColumn="1" w:lastColumn="0" w:noHBand="0" w:noVBand="1"/>
      </w:tblPr>
      <w:tblGrid>
        <w:gridCol w:w="3120"/>
        <w:gridCol w:w="981"/>
        <w:gridCol w:w="964"/>
        <w:gridCol w:w="964"/>
        <w:gridCol w:w="964"/>
        <w:gridCol w:w="964"/>
        <w:gridCol w:w="964"/>
      </w:tblGrid>
      <w:tr w:rsidR="001C4DDD" w14:paraId="1C36647A" w14:textId="77777777" w:rsidTr="001C4DDD">
        <w:tc>
          <w:tcPr>
            <w:tcW w:w="3120" w:type="dxa"/>
            <w:tcBorders>
              <w:top w:val="single" w:sz="4" w:space="0" w:color="auto"/>
              <w:left w:val="single" w:sz="8" w:space="0" w:color="auto"/>
              <w:bottom w:val="nil"/>
              <w:right w:val="nil"/>
            </w:tcBorders>
            <w:vAlign w:val="center"/>
            <w:hideMark/>
          </w:tcPr>
          <w:p w14:paraId="37BACFAA" w14:textId="77777777" w:rsidR="001C4DDD" w:rsidRPr="001C4DDD" w:rsidRDefault="001C4DDD" w:rsidP="00162CA6">
            <w:pPr>
              <w:pStyle w:val="Tablehead"/>
              <w:rPr>
                <w:szCs w:val="22"/>
                <w:lang w:eastAsia="zh-CN"/>
              </w:rPr>
            </w:pPr>
          </w:p>
        </w:tc>
        <w:tc>
          <w:tcPr>
            <w:tcW w:w="981" w:type="dxa"/>
            <w:tcBorders>
              <w:top w:val="single" w:sz="4" w:space="0" w:color="auto"/>
              <w:left w:val="single" w:sz="8" w:space="0" w:color="auto"/>
              <w:bottom w:val="single" w:sz="8" w:space="0" w:color="auto"/>
              <w:right w:val="single" w:sz="8" w:space="0" w:color="auto"/>
            </w:tcBorders>
            <w:vAlign w:val="bottom"/>
            <w:hideMark/>
          </w:tcPr>
          <w:p w14:paraId="14BD7A9C" w14:textId="77777777" w:rsidR="001C4DDD" w:rsidRPr="001C4DDD" w:rsidRDefault="001C4DDD" w:rsidP="00162CA6">
            <w:pPr>
              <w:pStyle w:val="Tablehead"/>
              <w:rPr>
                <w:szCs w:val="22"/>
                <w:lang w:eastAsia="zh-CN"/>
              </w:rPr>
            </w:pPr>
            <w:r w:rsidRPr="001C4DDD">
              <w:rPr>
                <w:szCs w:val="22"/>
                <w:lang w:eastAsia="zh-CN"/>
              </w:rPr>
              <w:t>2014</w:t>
            </w:r>
          </w:p>
        </w:tc>
        <w:tc>
          <w:tcPr>
            <w:tcW w:w="964" w:type="dxa"/>
            <w:tcBorders>
              <w:top w:val="single" w:sz="4" w:space="0" w:color="auto"/>
              <w:left w:val="nil"/>
              <w:bottom w:val="single" w:sz="8" w:space="0" w:color="auto"/>
              <w:right w:val="single" w:sz="8" w:space="0" w:color="auto"/>
            </w:tcBorders>
            <w:noWrap/>
            <w:vAlign w:val="bottom"/>
            <w:hideMark/>
          </w:tcPr>
          <w:p w14:paraId="441581F2" w14:textId="77777777" w:rsidR="001C4DDD" w:rsidRPr="001C4DDD" w:rsidRDefault="001C4DDD" w:rsidP="00162CA6">
            <w:pPr>
              <w:pStyle w:val="Tablehead"/>
              <w:rPr>
                <w:szCs w:val="22"/>
                <w:lang w:eastAsia="zh-CN"/>
              </w:rPr>
            </w:pPr>
            <w:r w:rsidRPr="001C4DDD">
              <w:rPr>
                <w:szCs w:val="22"/>
                <w:lang w:eastAsia="zh-CN"/>
              </w:rPr>
              <w:t>2015</w:t>
            </w:r>
          </w:p>
        </w:tc>
        <w:tc>
          <w:tcPr>
            <w:tcW w:w="964" w:type="dxa"/>
            <w:tcBorders>
              <w:top w:val="single" w:sz="4" w:space="0" w:color="auto"/>
              <w:left w:val="nil"/>
              <w:bottom w:val="single" w:sz="8" w:space="0" w:color="auto"/>
              <w:right w:val="single" w:sz="8" w:space="0" w:color="auto"/>
            </w:tcBorders>
            <w:vAlign w:val="bottom"/>
            <w:hideMark/>
          </w:tcPr>
          <w:p w14:paraId="08270180" w14:textId="77777777" w:rsidR="001C4DDD" w:rsidRPr="001C4DDD" w:rsidRDefault="001C4DDD" w:rsidP="00162CA6">
            <w:pPr>
              <w:pStyle w:val="Tablehead"/>
              <w:rPr>
                <w:szCs w:val="22"/>
                <w:lang w:eastAsia="zh-CN"/>
              </w:rPr>
            </w:pPr>
            <w:r w:rsidRPr="001C4DDD">
              <w:rPr>
                <w:szCs w:val="22"/>
                <w:lang w:eastAsia="zh-CN"/>
              </w:rPr>
              <w:t>2016</w:t>
            </w:r>
          </w:p>
        </w:tc>
        <w:tc>
          <w:tcPr>
            <w:tcW w:w="964" w:type="dxa"/>
            <w:tcBorders>
              <w:top w:val="single" w:sz="4" w:space="0" w:color="auto"/>
              <w:left w:val="nil"/>
              <w:bottom w:val="single" w:sz="8" w:space="0" w:color="auto"/>
              <w:right w:val="single" w:sz="8" w:space="0" w:color="auto"/>
            </w:tcBorders>
            <w:noWrap/>
            <w:vAlign w:val="bottom"/>
            <w:hideMark/>
          </w:tcPr>
          <w:p w14:paraId="5B714425" w14:textId="77777777" w:rsidR="001C4DDD" w:rsidRPr="001C4DDD" w:rsidRDefault="001C4DDD" w:rsidP="00162CA6">
            <w:pPr>
              <w:pStyle w:val="Tablehead"/>
              <w:rPr>
                <w:szCs w:val="22"/>
                <w:lang w:eastAsia="zh-CN"/>
              </w:rPr>
            </w:pPr>
            <w:r w:rsidRPr="001C4DDD">
              <w:rPr>
                <w:szCs w:val="22"/>
                <w:lang w:eastAsia="zh-CN"/>
              </w:rPr>
              <w:t>2017</w:t>
            </w:r>
          </w:p>
        </w:tc>
        <w:tc>
          <w:tcPr>
            <w:tcW w:w="964" w:type="dxa"/>
            <w:tcBorders>
              <w:top w:val="single" w:sz="4" w:space="0" w:color="auto"/>
              <w:left w:val="nil"/>
              <w:bottom w:val="single" w:sz="8" w:space="0" w:color="auto"/>
              <w:right w:val="single" w:sz="8" w:space="0" w:color="auto"/>
            </w:tcBorders>
            <w:vAlign w:val="bottom"/>
            <w:hideMark/>
          </w:tcPr>
          <w:p w14:paraId="23502592" w14:textId="77777777" w:rsidR="001C4DDD" w:rsidRPr="001C4DDD" w:rsidRDefault="001C4DDD" w:rsidP="00162CA6">
            <w:pPr>
              <w:pStyle w:val="Tablehead"/>
              <w:rPr>
                <w:szCs w:val="22"/>
                <w:lang w:eastAsia="zh-CN"/>
              </w:rPr>
            </w:pPr>
            <w:r w:rsidRPr="001C4DDD">
              <w:rPr>
                <w:szCs w:val="22"/>
                <w:lang w:eastAsia="zh-CN"/>
              </w:rPr>
              <w:t>2018</w:t>
            </w:r>
          </w:p>
        </w:tc>
        <w:tc>
          <w:tcPr>
            <w:tcW w:w="964" w:type="dxa"/>
            <w:tcBorders>
              <w:top w:val="single" w:sz="4" w:space="0" w:color="auto"/>
              <w:left w:val="nil"/>
              <w:bottom w:val="single" w:sz="8" w:space="0" w:color="auto"/>
              <w:right w:val="single" w:sz="8" w:space="0" w:color="auto"/>
            </w:tcBorders>
            <w:noWrap/>
            <w:vAlign w:val="bottom"/>
            <w:hideMark/>
          </w:tcPr>
          <w:p w14:paraId="54BE1B9E" w14:textId="77777777" w:rsidR="001C4DDD" w:rsidRPr="001C4DDD" w:rsidRDefault="001C4DDD" w:rsidP="00162CA6">
            <w:pPr>
              <w:pStyle w:val="Tablehead"/>
              <w:rPr>
                <w:szCs w:val="22"/>
                <w:lang w:eastAsia="zh-CN"/>
              </w:rPr>
            </w:pPr>
            <w:r w:rsidRPr="001C4DDD">
              <w:rPr>
                <w:szCs w:val="22"/>
                <w:lang w:eastAsia="zh-CN"/>
              </w:rPr>
              <w:t>2019</w:t>
            </w:r>
          </w:p>
        </w:tc>
      </w:tr>
      <w:tr w:rsidR="001C4DDD" w14:paraId="472920A6" w14:textId="77777777" w:rsidTr="001C4DDD">
        <w:tc>
          <w:tcPr>
            <w:tcW w:w="3120" w:type="dxa"/>
            <w:tcBorders>
              <w:top w:val="nil"/>
              <w:left w:val="single" w:sz="8" w:space="0" w:color="auto"/>
              <w:bottom w:val="nil"/>
              <w:right w:val="nil"/>
            </w:tcBorders>
            <w:vAlign w:val="center"/>
            <w:hideMark/>
          </w:tcPr>
          <w:p w14:paraId="6DB95B42" w14:textId="77777777" w:rsidR="001C4DDD" w:rsidRPr="001C4DDD" w:rsidRDefault="001C4DDD" w:rsidP="00162CA6">
            <w:pPr>
              <w:pStyle w:val="Tabletext"/>
              <w:rPr>
                <w:szCs w:val="22"/>
                <w:lang w:eastAsia="zh-CN"/>
              </w:rPr>
            </w:pPr>
            <w:r w:rsidRPr="001C4DDD">
              <w:rPr>
                <w:szCs w:val="22"/>
                <w:lang w:eastAsia="zh-CN"/>
              </w:rPr>
              <w:t>Taux d'actualisation</w:t>
            </w:r>
          </w:p>
        </w:tc>
        <w:tc>
          <w:tcPr>
            <w:tcW w:w="981" w:type="dxa"/>
            <w:tcBorders>
              <w:top w:val="nil"/>
              <w:left w:val="single" w:sz="8" w:space="0" w:color="auto"/>
              <w:bottom w:val="nil"/>
              <w:right w:val="single" w:sz="8" w:space="0" w:color="auto"/>
            </w:tcBorders>
            <w:vAlign w:val="bottom"/>
            <w:hideMark/>
          </w:tcPr>
          <w:p w14:paraId="7AEEE2FE" w14:textId="77777777" w:rsidR="001C4DDD" w:rsidRPr="001C4DDD" w:rsidRDefault="001C4DDD" w:rsidP="00162CA6">
            <w:pPr>
              <w:jc w:val="center"/>
              <w:rPr>
                <w:rFonts w:asciiTheme="minorHAnsi" w:hAnsiTheme="minorHAnsi"/>
                <w:color w:val="000000"/>
                <w:sz w:val="22"/>
                <w:szCs w:val="22"/>
              </w:rPr>
            </w:pPr>
            <w:r w:rsidRPr="001C4DDD">
              <w:rPr>
                <w:rFonts w:asciiTheme="minorHAnsi" w:hAnsiTheme="minorHAnsi"/>
                <w:color w:val="000000"/>
                <w:sz w:val="22"/>
                <w:szCs w:val="22"/>
              </w:rPr>
              <w:t>1,51%</w:t>
            </w:r>
          </w:p>
        </w:tc>
        <w:tc>
          <w:tcPr>
            <w:tcW w:w="964" w:type="dxa"/>
            <w:tcBorders>
              <w:top w:val="nil"/>
              <w:left w:val="nil"/>
              <w:bottom w:val="nil"/>
              <w:right w:val="single" w:sz="8" w:space="0" w:color="auto"/>
            </w:tcBorders>
            <w:noWrap/>
            <w:vAlign w:val="bottom"/>
            <w:hideMark/>
          </w:tcPr>
          <w:p w14:paraId="39871965" w14:textId="77777777" w:rsidR="001C4DDD" w:rsidRPr="001C4DDD" w:rsidRDefault="001C4DDD" w:rsidP="00162CA6">
            <w:pPr>
              <w:jc w:val="center"/>
              <w:rPr>
                <w:rFonts w:asciiTheme="minorHAnsi" w:hAnsiTheme="minorHAnsi"/>
                <w:color w:val="000000"/>
                <w:sz w:val="22"/>
                <w:szCs w:val="22"/>
              </w:rPr>
            </w:pPr>
            <w:r w:rsidRPr="001C4DDD">
              <w:rPr>
                <w:rFonts w:asciiTheme="minorHAnsi" w:hAnsiTheme="minorHAnsi"/>
                <w:color w:val="000000"/>
                <w:sz w:val="22"/>
                <w:szCs w:val="22"/>
              </w:rPr>
              <w:t>1,32%</w:t>
            </w:r>
          </w:p>
        </w:tc>
        <w:tc>
          <w:tcPr>
            <w:tcW w:w="964" w:type="dxa"/>
            <w:tcBorders>
              <w:top w:val="nil"/>
              <w:left w:val="nil"/>
              <w:bottom w:val="nil"/>
              <w:right w:val="single" w:sz="8" w:space="0" w:color="auto"/>
            </w:tcBorders>
            <w:noWrap/>
            <w:vAlign w:val="bottom"/>
            <w:hideMark/>
          </w:tcPr>
          <w:p w14:paraId="0EE5F98F" w14:textId="77777777" w:rsidR="001C4DDD" w:rsidRPr="001C4DDD" w:rsidRDefault="001C4DDD" w:rsidP="00162CA6">
            <w:pPr>
              <w:jc w:val="center"/>
              <w:rPr>
                <w:rFonts w:asciiTheme="minorHAnsi" w:hAnsiTheme="minorHAnsi"/>
                <w:color w:val="000000"/>
                <w:sz w:val="22"/>
                <w:szCs w:val="22"/>
              </w:rPr>
            </w:pPr>
            <w:r w:rsidRPr="001C4DDD">
              <w:rPr>
                <w:rFonts w:asciiTheme="minorHAnsi" w:hAnsiTheme="minorHAnsi"/>
                <w:color w:val="000000"/>
                <w:sz w:val="22"/>
                <w:szCs w:val="22"/>
              </w:rPr>
              <w:t>0,92%</w:t>
            </w:r>
          </w:p>
        </w:tc>
        <w:tc>
          <w:tcPr>
            <w:tcW w:w="964" w:type="dxa"/>
            <w:tcBorders>
              <w:top w:val="nil"/>
              <w:left w:val="nil"/>
              <w:bottom w:val="nil"/>
              <w:right w:val="single" w:sz="8" w:space="0" w:color="auto"/>
            </w:tcBorders>
            <w:noWrap/>
            <w:vAlign w:val="bottom"/>
            <w:hideMark/>
          </w:tcPr>
          <w:p w14:paraId="27A38977" w14:textId="77777777" w:rsidR="001C4DDD" w:rsidRPr="001C4DDD" w:rsidRDefault="001C4DDD" w:rsidP="00162CA6">
            <w:pPr>
              <w:jc w:val="center"/>
              <w:rPr>
                <w:rFonts w:asciiTheme="minorHAnsi" w:hAnsiTheme="minorHAnsi"/>
                <w:color w:val="000000"/>
                <w:sz w:val="22"/>
                <w:szCs w:val="22"/>
              </w:rPr>
            </w:pPr>
            <w:r w:rsidRPr="001C4DDD">
              <w:rPr>
                <w:rFonts w:asciiTheme="minorHAnsi" w:hAnsiTheme="minorHAnsi"/>
                <w:color w:val="000000"/>
                <w:sz w:val="22"/>
                <w:szCs w:val="22"/>
              </w:rPr>
              <w:t>0,90%</w:t>
            </w:r>
          </w:p>
        </w:tc>
        <w:tc>
          <w:tcPr>
            <w:tcW w:w="964" w:type="dxa"/>
            <w:tcBorders>
              <w:top w:val="nil"/>
              <w:left w:val="nil"/>
              <w:bottom w:val="nil"/>
              <w:right w:val="single" w:sz="8" w:space="0" w:color="auto"/>
            </w:tcBorders>
            <w:noWrap/>
            <w:vAlign w:val="bottom"/>
            <w:hideMark/>
          </w:tcPr>
          <w:p w14:paraId="47DD5BA5" w14:textId="77777777" w:rsidR="001C4DDD" w:rsidRPr="001C4DDD" w:rsidRDefault="001C4DDD" w:rsidP="00162CA6">
            <w:pPr>
              <w:jc w:val="center"/>
              <w:rPr>
                <w:rFonts w:asciiTheme="minorHAnsi" w:hAnsiTheme="minorHAnsi"/>
                <w:color w:val="000000"/>
                <w:sz w:val="22"/>
                <w:szCs w:val="22"/>
              </w:rPr>
            </w:pPr>
            <w:r w:rsidRPr="001C4DDD">
              <w:rPr>
                <w:rFonts w:asciiTheme="minorHAnsi" w:hAnsiTheme="minorHAnsi"/>
                <w:color w:val="000000"/>
                <w:sz w:val="22"/>
                <w:szCs w:val="22"/>
              </w:rPr>
              <w:t>1,20%</w:t>
            </w:r>
          </w:p>
        </w:tc>
        <w:tc>
          <w:tcPr>
            <w:tcW w:w="964" w:type="dxa"/>
            <w:tcBorders>
              <w:top w:val="nil"/>
              <w:left w:val="nil"/>
              <w:bottom w:val="nil"/>
              <w:right w:val="single" w:sz="8" w:space="0" w:color="auto"/>
            </w:tcBorders>
            <w:noWrap/>
            <w:vAlign w:val="bottom"/>
            <w:hideMark/>
          </w:tcPr>
          <w:p w14:paraId="12119260" w14:textId="77777777" w:rsidR="001C4DDD" w:rsidRPr="001C4DDD" w:rsidRDefault="001C4DDD" w:rsidP="00162CA6">
            <w:pPr>
              <w:jc w:val="center"/>
              <w:rPr>
                <w:rFonts w:asciiTheme="minorHAnsi" w:hAnsiTheme="minorHAnsi" w:cstheme="minorHAnsi"/>
                <w:color w:val="000000"/>
                <w:sz w:val="22"/>
                <w:szCs w:val="22"/>
              </w:rPr>
            </w:pPr>
            <w:r w:rsidRPr="001C4DDD">
              <w:rPr>
                <w:rFonts w:asciiTheme="minorHAnsi" w:hAnsiTheme="minorHAnsi" w:cstheme="minorHAnsi"/>
                <w:color w:val="000000"/>
                <w:sz w:val="22"/>
                <w:szCs w:val="22"/>
              </w:rPr>
              <w:t>0,60%</w:t>
            </w:r>
          </w:p>
        </w:tc>
      </w:tr>
      <w:tr w:rsidR="001C4DDD" w14:paraId="68F48429" w14:textId="77777777" w:rsidTr="001C4DDD">
        <w:tc>
          <w:tcPr>
            <w:tcW w:w="3120" w:type="dxa"/>
            <w:tcBorders>
              <w:top w:val="nil"/>
              <w:left w:val="single" w:sz="8" w:space="0" w:color="auto"/>
              <w:bottom w:val="nil"/>
              <w:right w:val="nil"/>
            </w:tcBorders>
            <w:vAlign w:val="center"/>
            <w:hideMark/>
          </w:tcPr>
          <w:p w14:paraId="0FD66DDA" w14:textId="77777777" w:rsidR="001C4DDD" w:rsidRPr="001C4DDD" w:rsidRDefault="001C4DDD" w:rsidP="00162CA6">
            <w:pPr>
              <w:pStyle w:val="Tabletext"/>
              <w:rPr>
                <w:szCs w:val="22"/>
                <w:lang w:eastAsia="zh-CN"/>
              </w:rPr>
            </w:pPr>
            <w:r w:rsidRPr="001C4DDD">
              <w:rPr>
                <w:szCs w:val="22"/>
                <w:lang w:eastAsia="zh-CN"/>
              </w:rPr>
              <w:t>Hausse des coûts médicaux</w:t>
            </w:r>
          </w:p>
        </w:tc>
        <w:tc>
          <w:tcPr>
            <w:tcW w:w="981" w:type="dxa"/>
            <w:tcBorders>
              <w:top w:val="nil"/>
              <w:left w:val="single" w:sz="8" w:space="0" w:color="auto"/>
              <w:bottom w:val="nil"/>
              <w:right w:val="single" w:sz="8" w:space="0" w:color="auto"/>
            </w:tcBorders>
            <w:vAlign w:val="bottom"/>
            <w:hideMark/>
          </w:tcPr>
          <w:p w14:paraId="30410D1A"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5,10%</w:t>
            </w:r>
          </w:p>
        </w:tc>
        <w:tc>
          <w:tcPr>
            <w:tcW w:w="964" w:type="dxa"/>
            <w:tcBorders>
              <w:top w:val="nil"/>
              <w:left w:val="nil"/>
              <w:bottom w:val="nil"/>
              <w:right w:val="single" w:sz="8" w:space="0" w:color="auto"/>
            </w:tcBorders>
            <w:vAlign w:val="bottom"/>
            <w:hideMark/>
          </w:tcPr>
          <w:p w14:paraId="4AA06E2B"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4,80%</w:t>
            </w:r>
          </w:p>
        </w:tc>
        <w:tc>
          <w:tcPr>
            <w:tcW w:w="964" w:type="dxa"/>
            <w:tcBorders>
              <w:top w:val="nil"/>
              <w:left w:val="nil"/>
              <w:bottom w:val="nil"/>
              <w:right w:val="single" w:sz="8" w:space="0" w:color="auto"/>
            </w:tcBorders>
            <w:vAlign w:val="bottom"/>
            <w:hideMark/>
          </w:tcPr>
          <w:p w14:paraId="07AF4BA7"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4,50%</w:t>
            </w:r>
          </w:p>
        </w:tc>
        <w:tc>
          <w:tcPr>
            <w:tcW w:w="964" w:type="dxa"/>
            <w:tcBorders>
              <w:top w:val="nil"/>
              <w:left w:val="nil"/>
              <w:bottom w:val="nil"/>
              <w:right w:val="single" w:sz="8" w:space="0" w:color="auto"/>
            </w:tcBorders>
            <w:vAlign w:val="bottom"/>
            <w:hideMark/>
          </w:tcPr>
          <w:p w14:paraId="6AF60BF3"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4,10%</w:t>
            </w:r>
          </w:p>
        </w:tc>
        <w:tc>
          <w:tcPr>
            <w:tcW w:w="964" w:type="dxa"/>
            <w:tcBorders>
              <w:top w:val="nil"/>
              <w:left w:val="nil"/>
              <w:bottom w:val="nil"/>
              <w:right w:val="single" w:sz="8" w:space="0" w:color="auto"/>
            </w:tcBorders>
            <w:vAlign w:val="bottom"/>
            <w:hideMark/>
          </w:tcPr>
          <w:p w14:paraId="7C3551A6"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3,90%</w:t>
            </w:r>
          </w:p>
        </w:tc>
        <w:tc>
          <w:tcPr>
            <w:tcW w:w="964" w:type="dxa"/>
            <w:tcBorders>
              <w:top w:val="nil"/>
              <w:left w:val="nil"/>
              <w:bottom w:val="nil"/>
              <w:right w:val="single" w:sz="8" w:space="0" w:color="auto"/>
            </w:tcBorders>
            <w:vAlign w:val="bottom"/>
            <w:hideMark/>
          </w:tcPr>
          <w:p w14:paraId="248A4E8F" w14:textId="77777777" w:rsidR="001C4DDD" w:rsidRPr="00897BF1" w:rsidRDefault="001C4DDD" w:rsidP="00162CA6">
            <w:pPr>
              <w:jc w:val="center"/>
              <w:rPr>
                <w:rFonts w:asciiTheme="minorHAnsi" w:hAnsiTheme="minorHAnsi" w:cstheme="minorHAnsi"/>
                <w:i/>
                <w:iCs/>
                <w:color w:val="000000"/>
                <w:sz w:val="22"/>
                <w:szCs w:val="22"/>
              </w:rPr>
            </w:pPr>
            <w:r w:rsidRPr="00897BF1">
              <w:rPr>
                <w:rFonts w:asciiTheme="minorHAnsi" w:hAnsiTheme="minorHAnsi" w:cstheme="minorHAnsi"/>
                <w:i/>
                <w:iCs/>
                <w:color w:val="000000"/>
                <w:sz w:val="22"/>
                <w:szCs w:val="22"/>
              </w:rPr>
              <w:t>3,00%</w:t>
            </w:r>
          </w:p>
        </w:tc>
      </w:tr>
      <w:tr w:rsidR="001C4DDD" w14:paraId="1A26517B" w14:textId="77777777" w:rsidTr="001C4DDD">
        <w:tc>
          <w:tcPr>
            <w:tcW w:w="3120" w:type="dxa"/>
            <w:vMerge w:val="restart"/>
            <w:tcBorders>
              <w:top w:val="nil"/>
              <w:left w:val="single" w:sz="8" w:space="0" w:color="auto"/>
              <w:bottom w:val="single" w:sz="8" w:space="0" w:color="000000"/>
              <w:right w:val="nil"/>
            </w:tcBorders>
            <w:vAlign w:val="center"/>
            <w:hideMark/>
          </w:tcPr>
          <w:p w14:paraId="077F0C4A" w14:textId="77777777" w:rsidR="001C4DDD" w:rsidRPr="001C4DDD" w:rsidRDefault="001C4DDD" w:rsidP="00162CA6">
            <w:pPr>
              <w:pStyle w:val="Tabletext"/>
              <w:rPr>
                <w:szCs w:val="22"/>
                <w:lang w:eastAsia="zh-CN"/>
              </w:rPr>
            </w:pPr>
            <w:r w:rsidRPr="001C4DDD">
              <w:rPr>
                <w:szCs w:val="22"/>
                <w:lang w:eastAsia="zh-CN"/>
              </w:rPr>
              <w:t>Augmentation des traitements</w:t>
            </w:r>
          </w:p>
        </w:tc>
        <w:tc>
          <w:tcPr>
            <w:tcW w:w="981" w:type="dxa"/>
            <w:tcBorders>
              <w:top w:val="nil"/>
              <w:left w:val="single" w:sz="8" w:space="0" w:color="auto"/>
              <w:bottom w:val="nil"/>
              <w:right w:val="single" w:sz="8" w:space="0" w:color="auto"/>
            </w:tcBorders>
            <w:vAlign w:val="bottom"/>
            <w:hideMark/>
          </w:tcPr>
          <w:p w14:paraId="30071BDF"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3,86% P</w:t>
            </w:r>
          </w:p>
        </w:tc>
        <w:tc>
          <w:tcPr>
            <w:tcW w:w="964" w:type="dxa"/>
            <w:tcBorders>
              <w:top w:val="nil"/>
              <w:left w:val="nil"/>
              <w:bottom w:val="nil"/>
              <w:right w:val="single" w:sz="8" w:space="0" w:color="auto"/>
            </w:tcBorders>
            <w:vAlign w:val="bottom"/>
            <w:hideMark/>
          </w:tcPr>
          <w:p w14:paraId="1BC4FB34"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3,50%</w:t>
            </w:r>
          </w:p>
        </w:tc>
        <w:tc>
          <w:tcPr>
            <w:tcW w:w="964" w:type="dxa"/>
            <w:tcBorders>
              <w:top w:val="nil"/>
              <w:left w:val="nil"/>
              <w:bottom w:val="nil"/>
              <w:right w:val="single" w:sz="8" w:space="0" w:color="auto"/>
            </w:tcBorders>
            <w:vAlign w:val="bottom"/>
            <w:hideMark/>
          </w:tcPr>
          <w:p w14:paraId="6EE5AE6A"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3,50%</w:t>
            </w:r>
          </w:p>
        </w:tc>
        <w:tc>
          <w:tcPr>
            <w:tcW w:w="964" w:type="dxa"/>
            <w:tcBorders>
              <w:top w:val="nil"/>
              <w:left w:val="nil"/>
              <w:bottom w:val="nil"/>
              <w:right w:val="single" w:sz="8" w:space="0" w:color="auto"/>
            </w:tcBorders>
            <w:vAlign w:val="bottom"/>
            <w:hideMark/>
          </w:tcPr>
          <w:p w14:paraId="7C60FF02"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3,50%</w:t>
            </w:r>
          </w:p>
        </w:tc>
        <w:tc>
          <w:tcPr>
            <w:tcW w:w="964" w:type="dxa"/>
            <w:tcBorders>
              <w:top w:val="nil"/>
              <w:left w:val="nil"/>
              <w:bottom w:val="nil"/>
              <w:right w:val="single" w:sz="8" w:space="0" w:color="auto"/>
            </w:tcBorders>
            <w:vAlign w:val="bottom"/>
            <w:hideMark/>
          </w:tcPr>
          <w:p w14:paraId="3023DC26" w14:textId="77777777" w:rsidR="001C4DDD" w:rsidRPr="00897BF1" w:rsidRDefault="001C4DDD" w:rsidP="00162CA6">
            <w:pPr>
              <w:jc w:val="center"/>
              <w:rPr>
                <w:rFonts w:asciiTheme="minorHAnsi" w:hAnsiTheme="minorHAnsi"/>
                <w:i/>
                <w:color w:val="000000"/>
                <w:sz w:val="22"/>
                <w:szCs w:val="22"/>
              </w:rPr>
            </w:pPr>
            <w:r w:rsidRPr="00897BF1">
              <w:rPr>
                <w:rFonts w:asciiTheme="minorHAnsi" w:hAnsiTheme="minorHAnsi"/>
                <w:i/>
                <w:color w:val="000000"/>
                <w:sz w:val="22"/>
                <w:szCs w:val="22"/>
              </w:rPr>
              <w:t>3,50%</w:t>
            </w:r>
          </w:p>
        </w:tc>
        <w:tc>
          <w:tcPr>
            <w:tcW w:w="964" w:type="dxa"/>
            <w:tcBorders>
              <w:top w:val="nil"/>
              <w:left w:val="nil"/>
              <w:bottom w:val="nil"/>
              <w:right w:val="single" w:sz="8" w:space="0" w:color="auto"/>
            </w:tcBorders>
            <w:vAlign w:val="bottom"/>
            <w:hideMark/>
          </w:tcPr>
          <w:p w14:paraId="6AC17159" w14:textId="77777777" w:rsidR="001C4DDD" w:rsidRPr="00897BF1" w:rsidRDefault="001C4DDD" w:rsidP="00162CA6">
            <w:pPr>
              <w:jc w:val="center"/>
              <w:rPr>
                <w:rFonts w:asciiTheme="minorHAnsi" w:hAnsiTheme="minorHAnsi" w:cstheme="minorHAnsi"/>
                <w:i/>
                <w:iCs/>
                <w:color w:val="000000"/>
                <w:sz w:val="22"/>
                <w:szCs w:val="22"/>
              </w:rPr>
            </w:pPr>
            <w:r w:rsidRPr="00897BF1">
              <w:rPr>
                <w:rFonts w:asciiTheme="minorHAnsi" w:hAnsiTheme="minorHAnsi" w:cstheme="minorHAnsi"/>
                <w:i/>
                <w:iCs/>
                <w:color w:val="000000"/>
                <w:sz w:val="22"/>
                <w:szCs w:val="22"/>
              </w:rPr>
              <w:t>3,00%</w:t>
            </w:r>
          </w:p>
        </w:tc>
      </w:tr>
      <w:tr w:rsidR="001C4DDD" w14:paraId="0657A063" w14:textId="77777777" w:rsidTr="001C4DDD">
        <w:tc>
          <w:tcPr>
            <w:tcW w:w="3120" w:type="dxa"/>
            <w:vMerge/>
            <w:tcBorders>
              <w:top w:val="nil"/>
              <w:left w:val="single" w:sz="8" w:space="0" w:color="auto"/>
              <w:bottom w:val="single" w:sz="8" w:space="0" w:color="000000"/>
              <w:right w:val="nil"/>
            </w:tcBorders>
            <w:vAlign w:val="center"/>
            <w:hideMark/>
          </w:tcPr>
          <w:p w14:paraId="4B108F9C" w14:textId="77777777" w:rsidR="001C4DDD" w:rsidRPr="001C4DDD" w:rsidRDefault="001C4DDD" w:rsidP="00162CA6">
            <w:pPr>
              <w:tabs>
                <w:tab w:val="clear" w:pos="567"/>
                <w:tab w:val="clear" w:pos="1134"/>
                <w:tab w:val="clear" w:pos="1701"/>
                <w:tab w:val="clear" w:pos="2268"/>
                <w:tab w:val="clear" w:pos="2835"/>
              </w:tabs>
              <w:overflowPunct/>
              <w:autoSpaceDE/>
              <w:autoSpaceDN/>
              <w:adjustRightInd/>
              <w:spacing w:before="0"/>
              <w:rPr>
                <w:sz w:val="22"/>
                <w:szCs w:val="22"/>
                <w:lang w:eastAsia="zh-CN"/>
              </w:rPr>
            </w:pPr>
          </w:p>
        </w:tc>
        <w:tc>
          <w:tcPr>
            <w:tcW w:w="981" w:type="dxa"/>
            <w:tcBorders>
              <w:top w:val="nil"/>
              <w:left w:val="single" w:sz="8" w:space="0" w:color="auto"/>
              <w:bottom w:val="single" w:sz="8" w:space="0" w:color="auto"/>
              <w:right w:val="single" w:sz="8" w:space="0" w:color="auto"/>
            </w:tcBorders>
            <w:noWrap/>
            <w:vAlign w:val="bottom"/>
            <w:hideMark/>
          </w:tcPr>
          <w:p w14:paraId="556228CA" w14:textId="77777777" w:rsidR="001C4DDD" w:rsidRPr="00897BF1" w:rsidRDefault="001C4DDD" w:rsidP="00162CA6">
            <w:pPr>
              <w:rPr>
                <w:i/>
                <w:sz w:val="22"/>
                <w:szCs w:val="22"/>
                <w:lang w:eastAsia="zh-CN"/>
              </w:rPr>
            </w:pPr>
            <w:r w:rsidRPr="00897BF1">
              <w:rPr>
                <w:i/>
                <w:sz w:val="22"/>
                <w:szCs w:val="22"/>
                <w:lang w:eastAsia="zh-CN"/>
              </w:rPr>
              <w:t>3,32% G</w:t>
            </w:r>
          </w:p>
        </w:tc>
        <w:tc>
          <w:tcPr>
            <w:tcW w:w="964" w:type="dxa"/>
            <w:tcBorders>
              <w:top w:val="nil"/>
              <w:left w:val="nil"/>
              <w:bottom w:val="single" w:sz="8" w:space="0" w:color="auto"/>
              <w:right w:val="single" w:sz="8" w:space="0" w:color="auto"/>
            </w:tcBorders>
            <w:noWrap/>
            <w:vAlign w:val="bottom"/>
          </w:tcPr>
          <w:p w14:paraId="31C3B469" w14:textId="77777777" w:rsidR="001C4DDD" w:rsidRPr="001C4DDD" w:rsidRDefault="001C4DDD" w:rsidP="00162CA6">
            <w:pPr>
              <w:pStyle w:val="Tabletext"/>
              <w:spacing w:before="0"/>
              <w:jc w:val="center"/>
              <w:rPr>
                <w:szCs w:val="22"/>
                <w:lang w:eastAsia="zh-CN"/>
              </w:rPr>
            </w:pPr>
          </w:p>
        </w:tc>
        <w:tc>
          <w:tcPr>
            <w:tcW w:w="964" w:type="dxa"/>
            <w:tcBorders>
              <w:top w:val="nil"/>
              <w:left w:val="nil"/>
              <w:bottom w:val="single" w:sz="8" w:space="0" w:color="auto"/>
              <w:right w:val="single" w:sz="8" w:space="0" w:color="auto"/>
            </w:tcBorders>
            <w:vAlign w:val="bottom"/>
          </w:tcPr>
          <w:p w14:paraId="3BECF09E" w14:textId="77777777" w:rsidR="001C4DDD" w:rsidRPr="001C4DDD" w:rsidRDefault="001C4DDD" w:rsidP="00162CA6">
            <w:pPr>
              <w:pStyle w:val="Tabletext"/>
              <w:spacing w:before="0"/>
              <w:jc w:val="center"/>
              <w:rPr>
                <w:szCs w:val="22"/>
                <w:lang w:eastAsia="zh-CN"/>
              </w:rPr>
            </w:pPr>
          </w:p>
        </w:tc>
        <w:tc>
          <w:tcPr>
            <w:tcW w:w="964" w:type="dxa"/>
            <w:tcBorders>
              <w:top w:val="nil"/>
              <w:left w:val="nil"/>
              <w:bottom w:val="single" w:sz="8" w:space="0" w:color="auto"/>
              <w:right w:val="single" w:sz="8" w:space="0" w:color="auto"/>
            </w:tcBorders>
            <w:vAlign w:val="bottom"/>
          </w:tcPr>
          <w:p w14:paraId="0BD7BA63" w14:textId="77777777" w:rsidR="001C4DDD" w:rsidRPr="001C4DDD" w:rsidRDefault="001C4DDD" w:rsidP="00162CA6">
            <w:pPr>
              <w:pStyle w:val="Tabletext"/>
              <w:spacing w:before="0"/>
              <w:jc w:val="center"/>
              <w:rPr>
                <w:szCs w:val="22"/>
                <w:lang w:eastAsia="zh-CN"/>
              </w:rPr>
            </w:pPr>
          </w:p>
        </w:tc>
        <w:tc>
          <w:tcPr>
            <w:tcW w:w="964" w:type="dxa"/>
            <w:tcBorders>
              <w:top w:val="nil"/>
              <w:left w:val="nil"/>
              <w:bottom w:val="single" w:sz="8" w:space="0" w:color="auto"/>
              <w:right w:val="single" w:sz="8" w:space="0" w:color="auto"/>
            </w:tcBorders>
            <w:vAlign w:val="bottom"/>
            <w:hideMark/>
          </w:tcPr>
          <w:p w14:paraId="6E162B66" w14:textId="77777777" w:rsidR="001C4DDD" w:rsidRPr="001C4DDD" w:rsidRDefault="001C4DDD" w:rsidP="00162CA6">
            <w:pPr>
              <w:rPr>
                <w:sz w:val="22"/>
                <w:szCs w:val="22"/>
                <w:lang w:eastAsia="zh-CN"/>
              </w:rPr>
            </w:pPr>
          </w:p>
        </w:tc>
        <w:tc>
          <w:tcPr>
            <w:tcW w:w="964" w:type="dxa"/>
            <w:tcBorders>
              <w:top w:val="nil"/>
              <w:left w:val="nil"/>
              <w:bottom w:val="single" w:sz="8" w:space="0" w:color="auto"/>
              <w:right w:val="single" w:sz="8" w:space="0" w:color="auto"/>
            </w:tcBorders>
            <w:vAlign w:val="bottom"/>
            <w:hideMark/>
          </w:tcPr>
          <w:p w14:paraId="638BD42D" w14:textId="77777777" w:rsidR="001C4DDD" w:rsidRPr="001C4DDD" w:rsidRDefault="001C4DDD" w:rsidP="00162CA6">
            <w:pPr>
              <w:tabs>
                <w:tab w:val="clear" w:pos="567"/>
                <w:tab w:val="clear" w:pos="1134"/>
                <w:tab w:val="clear" w:pos="1701"/>
                <w:tab w:val="clear" w:pos="2268"/>
                <w:tab w:val="clear" w:pos="2835"/>
              </w:tabs>
              <w:overflowPunct/>
              <w:autoSpaceDE/>
              <w:autoSpaceDN/>
              <w:adjustRightInd/>
              <w:spacing w:before="0"/>
              <w:rPr>
                <w:rFonts w:ascii="CG Times" w:hAnsi="CG Times"/>
                <w:sz w:val="22"/>
                <w:szCs w:val="22"/>
                <w:lang w:val="en-US"/>
              </w:rPr>
            </w:pPr>
          </w:p>
        </w:tc>
      </w:tr>
    </w:tbl>
    <w:p w14:paraId="6AB0A7DD" w14:textId="77777777" w:rsidR="004231A9" w:rsidRDefault="004231A9" w:rsidP="00162CA6">
      <w:pPr>
        <w:pStyle w:val="Heading1"/>
      </w:pPr>
      <w:r>
        <w:t>3</w:t>
      </w:r>
      <w:r>
        <w:tab/>
        <w:t>Mesures prises</w:t>
      </w:r>
    </w:p>
    <w:p w14:paraId="1624C871" w14:textId="77777777" w:rsidR="004231A9" w:rsidRDefault="004231A9" w:rsidP="00162CA6">
      <w:r>
        <w:t>3.1</w:t>
      </w:r>
      <w:r>
        <w:tab/>
        <w:t>Depuis 2010, le financement des passifs actuariels de l'ASHI est une préoccupation, qui a entraîné l'adoption de mesures destinées à garantir le financement par répartition de l'assurance maladie et le financement à long terme des passifs de l'ASHI.</w:t>
      </w:r>
    </w:p>
    <w:p w14:paraId="55D92A09" w14:textId="77777777" w:rsidR="00897BF1" w:rsidRDefault="00897BF1" w:rsidP="00162CA6">
      <w:pPr>
        <w:pStyle w:val="Headingb"/>
        <w:rPr>
          <w:bCs/>
          <w:i/>
          <w:iCs/>
        </w:rPr>
      </w:pPr>
      <w:r>
        <w:rPr>
          <w:bCs/>
          <w:i/>
          <w:iCs/>
        </w:rPr>
        <w:br w:type="page"/>
      </w:r>
    </w:p>
    <w:p w14:paraId="1C2A53E5" w14:textId="4759A9F0" w:rsidR="004231A9" w:rsidRDefault="004231A9" w:rsidP="00162CA6">
      <w:pPr>
        <w:pStyle w:val="Headingb"/>
        <w:rPr>
          <w:b w:val="0"/>
          <w:i/>
          <w:iCs/>
        </w:rPr>
      </w:pPr>
      <w:r>
        <w:rPr>
          <w:bCs/>
          <w:i/>
          <w:iCs/>
        </w:rPr>
        <w:lastRenderedPageBreak/>
        <w:t>Création</w:t>
      </w:r>
      <w:r>
        <w:rPr>
          <w:i/>
          <w:iCs/>
        </w:rPr>
        <w:t xml:space="preserve"> d'un Fonds de garantie de l'assurance maladie</w:t>
      </w:r>
    </w:p>
    <w:p w14:paraId="1EE13E8D" w14:textId="71AE0988" w:rsidR="004231A9" w:rsidRDefault="001C4DDD" w:rsidP="00162CA6">
      <w:r>
        <w:t>3.2</w:t>
      </w:r>
      <w:r w:rsidR="004231A9">
        <w:tab/>
        <w:t>En 201</w:t>
      </w:r>
      <w:r>
        <w:t>9</w:t>
      </w:r>
      <w:r w:rsidR="004231A9">
        <w:t xml:space="preserve">, du fait de l'augmentation des primes, les </w:t>
      </w:r>
      <w:r w:rsidR="00B65C8D">
        <w:t xml:space="preserve">cotisations </w:t>
      </w:r>
      <w:r w:rsidR="004231A9">
        <w:t>versées n'ont pas permis de couvrir les primes devant être payées à Cigna. Le montant du déficit de la CCAM pour 201</w:t>
      </w:r>
      <w:r>
        <w:t>9</w:t>
      </w:r>
      <w:r w:rsidR="004231A9">
        <w:t xml:space="preserve">, qui s'élève à </w:t>
      </w:r>
      <w:r>
        <w:t>2 millions</w:t>
      </w:r>
      <w:r w:rsidR="004231A9">
        <w:t xml:space="preserve"> CHF, a été prélevé sur le Fonds de garantie de l'assurance maladie. Ce fonds servira à financer le régime d'assurance maladie suivant la méthode par répartition.</w:t>
      </w:r>
    </w:p>
    <w:p w14:paraId="42297034" w14:textId="77777777" w:rsidR="004231A9" w:rsidRDefault="004231A9" w:rsidP="00162CA6">
      <w:r>
        <w:t>3.</w:t>
      </w:r>
      <w:r w:rsidR="001C4DDD">
        <w:t>3</w:t>
      </w:r>
      <w:r>
        <w:tab/>
        <w:t>Le reliquat du Fonds de garantie de l'assur</w:t>
      </w:r>
      <w:r w:rsidR="001C4DDD">
        <w:t>ance maladie (CCAM) s’élève à 20</w:t>
      </w:r>
      <w:r>
        <w:t>,3 millions CHF à la fin de 201</w:t>
      </w:r>
      <w:r w:rsidR="001C4DDD">
        <w:t>9</w:t>
      </w:r>
      <w:r>
        <w:t>.</w:t>
      </w:r>
    </w:p>
    <w:p w14:paraId="4AC25195" w14:textId="77777777" w:rsidR="001C4DDD" w:rsidRPr="003F27D3" w:rsidRDefault="001C4DDD" w:rsidP="00162CA6">
      <w:r w:rsidRPr="003F27D3">
        <w:t>3.4</w:t>
      </w:r>
      <w:r w:rsidRPr="003F27D3">
        <w:tab/>
      </w:r>
      <w:r w:rsidR="003F27D3" w:rsidRPr="003F27D3">
        <w:t xml:space="preserve">Le Fonds de garantie de la CCAM a été </w:t>
      </w:r>
      <w:r w:rsidR="007120E5" w:rsidRPr="003F27D3">
        <w:t>utilisé</w:t>
      </w:r>
      <w:r w:rsidR="003F27D3" w:rsidRPr="003F27D3">
        <w:t xml:space="preserve"> début 2020 pour </w:t>
      </w:r>
      <w:r w:rsidR="00CA25DC">
        <w:t>verser les droits</w:t>
      </w:r>
      <w:r w:rsidR="007120E5">
        <w:t xml:space="preserve"> d'admission au </w:t>
      </w:r>
      <w:r w:rsidR="00CA25DC">
        <w:t>régime</w:t>
      </w:r>
      <w:r w:rsidR="003F27D3" w:rsidRPr="003F27D3">
        <w:t xml:space="preserve"> </w:t>
      </w:r>
      <w:r w:rsidR="00CA25DC">
        <w:t>de l'</w:t>
      </w:r>
      <w:r w:rsidRPr="003F27D3">
        <w:t xml:space="preserve">UNSMIS </w:t>
      </w:r>
      <w:r w:rsidR="007120E5">
        <w:t>au 1</w:t>
      </w:r>
      <w:r w:rsidR="00CA25DC">
        <w:t>er</w:t>
      </w:r>
      <w:r w:rsidR="007120E5">
        <w:t xml:space="preserve"> janvier</w:t>
      </w:r>
      <w:r w:rsidRPr="003F27D3">
        <w:t xml:space="preserve"> 2020.</w:t>
      </w:r>
    </w:p>
    <w:p w14:paraId="1BC0A10A" w14:textId="77777777" w:rsidR="004231A9" w:rsidRDefault="004231A9" w:rsidP="00162CA6">
      <w:pPr>
        <w:pStyle w:val="Headingi"/>
        <w:rPr>
          <w:b/>
          <w:bCs/>
        </w:rPr>
      </w:pPr>
      <w:r>
        <w:rPr>
          <w:b/>
          <w:bCs/>
        </w:rPr>
        <w:t>Création d'un fonds pour financer sur le long terme les passifs actuariels de l'ASHI</w:t>
      </w:r>
    </w:p>
    <w:p w14:paraId="47EEC34A" w14:textId="77777777" w:rsidR="004231A9" w:rsidRDefault="004231A9" w:rsidP="00162CA6">
      <w:r>
        <w:t>3.</w:t>
      </w:r>
      <w:r w:rsidR="00F63F4E">
        <w:t>5</w:t>
      </w:r>
      <w:r>
        <w:tab/>
      </w:r>
      <w:r w:rsidR="007120E5">
        <w:t>Depuis la création du</w:t>
      </w:r>
      <w:r>
        <w:rPr>
          <w:lang w:val="fr-CH"/>
        </w:rPr>
        <w:t xml:space="preserve"> Fonds ASHI </w:t>
      </w:r>
      <w:r w:rsidR="007120E5">
        <w:rPr>
          <w:lang w:val="fr-CH"/>
        </w:rPr>
        <w:t>pour</w:t>
      </w:r>
      <w:r>
        <w:rPr>
          <w:lang w:val="fr-CH"/>
        </w:rPr>
        <w:t xml:space="preserve"> commencer à financer les engagements au </w:t>
      </w:r>
      <w:r>
        <w:t>titre</w:t>
      </w:r>
      <w:r>
        <w:rPr>
          <w:lang w:val="fr-CH"/>
        </w:rPr>
        <w:t xml:space="preserve"> de l'ASHI</w:t>
      </w:r>
      <w:r w:rsidR="007120E5">
        <w:rPr>
          <w:lang w:val="fr-CH"/>
        </w:rPr>
        <w:t xml:space="preserve">, </w:t>
      </w:r>
      <w:r>
        <w:rPr>
          <w:lang w:val="fr-CH"/>
        </w:rPr>
        <w:t xml:space="preserve">un montant total de </w:t>
      </w:r>
      <w:r w:rsidR="00F63F4E">
        <w:rPr>
          <w:lang w:val="fr-CH"/>
        </w:rPr>
        <w:t>8</w:t>
      </w:r>
      <w:r>
        <w:rPr>
          <w:lang w:val="fr-CH"/>
        </w:rPr>
        <w:t> millions CHF a été versé au Fonds ASHI. Au 31 décembre 201</w:t>
      </w:r>
      <w:r w:rsidR="00F63F4E">
        <w:rPr>
          <w:lang w:val="fr-CH"/>
        </w:rPr>
        <w:t>9</w:t>
      </w:r>
      <w:r>
        <w:rPr>
          <w:lang w:val="fr-CH"/>
        </w:rPr>
        <w:t xml:space="preserve">, après le versement de </w:t>
      </w:r>
      <w:r w:rsidR="00F63F4E">
        <w:rPr>
          <w:lang w:val="fr-CH"/>
        </w:rPr>
        <w:t>500 000</w:t>
      </w:r>
      <w:r>
        <w:rPr>
          <w:lang w:val="fr-CH"/>
        </w:rPr>
        <w:t xml:space="preserve"> CHF, le Fonds ASHI se chiffrait à </w:t>
      </w:r>
      <w:r w:rsidR="00F63F4E">
        <w:rPr>
          <w:lang w:val="fr-CH"/>
        </w:rPr>
        <w:t>12</w:t>
      </w:r>
      <w:r>
        <w:rPr>
          <w:lang w:val="fr-CH"/>
        </w:rPr>
        <w:t xml:space="preserve"> millions CHF.</w:t>
      </w:r>
    </w:p>
    <w:p w14:paraId="2DC6D2BD" w14:textId="77777777" w:rsidR="004231A9" w:rsidRDefault="004231A9" w:rsidP="00162CA6">
      <w:pPr>
        <w:rPr>
          <w:lang w:val="fr-CH"/>
        </w:rPr>
      </w:pPr>
      <w:r>
        <w:t>3.</w:t>
      </w:r>
      <w:r w:rsidR="00F63F4E">
        <w:t>6</w:t>
      </w:r>
      <w:r>
        <w:tab/>
      </w:r>
      <w:r>
        <w:rPr>
          <w:lang w:val="fr-CH"/>
        </w:rPr>
        <w:t>L'importance des engagements au titre de l'ASHI et les restrictions budgétaires actuelles ne permettent pas pour le moment de financer plus rapidement les engagements au titre de l'ASHI. L'évolution des passifs de l'ASHI continuera d'être suivie avec beaucoup d'attention.</w:t>
      </w:r>
    </w:p>
    <w:p w14:paraId="3F8F62DE" w14:textId="77777777" w:rsidR="0031152F" w:rsidRPr="000374F3" w:rsidRDefault="000374F3" w:rsidP="00162CA6">
      <w:pPr>
        <w:pStyle w:val="Headingb"/>
        <w:rPr>
          <w:bCs/>
          <w:i/>
          <w:iCs/>
        </w:rPr>
      </w:pPr>
      <w:r w:rsidRPr="000374F3">
        <w:rPr>
          <w:bCs/>
          <w:i/>
          <w:iCs/>
        </w:rPr>
        <w:t>Activité</w:t>
      </w:r>
      <w:r w:rsidR="0031152F" w:rsidRPr="000374F3">
        <w:rPr>
          <w:bCs/>
          <w:i/>
          <w:iCs/>
        </w:rPr>
        <w:t>s</w:t>
      </w:r>
      <w:r w:rsidRPr="000374F3">
        <w:rPr>
          <w:bCs/>
          <w:i/>
          <w:iCs/>
        </w:rPr>
        <w:t xml:space="preserve"> du Comité de la CCAM</w:t>
      </w:r>
    </w:p>
    <w:p w14:paraId="7AD0C00D" w14:textId="12CFFB6B" w:rsidR="0031152F" w:rsidRPr="000374F3" w:rsidRDefault="0031152F" w:rsidP="00C6118E">
      <w:pPr>
        <w:tabs>
          <w:tab w:val="clear" w:pos="567"/>
          <w:tab w:val="clear" w:pos="1134"/>
          <w:tab w:val="clear" w:pos="1701"/>
          <w:tab w:val="clear" w:pos="2268"/>
          <w:tab w:val="clear" w:pos="2835"/>
        </w:tabs>
        <w:snapToGrid w:val="0"/>
        <w:spacing w:after="120"/>
        <w:rPr>
          <w:szCs w:val="24"/>
        </w:rPr>
      </w:pPr>
      <w:bookmarkStart w:id="8" w:name="_Hlk38447225"/>
      <w:r w:rsidRPr="000374F3">
        <w:rPr>
          <w:szCs w:val="24"/>
        </w:rPr>
        <w:t>3.7</w:t>
      </w:r>
      <w:r w:rsidRPr="000374F3">
        <w:rPr>
          <w:szCs w:val="24"/>
        </w:rPr>
        <w:tab/>
      </w:r>
      <w:r w:rsidR="000374F3" w:rsidRPr="000374F3">
        <w:rPr>
          <w:szCs w:val="24"/>
        </w:rPr>
        <w:t>Compte tenu du dé</w:t>
      </w:r>
      <w:r w:rsidRPr="000374F3">
        <w:rPr>
          <w:szCs w:val="24"/>
        </w:rPr>
        <w:t xml:space="preserve">ficit </w:t>
      </w:r>
      <w:r w:rsidR="000374F3" w:rsidRPr="000374F3">
        <w:rPr>
          <w:szCs w:val="24"/>
        </w:rPr>
        <w:t xml:space="preserve">croissant du </w:t>
      </w:r>
      <w:r w:rsidR="00B63455">
        <w:rPr>
          <w:szCs w:val="24"/>
        </w:rPr>
        <w:t>plan</w:t>
      </w:r>
      <w:r w:rsidR="000374F3" w:rsidRPr="000374F3">
        <w:rPr>
          <w:szCs w:val="24"/>
        </w:rPr>
        <w:t xml:space="preserve"> dep</w:t>
      </w:r>
      <w:r w:rsidR="000374F3">
        <w:rPr>
          <w:szCs w:val="24"/>
        </w:rPr>
        <w:t>uis deux ans, mais aussi de la hausse constante des primes demandées</w:t>
      </w:r>
      <w:r w:rsidRPr="000374F3">
        <w:rPr>
          <w:szCs w:val="24"/>
        </w:rPr>
        <w:t xml:space="preserve"> </w:t>
      </w:r>
      <w:r w:rsidR="000374F3">
        <w:rPr>
          <w:szCs w:val="24"/>
        </w:rPr>
        <w:t>par</w:t>
      </w:r>
      <w:r w:rsidRPr="000374F3">
        <w:rPr>
          <w:szCs w:val="24"/>
        </w:rPr>
        <w:t xml:space="preserve"> CIGNA, </w:t>
      </w:r>
      <w:r w:rsidR="000374F3">
        <w:rPr>
          <w:szCs w:val="24"/>
        </w:rPr>
        <w:t>le Comité de la CCAM</w:t>
      </w:r>
      <w:r w:rsidRPr="000374F3">
        <w:rPr>
          <w:szCs w:val="24"/>
        </w:rPr>
        <w:t xml:space="preserve"> </w:t>
      </w:r>
      <w:r w:rsidR="000374F3">
        <w:rPr>
          <w:szCs w:val="24"/>
        </w:rPr>
        <w:t xml:space="preserve">a cherché </w:t>
      </w:r>
      <w:r w:rsidRPr="000374F3">
        <w:rPr>
          <w:szCs w:val="24"/>
        </w:rPr>
        <w:t xml:space="preserve">d'autres solutions pour améliorer la viabilité du plan à long terme. </w:t>
      </w:r>
      <w:r w:rsidR="00B63455">
        <w:rPr>
          <w:szCs w:val="24"/>
        </w:rPr>
        <w:t>À l'issue de</w:t>
      </w:r>
      <w:r w:rsidR="000374F3" w:rsidRPr="000374F3">
        <w:rPr>
          <w:szCs w:val="24"/>
        </w:rPr>
        <w:t xml:space="preserve"> </w:t>
      </w:r>
      <w:r w:rsidR="00B63455">
        <w:rPr>
          <w:szCs w:val="24"/>
        </w:rPr>
        <w:t>débats</w:t>
      </w:r>
      <w:r w:rsidR="000374F3" w:rsidRPr="000374F3">
        <w:rPr>
          <w:szCs w:val="24"/>
        </w:rPr>
        <w:t xml:space="preserve"> et </w:t>
      </w:r>
      <w:r w:rsidR="00B63455">
        <w:rPr>
          <w:szCs w:val="24"/>
        </w:rPr>
        <w:t>de</w:t>
      </w:r>
      <w:r w:rsidR="000374F3" w:rsidRPr="000374F3">
        <w:rPr>
          <w:szCs w:val="24"/>
        </w:rPr>
        <w:t xml:space="preserve"> négociations, </w:t>
      </w:r>
      <w:r w:rsidR="00B63455">
        <w:rPr>
          <w:szCs w:val="24"/>
        </w:rPr>
        <w:t>il a été recommandé au</w:t>
      </w:r>
      <w:r w:rsidR="000374F3">
        <w:rPr>
          <w:szCs w:val="24"/>
        </w:rPr>
        <w:t xml:space="preserve"> Secrétair</w:t>
      </w:r>
      <w:r w:rsidR="00B63455">
        <w:rPr>
          <w:szCs w:val="24"/>
        </w:rPr>
        <w:t>e général que l'UIT</w:t>
      </w:r>
      <w:r w:rsidR="000374F3">
        <w:rPr>
          <w:szCs w:val="24"/>
        </w:rPr>
        <w:t xml:space="preserve"> </w:t>
      </w:r>
      <w:r w:rsidR="00B63455">
        <w:rPr>
          <w:szCs w:val="24"/>
        </w:rPr>
        <w:t xml:space="preserve">quitte </w:t>
      </w:r>
      <w:r w:rsidR="000374F3">
        <w:rPr>
          <w:szCs w:val="24"/>
        </w:rPr>
        <w:t>la CCAM et</w:t>
      </w:r>
      <w:r w:rsidRPr="000374F3">
        <w:rPr>
          <w:szCs w:val="24"/>
        </w:rPr>
        <w:t xml:space="preserve"> Cigna </w:t>
      </w:r>
      <w:r w:rsidR="00B63455">
        <w:rPr>
          <w:szCs w:val="24"/>
        </w:rPr>
        <w:t>pour</w:t>
      </w:r>
      <w:r w:rsidR="000374F3" w:rsidRPr="000374F3">
        <w:rPr>
          <w:szCs w:val="24"/>
        </w:rPr>
        <w:t xml:space="preserve"> rejoindre </w:t>
      </w:r>
      <w:r w:rsidR="00B63455">
        <w:rPr>
          <w:szCs w:val="24"/>
        </w:rPr>
        <w:t>l'</w:t>
      </w:r>
      <w:r w:rsidRPr="000374F3">
        <w:rPr>
          <w:szCs w:val="24"/>
        </w:rPr>
        <w:t xml:space="preserve">UNSMIS </w:t>
      </w:r>
      <w:r w:rsidR="000374F3">
        <w:rPr>
          <w:szCs w:val="24"/>
        </w:rPr>
        <w:t>au</w:t>
      </w:r>
      <w:r w:rsidR="00897BF1">
        <w:rPr>
          <w:szCs w:val="24"/>
        </w:rPr>
        <w:t> </w:t>
      </w:r>
      <w:r w:rsidRPr="000374F3">
        <w:rPr>
          <w:szCs w:val="24"/>
        </w:rPr>
        <w:t>1er janvier 2020.</w:t>
      </w:r>
    </w:p>
    <w:p w14:paraId="3564B805" w14:textId="77777777" w:rsidR="0031152F" w:rsidRPr="007120E5" w:rsidRDefault="0031152F" w:rsidP="00C6118E">
      <w:pPr>
        <w:tabs>
          <w:tab w:val="clear" w:pos="567"/>
          <w:tab w:val="clear" w:pos="1134"/>
          <w:tab w:val="clear" w:pos="1701"/>
          <w:tab w:val="clear" w:pos="2268"/>
          <w:tab w:val="clear" w:pos="2835"/>
        </w:tabs>
        <w:snapToGrid w:val="0"/>
        <w:spacing w:after="120"/>
        <w:rPr>
          <w:szCs w:val="24"/>
        </w:rPr>
      </w:pPr>
      <w:r w:rsidRPr="007120E5">
        <w:rPr>
          <w:szCs w:val="24"/>
        </w:rPr>
        <w:t>3.8</w:t>
      </w:r>
      <w:r w:rsidRPr="007120E5">
        <w:rPr>
          <w:szCs w:val="24"/>
        </w:rPr>
        <w:tab/>
      </w:r>
      <w:r w:rsidR="007120E5" w:rsidRPr="007120E5">
        <w:rPr>
          <w:szCs w:val="24"/>
        </w:rPr>
        <w:t xml:space="preserve">Le </w:t>
      </w:r>
      <w:r w:rsidR="0094685D">
        <w:rPr>
          <w:szCs w:val="24"/>
        </w:rPr>
        <w:t>passage à</w:t>
      </w:r>
      <w:r w:rsidR="00B63455">
        <w:rPr>
          <w:szCs w:val="24"/>
        </w:rPr>
        <w:t xml:space="preserve"> ce</w:t>
      </w:r>
      <w:r w:rsidR="007120E5" w:rsidRPr="007120E5">
        <w:rPr>
          <w:szCs w:val="24"/>
        </w:rPr>
        <w:t xml:space="preserve"> </w:t>
      </w:r>
      <w:r w:rsidR="00EF75AB">
        <w:rPr>
          <w:szCs w:val="24"/>
        </w:rPr>
        <w:t>régime</w:t>
      </w:r>
      <w:r w:rsidR="007120E5" w:rsidRPr="007120E5">
        <w:rPr>
          <w:szCs w:val="24"/>
        </w:rPr>
        <w:t xml:space="preserve"> </w:t>
      </w:r>
      <w:r w:rsidR="00037C64">
        <w:rPr>
          <w:szCs w:val="24"/>
        </w:rPr>
        <w:t>d'assurance maladie</w:t>
      </w:r>
      <w:r w:rsidR="007120E5" w:rsidRPr="007120E5">
        <w:rPr>
          <w:szCs w:val="24"/>
        </w:rPr>
        <w:t xml:space="preserve"> des Nations Unies présente des avantages non seulement pour le personnel, mais aussi pour l'UIT sur le long terme</w:t>
      </w:r>
      <w:r w:rsidR="005F0DCA">
        <w:rPr>
          <w:szCs w:val="24"/>
        </w:rPr>
        <w:t>,</w:t>
      </w:r>
      <w:r w:rsidRPr="007120E5">
        <w:rPr>
          <w:szCs w:val="24"/>
        </w:rPr>
        <w:t xml:space="preserve"> </w:t>
      </w:r>
      <w:r w:rsidR="007120E5" w:rsidRPr="007120E5">
        <w:rPr>
          <w:szCs w:val="24"/>
        </w:rPr>
        <w:t>en raison de</w:t>
      </w:r>
      <w:r w:rsidRPr="007120E5">
        <w:rPr>
          <w:szCs w:val="24"/>
        </w:rPr>
        <w:t xml:space="preserve"> </w:t>
      </w:r>
      <w:r w:rsidR="005F0DCA">
        <w:rPr>
          <w:szCs w:val="24"/>
        </w:rPr>
        <w:t>l'enver</w:t>
      </w:r>
      <w:r w:rsidR="00E95957">
        <w:rPr>
          <w:szCs w:val="24"/>
        </w:rPr>
        <w:t xml:space="preserve">gure de ce </w:t>
      </w:r>
      <w:r w:rsidR="00EF75AB">
        <w:rPr>
          <w:szCs w:val="24"/>
        </w:rPr>
        <w:t>régime</w:t>
      </w:r>
      <w:r w:rsidRPr="007120E5">
        <w:rPr>
          <w:szCs w:val="24"/>
        </w:rPr>
        <w:t>.</w:t>
      </w:r>
      <w:bookmarkEnd w:id="8"/>
    </w:p>
    <w:p w14:paraId="73F4770C" w14:textId="77777777" w:rsidR="004231A9" w:rsidRDefault="004231A9" w:rsidP="00162CA6">
      <w:pPr>
        <w:pStyle w:val="Heading1"/>
        <w:tabs>
          <w:tab w:val="clear" w:pos="2268"/>
          <w:tab w:val="clear" w:pos="2835"/>
          <w:tab w:val="center" w:pos="4819"/>
        </w:tabs>
      </w:pPr>
      <w:r>
        <w:t>4</w:t>
      </w:r>
      <w:r>
        <w:tab/>
        <w:t>Conclusion</w:t>
      </w:r>
    </w:p>
    <w:p w14:paraId="04880265" w14:textId="77777777" w:rsidR="0031152F" w:rsidRPr="003F4832" w:rsidRDefault="0031152F" w:rsidP="00162CA6">
      <w:r w:rsidRPr="00A94DAB">
        <w:t>4.1</w:t>
      </w:r>
      <w:r w:rsidRPr="00A94DAB">
        <w:tab/>
      </w:r>
      <w:r w:rsidR="003F4832">
        <w:t xml:space="preserve">Indépendamment du régime </w:t>
      </w:r>
      <w:r w:rsidR="00EF75AB">
        <w:t>d'assurance maladie</w:t>
      </w:r>
      <w:r>
        <w:t xml:space="preserve">, </w:t>
      </w:r>
      <w:r>
        <w:rPr>
          <w:lang w:val="fr-CH"/>
        </w:rPr>
        <w:t xml:space="preserve">la question du financement des engagements au titre de l'ASHI </w:t>
      </w:r>
      <w:r w:rsidR="00E22DF2">
        <w:rPr>
          <w:lang w:val="fr-CH"/>
        </w:rPr>
        <w:t xml:space="preserve">subsiste et </w:t>
      </w:r>
      <w:r>
        <w:rPr>
          <w:lang w:val="fr-CH"/>
        </w:rPr>
        <w:t xml:space="preserve">concerne </w:t>
      </w:r>
      <w:r w:rsidR="003F4832">
        <w:rPr>
          <w:lang w:val="fr-CH"/>
        </w:rPr>
        <w:t xml:space="preserve">toujours </w:t>
      </w:r>
      <w:r>
        <w:rPr>
          <w:lang w:val="fr-CH"/>
        </w:rPr>
        <w:t>de nombreuses organisations du système des Nations Unies</w:t>
      </w:r>
      <w:r w:rsidRPr="0031152F">
        <w:t xml:space="preserve">. </w:t>
      </w:r>
      <w:r w:rsidR="003F4832" w:rsidRPr="003F4832">
        <w:t>Le rapport publié par le</w:t>
      </w:r>
      <w:r w:rsidRPr="003F4832">
        <w:t xml:space="preserve"> </w:t>
      </w:r>
      <w:r w:rsidRPr="00404ED7">
        <w:t>Groupe de travail des Nations Unies sur l'ASHI</w:t>
      </w:r>
      <w:r w:rsidRPr="003F4832">
        <w:t xml:space="preserve"> </w:t>
      </w:r>
      <w:r w:rsidR="003F4832">
        <w:t>a été transmis, mais n'a pas encore été examiné par l'Assemblée générale</w:t>
      </w:r>
      <w:r w:rsidRPr="003F4832">
        <w:rPr>
          <w:rFonts w:ascii="Times New Roman" w:eastAsiaTheme="minorEastAsia" w:hAnsi="Times New Roman"/>
          <w:szCs w:val="24"/>
          <w:lang w:eastAsia="zh-CN"/>
        </w:rPr>
        <w:t>.</w:t>
      </w:r>
      <w:r w:rsidRPr="003F4832">
        <w:t xml:space="preserve"> </w:t>
      </w:r>
      <w:r w:rsidR="003F4832" w:rsidRPr="003F4832">
        <w:t>L'UIT continuera d'accorder une attention particulière à l'étude de ce rapport et aux recommandations qui en découleront</w:t>
      </w:r>
      <w:r w:rsidRPr="003F4832">
        <w:t>.</w:t>
      </w:r>
    </w:p>
    <w:p w14:paraId="70D09A0E" w14:textId="4858AF5F" w:rsidR="0031152F" w:rsidRPr="00957A62" w:rsidRDefault="0031152F" w:rsidP="00162CA6">
      <w:pPr>
        <w:tabs>
          <w:tab w:val="clear" w:pos="567"/>
          <w:tab w:val="clear" w:pos="1134"/>
          <w:tab w:val="clear" w:pos="1701"/>
          <w:tab w:val="clear" w:pos="2268"/>
          <w:tab w:val="clear" w:pos="2835"/>
        </w:tabs>
        <w:snapToGrid w:val="0"/>
        <w:spacing w:after="120"/>
        <w:jc w:val="both"/>
        <w:rPr>
          <w:rFonts w:cs="Calibri"/>
          <w:szCs w:val="24"/>
        </w:rPr>
      </w:pPr>
      <w:r w:rsidRPr="003F4832">
        <w:rPr>
          <w:rFonts w:cs="Calibri"/>
          <w:szCs w:val="24"/>
        </w:rPr>
        <w:t>4.2</w:t>
      </w:r>
      <w:r w:rsidRPr="003F4832">
        <w:rPr>
          <w:rFonts w:cs="Calibri"/>
          <w:szCs w:val="24"/>
        </w:rPr>
        <w:tab/>
      </w:r>
      <w:r w:rsidR="003F4832" w:rsidRPr="003F4832">
        <w:rPr>
          <w:rFonts w:cs="Calibri"/>
          <w:szCs w:val="24"/>
        </w:rPr>
        <w:t xml:space="preserve">Le </w:t>
      </w:r>
      <w:r w:rsidR="00E22DF2">
        <w:rPr>
          <w:rFonts w:cs="Calibri"/>
          <w:szCs w:val="24"/>
        </w:rPr>
        <w:t>régime</w:t>
      </w:r>
      <w:r w:rsidR="003F4832" w:rsidRPr="003F4832">
        <w:rPr>
          <w:rFonts w:cs="Calibri"/>
          <w:szCs w:val="24"/>
        </w:rPr>
        <w:t xml:space="preserve"> </w:t>
      </w:r>
      <w:r w:rsidR="00E22DF2">
        <w:rPr>
          <w:rFonts w:cs="Calibri"/>
          <w:szCs w:val="24"/>
        </w:rPr>
        <w:t>de l'</w:t>
      </w:r>
      <w:r w:rsidRPr="003F4832">
        <w:rPr>
          <w:rFonts w:cs="Calibri"/>
          <w:szCs w:val="24"/>
        </w:rPr>
        <w:t xml:space="preserve">UNSMIS </w:t>
      </w:r>
      <w:r w:rsidR="003F4832" w:rsidRPr="003F4832">
        <w:rPr>
          <w:rFonts w:cs="Calibri"/>
          <w:szCs w:val="24"/>
        </w:rPr>
        <w:t xml:space="preserve">repose sur une </w:t>
      </w:r>
      <w:r w:rsidR="00B65C8D">
        <w:rPr>
          <w:rFonts w:cs="Calibri"/>
          <w:szCs w:val="24"/>
        </w:rPr>
        <w:t xml:space="preserve">cotisation </w:t>
      </w:r>
      <w:r w:rsidR="003F4832" w:rsidRPr="00B65C8D">
        <w:rPr>
          <w:rFonts w:cs="Calibri"/>
          <w:szCs w:val="24"/>
        </w:rPr>
        <w:t>salariale</w:t>
      </w:r>
      <w:r w:rsidR="003F4832" w:rsidRPr="003F4832">
        <w:rPr>
          <w:rFonts w:cs="Calibri"/>
          <w:szCs w:val="24"/>
        </w:rPr>
        <w:t xml:space="preserve"> de 3,4% qui a été instaurée au 1er janvier</w:t>
      </w:r>
      <w:r w:rsidRPr="003F4832">
        <w:rPr>
          <w:rFonts w:cs="Calibri"/>
          <w:szCs w:val="24"/>
        </w:rPr>
        <w:t xml:space="preserve"> 2020. </w:t>
      </w:r>
      <w:r w:rsidR="00957A62" w:rsidRPr="00957A62">
        <w:rPr>
          <w:rFonts w:cs="Calibri"/>
          <w:szCs w:val="24"/>
        </w:rPr>
        <w:t xml:space="preserve">Le suivi de la maîtrise des coûts </w:t>
      </w:r>
      <w:r w:rsidR="00957A62">
        <w:rPr>
          <w:rFonts w:cs="Calibri"/>
          <w:szCs w:val="24"/>
        </w:rPr>
        <w:t xml:space="preserve">relève </w:t>
      </w:r>
      <w:r w:rsidR="006C6558">
        <w:rPr>
          <w:rFonts w:cs="Calibri"/>
          <w:szCs w:val="24"/>
        </w:rPr>
        <w:t xml:space="preserve">maintenant </w:t>
      </w:r>
      <w:r w:rsidR="00957A62">
        <w:rPr>
          <w:rFonts w:cs="Calibri"/>
          <w:szCs w:val="24"/>
        </w:rPr>
        <w:t>de la responsabilité du</w:t>
      </w:r>
      <w:r w:rsidR="00957A62" w:rsidRPr="00957A62">
        <w:rPr>
          <w:rFonts w:cs="Calibri"/>
          <w:szCs w:val="24"/>
        </w:rPr>
        <w:t xml:space="preserve"> Comité de l'UNSMIS, au sein duquel l'UIT dispose</w:t>
      </w:r>
      <w:r w:rsidR="00957A62">
        <w:rPr>
          <w:rFonts w:cs="Calibri"/>
          <w:szCs w:val="24"/>
        </w:rPr>
        <w:t>ra</w:t>
      </w:r>
      <w:r w:rsidR="00957A62" w:rsidRPr="00957A62">
        <w:rPr>
          <w:rFonts w:cs="Calibri"/>
          <w:szCs w:val="24"/>
        </w:rPr>
        <w:t xml:space="preserve"> d'un siège en tant que nouveau </w:t>
      </w:r>
      <w:r w:rsidR="00957A62">
        <w:rPr>
          <w:rFonts w:cs="Calibri"/>
          <w:szCs w:val="24"/>
        </w:rPr>
        <w:t>membre</w:t>
      </w:r>
      <w:r w:rsidRPr="00957A62">
        <w:rPr>
          <w:rFonts w:cs="Calibri"/>
          <w:szCs w:val="24"/>
        </w:rPr>
        <w:t>.</w:t>
      </w:r>
    </w:p>
    <w:p w14:paraId="0DB3023A" w14:textId="77777777" w:rsidR="0031152F" w:rsidRPr="000374F3" w:rsidRDefault="0031152F" w:rsidP="00162CA6">
      <w:pPr>
        <w:tabs>
          <w:tab w:val="clear" w:pos="567"/>
          <w:tab w:val="clear" w:pos="1134"/>
          <w:tab w:val="clear" w:pos="1701"/>
          <w:tab w:val="clear" w:pos="2268"/>
          <w:tab w:val="clear" w:pos="2835"/>
        </w:tabs>
        <w:snapToGrid w:val="0"/>
        <w:spacing w:after="120"/>
        <w:jc w:val="both"/>
        <w:rPr>
          <w:rFonts w:cs="Calibri"/>
          <w:szCs w:val="24"/>
        </w:rPr>
      </w:pPr>
      <w:bookmarkStart w:id="9" w:name="_Hlk38447710"/>
      <w:r w:rsidRPr="000374F3">
        <w:rPr>
          <w:rFonts w:cs="Calibri"/>
          <w:szCs w:val="24"/>
        </w:rPr>
        <w:t>4.3</w:t>
      </w:r>
      <w:r w:rsidRPr="000374F3">
        <w:rPr>
          <w:rFonts w:cs="Calibri"/>
          <w:szCs w:val="24"/>
        </w:rPr>
        <w:tab/>
      </w:r>
      <w:r w:rsidR="00957A62" w:rsidRPr="000374F3">
        <w:rPr>
          <w:rFonts w:cs="Calibri"/>
          <w:szCs w:val="24"/>
        </w:rPr>
        <w:t xml:space="preserve">Il convient de noter que l'UIT, dans la mesure du possible, continuera </w:t>
      </w:r>
      <w:r w:rsidR="000374F3">
        <w:rPr>
          <w:rFonts w:cs="Calibri"/>
          <w:szCs w:val="24"/>
        </w:rPr>
        <w:t>d'alimenter la réserve du Fonds ASHI</w:t>
      </w:r>
      <w:r w:rsidRPr="000374F3">
        <w:rPr>
          <w:rFonts w:cs="Calibri"/>
          <w:szCs w:val="24"/>
        </w:rPr>
        <w:t xml:space="preserve"> </w:t>
      </w:r>
      <w:r w:rsidR="000374F3" w:rsidRPr="000374F3">
        <w:rPr>
          <w:rFonts w:cs="Calibri"/>
          <w:szCs w:val="24"/>
        </w:rPr>
        <w:t xml:space="preserve">en fonction </w:t>
      </w:r>
      <w:r w:rsidR="000374F3">
        <w:rPr>
          <w:rFonts w:cs="Calibri"/>
          <w:szCs w:val="24"/>
        </w:rPr>
        <w:t>des excédents budgétaires, et d'examiner toute autre option pouvant être présentée à la direction de l'UIT</w:t>
      </w:r>
      <w:r w:rsidRPr="000374F3">
        <w:rPr>
          <w:rFonts w:cs="Calibri"/>
          <w:szCs w:val="24"/>
        </w:rPr>
        <w:t>.</w:t>
      </w:r>
    </w:p>
    <w:bookmarkEnd w:id="9"/>
    <w:p w14:paraId="2769175B" w14:textId="77777777" w:rsidR="004231A9" w:rsidRPr="00897BF1" w:rsidRDefault="004231A9" w:rsidP="00162CA6">
      <w:pPr>
        <w:pStyle w:val="Reasons"/>
        <w:rPr>
          <w:sz w:val="12"/>
          <w:szCs w:val="12"/>
        </w:rPr>
      </w:pPr>
    </w:p>
    <w:p w14:paraId="05B1BEF3" w14:textId="77777777" w:rsidR="00897553" w:rsidRDefault="004231A9" w:rsidP="00162CA6">
      <w:pPr>
        <w:jc w:val="center"/>
      </w:pPr>
      <w:r>
        <w:t>______________</w:t>
      </w:r>
    </w:p>
    <w:sectPr w:rsidR="00897553"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CB165" w14:textId="77777777" w:rsidR="00DD0B34" w:rsidRDefault="00DD0B34">
      <w:r>
        <w:separator/>
      </w:r>
    </w:p>
  </w:endnote>
  <w:endnote w:type="continuationSeparator" w:id="0">
    <w:p w14:paraId="1F496321" w14:textId="77777777" w:rsidR="00DD0B34" w:rsidRDefault="00DD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CAFD" w14:textId="5662214A" w:rsidR="00732045" w:rsidRDefault="00C6118E">
    <w:pPr>
      <w:pStyle w:val="Footer"/>
    </w:pPr>
    <w:r>
      <w:fldChar w:fldCharType="begin"/>
    </w:r>
    <w:r>
      <w:instrText xml:space="preserve"> FILENAME \p \* MERGEFORMAT </w:instrText>
    </w:r>
    <w:r>
      <w:fldChar w:fldCharType="separate"/>
    </w:r>
    <w:r w:rsidR="00DD0B34">
      <w:t>Document1</w:t>
    </w:r>
    <w:r>
      <w:fldChar w:fldCharType="end"/>
    </w:r>
    <w:r w:rsidR="00732045">
      <w:tab/>
    </w:r>
    <w:r w:rsidR="002F1B76">
      <w:fldChar w:fldCharType="begin"/>
    </w:r>
    <w:r w:rsidR="00732045">
      <w:instrText xml:space="preserve"> savedate \@ dd.MM.yy </w:instrText>
    </w:r>
    <w:r w:rsidR="002F1B76">
      <w:fldChar w:fldCharType="separate"/>
    </w:r>
    <w:r>
      <w:t>06.05.20</w:t>
    </w:r>
    <w:r w:rsidR="002F1B76">
      <w:fldChar w:fldCharType="end"/>
    </w:r>
    <w:r w:rsidR="00732045">
      <w:tab/>
    </w:r>
    <w:r w:rsidR="002F1B76">
      <w:fldChar w:fldCharType="begin"/>
    </w:r>
    <w:r w:rsidR="00732045">
      <w:instrText xml:space="preserve"> printdate \@ dd.MM.yy </w:instrText>
    </w:r>
    <w:r w:rsidR="002F1B76">
      <w:fldChar w:fldCharType="separate"/>
    </w:r>
    <w:r w:rsidR="00DD0B3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ED8C5" w14:textId="19ED0E89" w:rsidR="00732045" w:rsidRPr="00C6118E" w:rsidRDefault="002811A6" w:rsidP="00162CA6">
    <w:pPr>
      <w:pStyle w:val="Footer"/>
      <w:rPr>
        <w:color w:val="BFBFBF" w:themeColor="background1" w:themeShade="BF"/>
      </w:rPr>
    </w:pPr>
    <w:r w:rsidRPr="00C6118E">
      <w:rPr>
        <w:color w:val="BFBFBF" w:themeColor="background1" w:themeShade="BF"/>
      </w:rPr>
      <w:fldChar w:fldCharType="begin"/>
    </w:r>
    <w:r w:rsidRPr="00C6118E">
      <w:rPr>
        <w:color w:val="BFBFBF" w:themeColor="background1" w:themeShade="BF"/>
      </w:rPr>
      <w:instrText xml:space="preserve"> FILENAME \p  \* MERGEFORMAT </w:instrText>
    </w:r>
    <w:r w:rsidRPr="00C6118E">
      <w:rPr>
        <w:color w:val="BFBFBF" w:themeColor="background1" w:themeShade="BF"/>
      </w:rPr>
      <w:fldChar w:fldCharType="separate"/>
    </w:r>
    <w:r w:rsidR="00162CA6" w:rsidRPr="00C6118E">
      <w:rPr>
        <w:color w:val="BFBFBF" w:themeColor="background1" w:themeShade="BF"/>
      </w:rPr>
      <w:t>P:\FRA\SG\CONSEIL\C20\000\046F.docx</w:t>
    </w:r>
    <w:r w:rsidRPr="00C6118E">
      <w:rPr>
        <w:color w:val="BFBFBF" w:themeColor="background1" w:themeShade="BF"/>
      </w:rPr>
      <w:fldChar w:fldCharType="end"/>
    </w:r>
    <w:r w:rsidR="00162CA6" w:rsidRPr="00C6118E">
      <w:rPr>
        <w:color w:val="BFBFBF" w:themeColor="background1" w:themeShade="BF"/>
      </w:rPr>
      <w:t xml:space="preserve"> (467356)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E0E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AF599" w14:textId="77777777" w:rsidR="00DD0B34" w:rsidRDefault="00DD0B34">
      <w:r>
        <w:t>____________________</w:t>
      </w:r>
    </w:p>
  </w:footnote>
  <w:footnote w:type="continuationSeparator" w:id="0">
    <w:p w14:paraId="121C0A47" w14:textId="77777777" w:rsidR="00DD0B34" w:rsidRDefault="00DD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9AC1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9EC588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04F8C" w14:textId="61815076" w:rsidR="00732045" w:rsidRDefault="00C27A7C" w:rsidP="00475FB3">
    <w:pPr>
      <w:pStyle w:val="Header"/>
    </w:pPr>
    <w:r>
      <w:fldChar w:fldCharType="begin"/>
    </w:r>
    <w:r>
      <w:instrText>PAGE</w:instrText>
    </w:r>
    <w:r>
      <w:fldChar w:fldCharType="separate"/>
    </w:r>
    <w:r w:rsidR="002811A6">
      <w:rPr>
        <w:noProof/>
      </w:rPr>
      <w:t>2</w:t>
    </w:r>
    <w:r>
      <w:rPr>
        <w:noProof/>
      </w:rPr>
      <w:fldChar w:fldCharType="end"/>
    </w:r>
  </w:p>
  <w:p w14:paraId="05889B2F" w14:textId="77777777" w:rsidR="00732045" w:rsidRDefault="00732045" w:rsidP="00106B19">
    <w:pPr>
      <w:pStyle w:val="Header"/>
    </w:pPr>
    <w:r>
      <w:t>C</w:t>
    </w:r>
    <w:r w:rsidR="009C353C">
      <w:t>20</w:t>
    </w:r>
    <w:r w:rsidR="004231A9">
      <w:t>/46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34"/>
    <w:rsid w:val="000374F3"/>
    <w:rsid w:val="00037C64"/>
    <w:rsid w:val="00092603"/>
    <w:rsid w:val="000B1ADC"/>
    <w:rsid w:val="000D0D0A"/>
    <w:rsid w:val="000E38F7"/>
    <w:rsid w:val="00103163"/>
    <w:rsid w:val="00106B19"/>
    <w:rsid w:val="00115D93"/>
    <w:rsid w:val="001247A8"/>
    <w:rsid w:val="001378C0"/>
    <w:rsid w:val="00162CA6"/>
    <w:rsid w:val="0018694A"/>
    <w:rsid w:val="001A3287"/>
    <w:rsid w:val="001A6508"/>
    <w:rsid w:val="001C4DDD"/>
    <w:rsid w:val="001D4C31"/>
    <w:rsid w:val="001E4D21"/>
    <w:rsid w:val="00207CD1"/>
    <w:rsid w:val="002477A2"/>
    <w:rsid w:val="00260F37"/>
    <w:rsid w:val="00263A51"/>
    <w:rsid w:val="00267E02"/>
    <w:rsid w:val="002811A6"/>
    <w:rsid w:val="002A5D44"/>
    <w:rsid w:val="002E0BC4"/>
    <w:rsid w:val="002F1B76"/>
    <w:rsid w:val="00303A65"/>
    <w:rsid w:val="0031152F"/>
    <w:rsid w:val="003236AC"/>
    <w:rsid w:val="0033568E"/>
    <w:rsid w:val="00355FF5"/>
    <w:rsid w:val="00361350"/>
    <w:rsid w:val="003727FF"/>
    <w:rsid w:val="003C3FAE"/>
    <w:rsid w:val="003F27D3"/>
    <w:rsid w:val="003F4832"/>
    <w:rsid w:val="004038CB"/>
    <w:rsid w:val="00404ED7"/>
    <w:rsid w:val="0040546F"/>
    <w:rsid w:val="00421B4A"/>
    <w:rsid w:val="004231A9"/>
    <w:rsid w:val="0042404A"/>
    <w:rsid w:val="0044618F"/>
    <w:rsid w:val="0046769A"/>
    <w:rsid w:val="00475FB3"/>
    <w:rsid w:val="004C37A9"/>
    <w:rsid w:val="004F259E"/>
    <w:rsid w:val="00511F1D"/>
    <w:rsid w:val="00520F36"/>
    <w:rsid w:val="005255CE"/>
    <w:rsid w:val="00540615"/>
    <w:rsid w:val="00540A6D"/>
    <w:rsid w:val="00571EEA"/>
    <w:rsid w:val="00575417"/>
    <w:rsid w:val="005768E1"/>
    <w:rsid w:val="00592069"/>
    <w:rsid w:val="005A5FF5"/>
    <w:rsid w:val="005B1938"/>
    <w:rsid w:val="005C3890"/>
    <w:rsid w:val="005D7E39"/>
    <w:rsid w:val="005F0DCA"/>
    <w:rsid w:val="005F7BFE"/>
    <w:rsid w:val="00600017"/>
    <w:rsid w:val="006235CA"/>
    <w:rsid w:val="006643AB"/>
    <w:rsid w:val="00672D39"/>
    <w:rsid w:val="006A5C20"/>
    <w:rsid w:val="006C6558"/>
    <w:rsid w:val="006F1AE8"/>
    <w:rsid w:val="007120E5"/>
    <w:rsid w:val="007210CD"/>
    <w:rsid w:val="00732045"/>
    <w:rsid w:val="007369DB"/>
    <w:rsid w:val="00752852"/>
    <w:rsid w:val="00761952"/>
    <w:rsid w:val="007956C2"/>
    <w:rsid w:val="007A187E"/>
    <w:rsid w:val="007B5813"/>
    <w:rsid w:val="007C72C2"/>
    <w:rsid w:val="007D4436"/>
    <w:rsid w:val="007F257A"/>
    <w:rsid w:val="007F3665"/>
    <w:rsid w:val="00800037"/>
    <w:rsid w:val="00861D73"/>
    <w:rsid w:val="00897553"/>
    <w:rsid w:val="00897BF1"/>
    <w:rsid w:val="008A4E87"/>
    <w:rsid w:val="008D76E6"/>
    <w:rsid w:val="00923313"/>
    <w:rsid w:val="0092392D"/>
    <w:rsid w:val="0093234A"/>
    <w:rsid w:val="0094685D"/>
    <w:rsid w:val="00957A62"/>
    <w:rsid w:val="009938C2"/>
    <w:rsid w:val="009C307F"/>
    <w:rsid w:val="009C353C"/>
    <w:rsid w:val="00A2113E"/>
    <w:rsid w:val="00A23A51"/>
    <w:rsid w:val="00A24607"/>
    <w:rsid w:val="00A25CD3"/>
    <w:rsid w:val="00A50821"/>
    <w:rsid w:val="00A55755"/>
    <w:rsid w:val="00A82767"/>
    <w:rsid w:val="00AA332F"/>
    <w:rsid w:val="00AA7BBB"/>
    <w:rsid w:val="00AB64A8"/>
    <w:rsid w:val="00AC0266"/>
    <w:rsid w:val="00AD24EC"/>
    <w:rsid w:val="00B309F9"/>
    <w:rsid w:val="00B32B60"/>
    <w:rsid w:val="00B5657B"/>
    <w:rsid w:val="00B61619"/>
    <w:rsid w:val="00B63455"/>
    <w:rsid w:val="00B65C8D"/>
    <w:rsid w:val="00B75B55"/>
    <w:rsid w:val="00BB4545"/>
    <w:rsid w:val="00BD5873"/>
    <w:rsid w:val="00C04BE3"/>
    <w:rsid w:val="00C25D29"/>
    <w:rsid w:val="00C27A7C"/>
    <w:rsid w:val="00C6118E"/>
    <w:rsid w:val="00CA08ED"/>
    <w:rsid w:val="00CA25DC"/>
    <w:rsid w:val="00CD27B5"/>
    <w:rsid w:val="00CF183B"/>
    <w:rsid w:val="00D375CD"/>
    <w:rsid w:val="00D553A2"/>
    <w:rsid w:val="00D770A6"/>
    <w:rsid w:val="00D774D3"/>
    <w:rsid w:val="00D904E8"/>
    <w:rsid w:val="00DA08C3"/>
    <w:rsid w:val="00DB5A3E"/>
    <w:rsid w:val="00DC22AA"/>
    <w:rsid w:val="00DD0B34"/>
    <w:rsid w:val="00DD3062"/>
    <w:rsid w:val="00DF74DD"/>
    <w:rsid w:val="00E22DF2"/>
    <w:rsid w:val="00E25AD0"/>
    <w:rsid w:val="00E5512F"/>
    <w:rsid w:val="00E95957"/>
    <w:rsid w:val="00EB6350"/>
    <w:rsid w:val="00EF75AB"/>
    <w:rsid w:val="00F15B57"/>
    <w:rsid w:val="00F427DB"/>
    <w:rsid w:val="00F63F4E"/>
    <w:rsid w:val="00F65D0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2C920F"/>
  <w15:docId w15:val="{17A7276B-3AFE-46CF-B515-7F93CEE2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4231A9"/>
    <w:rPr>
      <w:rFonts w:ascii="Calibri" w:hAnsi="Calibri"/>
      <w:b/>
      <w:sz w:val="28"/>
      <w:lang w:val="fr-FR" w:eastAsia="en-US"/>
    </w:rPr>
  </w:style>
  <w:style w:type="paragraph" w:customStyle="1" w:styleId="xmsonormal">
    <w:name w:val="x_msonormal"/>
    <w:basedOn w:val="Normal"/>
    <w:uiPriority w:val="99"/>
    <w:rsid w:val="0031152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 w:type="paragraph" w:styleId="Revision">
    <w:name w:val="Revision"/>
    <w:hidden/>
    <w:uiPriority w:val="99"/>
    <w:semiHidden/>
    <w:rsid w:val="00897BF1"/>
    <w:rPr>
      <w:rFonts w:ascii="Calibri" w:hAnsi="Calibri"/>
      <w:sz w:val="24"/>
      <w:lang w:val="fr-FR" w:eastAsia="en-US"/>
    </w:rPr>
  </w:style>
  <w:style w:type="paragraph" w:styleId="BalloonText">
    <w:name w:val="Balloon Text"/>
    <w:basedOn w:val="Normal"/>
    <w:link w:val="BalloonTextChar"/>
    <w:semiHidden/>
    <w:unhideWhenUsed/>
    <w:rsid w:val="00897B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7BF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2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council/Documents/basic-texts/DEC-005-F.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9-CL-C-0046/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3893-5CEC-424E-9BB6-6AE3B3062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2EA39-9D7C-40A5-BD9E-FCE1D5404CF9}">
  <ds:schemaRefs>
    <ds:schemaRef ds:uri="http://schemas.microsoft.com/sharepoint/v3/contenttype/forms"/>
  </ds:schemaRefs>
</ds:datastoreItem>
</file>

<file path=customXml/itemProps3.xml><?xml version="1.0" encoding="utf-8"?>
<ds:datastoreItem xmlns:ds="http://schemas.openxmlformats.org/officeDocument/2006/customXml" ds:itemID="{41ACE5E9-1DA7-4873-A459-F7C53400BD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E70A2F-2FEB-4FA4-B5D7-E4362580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4</Pages>
  <Words>1585</Words>
  <Characters>8471</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10036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Passifs de l'assurance maladie après la cessation de service (ASHI)</dc:title>
  <dc:subject>Conseil 2020</dc:subject>
  <dc:creator>Royer, Veronique</dc:creator>
  <cp:keywords>C2020, C20</cp:keywords>
  <dc:description/>
  <cp:lastModifiedBy>Brouard, Ricarda</cp:lastModifiedBy>
  <cp:revision>2</cp:revision>
  <cp:lastPrinted>2000-07-18T08:55:00Z</cp:lastPrinted>
  <dcterms:created xsi:type="dcterms:W3CDTF">2020-05-06T15:33:00Z</dcterms:created>
  <dcterms:modified xsi:type="dcterms:W3CDTF">2020-05-06T15:33:00Z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