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14:paraId="75AEC4CB" w14:textId="77777777">
        <w:trPr>
          <w:cantSplit/>
        </w:trPr>
        <w:tc>
          <w:tcPr>
            <w:tcW w:w="6912" w:type="dxa"/>
          </w:tcPr>
          <w:p w14:paraId="53F1B6DD" w14:textId="77777777" w:rsidR="00093EEB" w:rsidRPr="000B0D00" w:rsidRDefault="00093EEB" w:rsidP="009752E3">
            <w:pPr>
              <w:spacing w:before="360"/>
              <w:rPr>
                <w:szCs w:val="24"/>
              </w:rPr>
            </w:pPr>
            <w:bookmarkStart w:id="0" w:name="dc06"/>
            <w:bookmarkStart w:id="1" w:name="dbluepink" w:colFirst="0" w:colLast="0"/>
            <w:bookmarkEnd w:id="0"/>
            <w:r w:rsidRPr="00093EEB">
              <w:rPr>
                <w:b/>
                <w:bCs/>
                <w:sz w:val="30"/>
                <w:szCs w:val="30"/>
              </w:rPr>
              <w:t>Consejo 20</w:t>
            </w:r>
            <w:r w:rsidR="007955DA">
              <w:rPr>
                <w:b/>
                <w:bCs/>
                <w:sz w:val="30"/>
                <w:szCs w:val="30"/>
              </w:rPr>
              <w:t>20</w:t>
            </w:r>
            <w:r w:rsidRPr="00093EEB">
              <w:rPr>
                <w:b/>
                <w:bCs/>
                <w:sz w:val="26"/>
                <w:szCs w:val="26"/>
              </w:rPr>
              <w:br/>
            </w:r>
            <w:r w:rsidRPr="00093EEB">
              <w:rPr>
                <w:b/>
                <w:bCs/>
                <w:szCs w:val="24"/>
              </w:rPr>
              <w:t xml:space="preserve">Ginebra, </w:t>
            </w:r>
            <w:r w:rsidR="007955DA">
              <w:rPr>
                <w:b/>
                <w:bCs/>
                <w:szCs w:val="24"/>
              </w:rPr>
              <w:t>9</w:t>
            </w:r>
            <w:r w:rsidRPr="00093EEB">
              <w:rPr>
                <w:b/>
                <w:bCs/>
                <w:szCs w:val="24"/>
              </w:rPr>
              <w:t>-</w:t>
            </w:r>
            <w:r w:rsidR="007955DA">
              <w:rPr>
                <w:b/>
                <w:bCs/>
                <w:szCs w:val="24"/>
              </w:rPr>
              <w:t>19</w:t>
            </w:r>
            <w:r w:rsidRPr="00093EEB">
              <w:rPr>
                <w:b/>
                <w:bCs/>
                <w:szCs w:val="24"/>
              </w:rPr>
              <w:t xml:space="preserve"> de </w:t>
            </w:r>
            <w:r w:rsidR="00C2727F">
              <w:rPr>
                <w:b/>
                <w:bCs/>
                <w:szCs w:val="24"/>
              </w:rPr>
              <w:t>junio</w:t>
            </w:r>
            <w:r w:rsidRPr="00093EEB">
              <w:rPr>
                <w:b/>
                <w:bCs/>
                <w:szCs w:val="24"/>
              </w:rPr>
              <w:t xml:space="preserve"> de 20</w:t>
            </w:r>
            <w:r w:rsidR="007955DA">
              <w:rPr>
                <w:b/>
                <w:bCs/>
                <w:szCs w:val="24"/>
              </w:rPr>
              <w:t>20</w:t>
            </w:r>
          </w:p>
        </w:tc>
        <w:tc>
          <w:tcPr>
            <w:tcW w:w="3261" w:type="dxa"/>
          </w:tcPr>
          <w:p w14:paraId="7B012329" w14:textId="77777777" w:rsidR="00093EEB" w:rsidRPr="000B0D00" w:rsidRDefault="007955DA" w:rsidP="009752E3">
            <w:pPr>
              <w:spacing w:before="0"/>
              <w:rPr>
                <w:szCs w:val="24"/>
              </w:rPr>
            </w:pPr>
            <w:bookmarkStart w:id="2" w:name="ditulogo"/>
            <w:bookmarkEnd w:id="2"/>
            <w:r>
              <w:rPr>
                <w:noProof/>
                <w:lang w:val="en-US"/>
              </w:rPr>
              <w:drawing>
                <wp:inline distT="0" distB="0" distL="0" distR="0" wp14:anchorId="46FD281E" wp14:editId="78F8ED79">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0B0D00" w14:paraId="10BA2D96" w14:textId="77777777">
        <w:trPr>
          <w:cantSplit/>
          <w:trHeight w:val="20"/>
        </w:trPr>
        <w:tc>
          <w:tcPr>
            <w:tcW w:w="10173" w:type="dxa"/>
            <w:gridSpan w:val="2"/>
            <w:tcBorders>
              <w:bottom w:val="single" w:sz="12" w:space="0" w:color="auto"/>
            </w:tcBorders>
          </w:tcPr>
          <w:p w14:paraId="4CC084F9" w14:textId="77777777" w:rsidR="00093EEB" w:rsidRPr="00EB1212" w:rsidRDefault="00093EEB" w:rsidP="009752E3">
            <w:pPr>
              <w:spacing w:before="0"/>
              <w:rPr>
                <w:b/>
                <w:bCs/>
                <w:szCs w:val="24"/>
              </w:rPr>
            </w:pPr>
          </w:p>
        </w:tc>
      </w:tr>
      <w:tr w:rsidR="00093EEB" w:rsidRPr="000B0D00" w14:paraId="3AEF1C73" w14:textId="77777777">
        <w:trPr>
          <w:cantSplit/>
          <w:trHeight w:val="20"/>
        </w:trPr>
        <w:tc>
          <w:tcPr>
            <w:tcW w:w="6912" w:type="dxa"/>
            <w:tcBorders>
              <w:top w:val="single" w:sz="12" w:space="0" w:color="auto"/>
            </w:tcBorders>
          </w:tcPr>
          <w:p w14:paraId="517380E6" w14:textId="77777777" w:rsidR="00093EEB" w:rsidRPr="000B0D00" w:rsidRDefault="00093EEB" w:rsidP="009752E3">
            <w:pPr>
              <w:tabs>
                <w:tab w:val="clear" w:pos="2268"/>
                <w:tab w:val="left" w:pos="1560"/>
                <w:tab w:val="left" w:pos="2269"/>
                <w:tab w:val="left" w:pos="3544"/>
                <w:tab w:val="left" w:pos="3969"/>
              </w:tabs>
              <w:spacing w:before="0"/>
              <w:rPr>
                <w:b/>
                <w:smallCaps/>
                <w:szCs w:val="24"/>
              </w:rPr>
            </w:pPr>
          </w:p>
        </w:tc>
        <w:tc>
          <w:tcPr>
            <w:tcW w:w="3261" w:type="dxa"/>
            <w:tcBorders>
              <w:top w:val="single" w:sz="12" w:space="0" w:color="auto"/>
            </w:tcBorders>
          </w:tcPr>
          <w:p w14:paraId="5724D43D" w14:textId="77777777" w:rsidR="00093EEB" w:rsidRPr="000B0D00" w:rsidRDefault="00093EEB" w:rsidP="009752E3">
            <w:pPr>
              <w:spacing w:before="0"/>
              <w:rPr>
                <w:b/>
                <w:bCs/>
                <w:szCs w:val="24"/>
              </w:rPr>
            </w:pPr>
          </w:p>
        </w:tc>
      </w:tr>
      <w:tr w:rsidR="0080644C" w:rsidRPr="000B0D00" w14:paraId="68A2DD2D" w14:textId="77777777">
        <w:trPr>
          <w:cantSplit/>
          <w:trHeight w:val="20"/>
        </w:trPr>
        <w:tc>
          <w:tcPr>
            <w:tcW w:w="6912" w:type="dxa"/>
            <w:shd w:val="clear" w:color="auto" w:fill="auto"/>
          </w:tcPr>
          <w:p w14:paraId="02233E06" w14:textId="77777777" w:rsidR="0080644C" w:rsidRPr="00093EEB" w:rsidRDefault="0080644C" w:rsidP="009752E3">
            <w:pPr>
              <w:tabs>
                <w:tab w:val="clear" w:pos="2268"/>
                <w:tab w:val="left" w:pos="1560"/>
                <w:tab w:val="left" w:pos="2269"/>
                <w:tab w:val="left" w:pos="3544"/>
                <w:tab w:val="left" w:pos="3969"/>
              </w:tabs>
              <w:spacing w:before="0"/>
              <w:rPr>
                <w:rFonts w:cs="Times"/>
                <w:b/>
                <w:szCs w:val="24"/>
              </w:rPr>
            </w:pPr>
            <w:bookmarkStart w:id="3" w:name="dnum" w:colFirst="1" w:colLast="1"/>
            <w:bookmarkStart w:id="4" w:name="dmeeting" w:colFirst="0" w:colLast="0"/>
            <w:bookmarkEnd w:id="1"/>
            <w:r w:rsidRPr="007D0809">
              <w:rPr>
                <w:rFonts w:cs="Times"/>
                <w:b/>
                <w:szCs w:val="24"/>
              </w:rPr>
              <w:t>Punto del orden del día: ADM 1</w:t>
            </w:r>
            <w:r>
              <w:rPr>
                <w:rFonts w:cs="Times"/>
                <w:b/>
                <w:szCs w:val="24"/>
              </w:rPr>
              <w:t>8</w:t>
            </w:r>
          </w:p>
        </w:tc>
        <w:tc>
          <w:tcPr>
            <w:tcW w:w="3261" w:type="dxa"/>
          </w:tcPr>
          <w:p w14:paraId="1D0F2248" w14:textId="77777777" w:rsidR="0080644C" w:rsidRPr="00093EEB" w:rsidRDefault="0080644C" w:rsidP="009752E3">
            <w:pPr>
              <w:spacing w:before="0"/>
              <w:rPr>
                <w:b/>
                <w:bCs/>
                <w:szCs w:val="24"/>
              </w:rPr>
            </w:pPr>
            <w:r>
              <w:rPr>
                <w:b/>
                <w:bCs/>
                <w:szCs w:val="24"/>
              </w:rPr>
              <w:t>Documento C20/44-S</w:t>
            </w:r>
          </w:p>
        </w:tc>
      </w:tr>
      <w:tr w:rsidR="0080644C" w:rsidRPr="000B0D00" w14:paraId="1ED82D34" w14:textId="77777777">
        <w:trPr>
          <w:cantSplit/>
          <w:trHeight w:val="20"/>
        </w:trPr>
        <w:tc>
          <w:tcPr>
            <w:tcW w:w="6912" w:type="dxa"/>
            <w:shd w:val="clear" w:color="auto" w:fill="auto"/>
          </w:tcPr>
          <w:p w14:paraId="4B0C00F5" w14:textId="77777777" w:rsidR="0080644C" w:rsidRPr="000B0D00" w:rsidRDefault="0080644C" w:rsidP="009752E3">
            <w:pPr>
              <w:shd w:val="solid" w:color="FFFFFF" w:fill="FFFFFF"/>
              <w:spacing w:before="0"/>
              <w:rPr>
                <w:smallCaps/>
                <w:szCs w:val="24"/>
              </w:rPr>
            </w:pPr>
            <w:bookmarkStart w:id="5" w:name="ddate" w:colFirst="1" w:colLast="1"/>
            <w:bookmarkEnd w:id="3"/>
            <w:bookmarkEnd w:id="4"/>
          </w:p>
        </w:tc>
        <w:tc>
          <w:tcPr>
            <w:tcW w:w="3261" w:type="dxa"/>
          </w:tcPr>
          <w:p w14:paraId="268D8947" w14:textId="77777777" w:rsidR="0080644C" w:rsidRPr="00093EEB" w:rsidRDefault="0080644C" w:rsidP="009752E3">
            <w:pPr>
              <w:spacing w:before="0"/>
              <w:rPr>
                <w:b/>
                <w:bCs/>
                <w:szCs w:val="24"/>
              </w:rPr>
            </w:pPr>
            <w:r>
              <w:rPr>
                <w:b/>
                <w:bCs/>
                <w:szCs w:val="24"/>
              </w:rPr>
              <w:t>27 de abril de 2020</w:t>
            </w:r>
          </w:p>
        </w:tc>
      </w:tr>
      <w:tr w:rsidR="0080644C" w:rsidRPr="000B0D00" w14:paraId="38B97EC6" w14:textId="77777777">
        <w:trPr>
          <w:cantSplit/>
          <w:trHeight w:val="20"/>
        </w:trPr>
        <w:tc>
          <w:tcPr>
            <w:tcW w:w="6912" w:type="dxa"/>
            <w:shd w:val="clear" w:color="auto" w:fill="auto"/>
          </w:tcPr>
          <w:p w14:paraId="664AF782" w14:textId="77777777" w:rsidR="0080644C" w:rsidRPr="000B0D00" w:rsidRDefault="0080644C" w:rsidP="009752E3">
            <w:pPr>
              <w:shd w:val="solid" w:color="FFFFFF" w:fill="FFFFFF"/>
              <w:spacing w:before="0"/>
              <w:rPr>
                <w:smallCaps/>
                <w:szCs w:val="24"/>
              </w:rPr>
            </w:pPr>
            <w:bookmarkStart w:id="6" w:name="dorlang" w:colFirst="1" w:colLast="1"/>
            <w:bookmarkEnd w:id="5"/>
          </w:p>
        </w:tc>
        <w:tc>
          <w:tcPr>
            <w:tcW w:w="3261" w:type="dxa"/>
          </w:tcPr>
          <w:p w14:paraId="65062B56" w14:textId="77777777" w:rsidR="0080644C" w:rsidRPr="00093EEB" w:rsidRDefault="0080644C" w:rsidP="009752E3">
            <w:pPr>
              <w:spacing w:before="0"/>
              <w:rPr>
                <w:b/>
                <w:bCs/>
                <w:szCs w:val="24"/>
              </w:rPr>
            </w:pPr>
            <w:r>
              <w:rPr>
                <w:b/>
                <w:bCs/>
                <w:szCs w:val="24"/>
              </w:rPr>
              <w:t>Original: inglés</w:t>
            </w:r>
          </w:p>
        </w:tc>
      </w:tr>
      <w:tr w:rsidR="0080644C" w:rsidRPr="000B0D00" w14:paraId="465DDDBD" w14:textId="77777777">
        <w:trPr>
          <w:cantSplit/>
        </w:trPr>
        <w:tc>
          <w:tcPr>
            <w:tcW w:w="10173" w:type="dxa"/>
            <w:gridSpan w:val="2"/>
          </w:tcPr>
          <w:p w14:paraId="3F41476C" w14:textId="77777777" w:rsidR="0080644C" w:rsidRPr="000B0D00" w:rsidRDefault="0080644C" w:rsidP="009752E3">
            <w:pPr>
              <w:pStyle w:val="Source"/>
            </w:pPr>
            <w:bookmarkStart w:id="7" w:name="dsource" w:colFirst="0" w:colLast="0"/>
            <w:bookmarkEnd w:id="6"/>
            <w:r w:rsidRPr="0080644C">
              <w:t>Informe del Secretario General</w:t>
            </w:r>
          </w:p>
        </w:tc>
      </w:tr>
      <w:tr w:rsidR="0080644C" w:rsidRPr="000B0D00" w14:paraId="05BA72B1" w14:textId="77777777">
        <w:trPr>
          <w:cantSplit/>
        </w:trPr>
        <w:tc>
          <w:tcPr>
            <w:tcW w:w="10173" w:type="dxa"/>
            <w:gridSpan w:val="2"/>
          </w:tcPr>
          <w:p w14:paraId="1A107DE5" w14:textId="77777777" w:rsidR="0080644C" w:rsidRPr="000B0D00" w:rsidRDefault="0080644C" w:rsidP="009752E3">
            <w:pPr>
              <w:pStyle w:val="Title1"/>
            </w:pPr>
            <w:bookmarkStart w:id="8" w:name="dtitle1" w:colFirst="0" w:colLast="0"/>
            <w:bookmarkEnd w:id="7"/>
            <w:r w:rsidRPr="0080644C">
              <w:t>INFORME DEL AUDITOR INTERNO SOBRE ACTIVIDADES DE AUDITORÍA INTERNA</w:t>
            </w:r>
          </w:p>
        </w:tc>
      </w:tr>
      <w:bookmarkEnd w:id="8"/>
    </w:tbl>
    <w:p w14:paraId="5CCEA220" w14:textId="77777777" w:rsidR="00093EEB" w:rsidRPr="000B0D00" w:rsidRDefault="00093EEB" w:rsidP="009752E3"/>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0B0D00" w14:paraId="4E0F99D2"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7E2E9DCE" w14:textId="77777777" w:rsidR="00093EEB" w:rsidRPr="00EB168B" w:rsidRDefault="00093EEB" w:rsidP="009752E3">
            <w:pPr>
              <w:pStyle w:val="Headingb"/>
              <w:rPr>
                <w:szCs w:val="24"/>
                <w:lang w:val="es-ES"/>
              </w:rPr>
            </w:pPr>
            <w:r w:rsidRPr="00EB168B">
              <w:rPr>
                <w:szCs w:val="24"/>
                <w:lang w:val="es-ES"/>
              </w:rPr>
              <w:t>Resumen</w:t>
            </w:r>
          </w:p>
          <w:p w14:paraId="5D68F586" w14:textId="77777777" w:rsidR="00093EEB" w:rsidRPr="00EB168B" w:rsidRDefault="0080644C" w:rsidP="009752E3">
            <w:pPr>
              <w:rPr>
                <w:szCs w:val="24"/>
                <w:lang w:val="es-ES"/>
              </w:rPr>
            </w:pPr>
            <w:r w:rsidRPr="00EB168B">
              <w:rPr>
                <w:szCs w:val="24"/>
              </w:rPr>
              <w:t>El presente Informe se refiere a las actividades de Auditoría Interna en el periodo comprendido entre mayo de 2019 y abril de 2020.</w:t>
            </w:r>
          </w:p>
          <w:p w14:paraId="1EA0021A" w14:textId="77777777" w:rsidR="00093EEB" w:rsidRPr="00EB168B" w:rsidRDefault="00093EEB" w:rsidP="009752E3">
            <w:pPr>
              <w:pStyle w:val="Headingb"/>
              <w:rPr>
                <w:szCs w:val="24"/>
                <w:lang w:val="es-ES"/>
              </w:rPr>
            </w:pPr>
            <w:r w:rsidRPr="00EB168B">
              <w:rPr>
                <w:szCs w:val="24"/>
                <w:lang w:val="es-ES"/>
              </w:rPr>
              <w:t>Acción solicitada</w:t>
            </w:r>
          </w:p>
          <w:p w14:paraId="7B7D72EA" w14:textId="77777777" w:rsidR="00093EEB" w:rsidRPr="00EB168B" w:rsidRDefault="0080644C" w:rsidP="009752E3">
            <w:pPr>
              <w:rPr>
                <w:szCs w:val="24"/>
                <w:lang w:val="es-ES"/>
              </w:rPr>
            </w:pPr>
            <w:r w:rsidRPr="00EB168B">
              <w:rPr>
                <w:szCs w:val="24"/>
              </w:rPr>
              <w:t xml:space="preserve">Se transmite el presente Informe al Consejo para </w:t>
            </w:r>
            <w:r w:rsidRPr="00EB168B">
              <w:rPr>
                <w:b/>
                <w:bCs/>
                <w:szCs w:val="24"/>
              </w:rPr>
              <w:t>examen</w:t>
            </w:r>
            <w:r w:rsidRPr="00EB168B">
              <w:rPr>
                <w:szCs w:val="24"/>
              </w:rPr>
              <w:t>.</w:t>
            </w:r>
          </w:p>
          <w:p w14:paraId="16AE6230" w14:textId="77777777" w:rsidR="00093EEB" w:rsidRPr="00EB168B" w:rsidRDefault="00093EEB" w:rsidP="009752E3">
            <w:pPr>
              <w:pStyle w:val="Table"/>
              <w:keepNext w:val="0"/>
              <w:spacing w:before="0" w:after="0"/>
              <w:rPr>
                <w:caps w:val="0"/>
                <w:szCs w:val="24"/>
                <w:lang w:val="es-ES"/>
              </w:rPr>
            </w:pPr>
            <w:r w:rsidRPr="00EB168B">
              <w:rPr>
                <w:caps w:val="0"/>
                <w:szCs w:val="24"/>
                <w:lang w:val="es-ES"/>
              </w:rPr>
              <w:t>____________</w:t>
            </w:r>
          </w:p>
          <w:p w14:paraId="3AF9838F" w14:textId="77777777" w:rsidR="00093EEB" w:rsidRPr="00EB168B" w:rsidRDefault="00093EEB" w:rsidP="009752E3">
            <w:pPr>
              <w:pStyle w:val="Headingb"/>
              <w:rPr>
                <w:szCs w:val="24"/>
                <w:lang w:val="es-ES"/>
              </w:rPr>
            </w:pPr>
            <w:r w:rsidRPr="00EB168B">
              <w:rPr>
                <w:szCs w:val="24"/>
                <w:lang w:val="es-ES"/>
              </w:rPr>
              <w:t>Referencia</w:t>
            </w:r>
            <w:r w:rsidR="0080644C" w:rsidRPr="00EB168B">
              <w:rPr>
                <w:szCs w:val="24"/>
                <w:lang w:val="es-ES"/>
              </w:rPr>
              <w:t>s</w:t>
            </w:r>
          </w:p>
          <w:p w14:paraId="1138E0AA" w14:textId="77777777" w:rsidR="00093EEB" w:rsidRPr="000B0D00" w:rsidRDefault="00562563" w:rsidP="009752E3">
            <w:pPr>
              <w:spacing w:after="120"/>
              <w:rPr>
                <w:i/>
                <w:iCs/>
                <w:lang w:val="es-ES"/>
              </w:rPr>
            </w:pPr>
            <w:hyperlink r:id="rId11" w:history="1">
              <w:r w:rsidR="0080644C" w:rsidRPr="00EB168B">
                <w:rPr>
                  <w:rStyle w:val="Hyperlink"/>
                  <w:i/>
                  <w:iCs/>
                  <w:szCs w:val="24"/>
                </w:rPr>
                <w:t>Reglamento Financiero y Reglas Financieras de la UIT (2018), Artículo 29</w:t>
              </w:r>
            </w:hyperlink>
          </w:p>
        </w:tc>
      </w:tr>
    </w:tbl>
    <w:p w14:paraId="05493A9E" w14:textId="77777777" w:rsidR="0080644C" w:rsidRDefault="0080644C" w:rsidP="009752E3">
      <w:pPr>
        <w:tabs>
          <w:tab w:val="clear" w:pos="567"/>
          <w:tab w:val="clear" w:pos="1134"/>
          <w:tab w:val="clear" w:pos="1701"/>
          <w:tab w:val="clear" w:pos="2268"/>
          <w:tab w:val="clear" w:pos="2835"/>
        </w:tabs>
        <w:overflowPunct/>
        <w:autoSpaceDE/>
        <w:autoSpaceDN/>
        <w:adjustRightInd/>
        <w:spacing w:before="0"/>
        <w:textAlignment w:val="auto"/>
      </w:pPr>
      <w:r>
        <w:br w:type="page"/>
      </w:r>
    </w:p>
    <w:p w14:paraId="655A7FD6" w14:textId="77777777" w:rsidR="0080644C" w:rsidRPr="006A3152" w:rsidRDefault="0080644C" w:rsidP="00B870B4">
      <w:pPr>
        <w:pStyle w:val="Heading1"/>
      </w:pPr>
      <w:r w:rsidRPr="00BA0A9F">
        <w:lastRenderedPageBreak/>
        <w:t>Introducción</w:t>
      </w:r>
    </w:p>
    <w:p w14:paraId="337FFC54" w14:textId="514CDE6A" w:rsidR="00EE0904" w:rsidRPr="0036768D" w:rsidRDefault="00EE0904" w:rsidP="00EB168B">
      <w:pPr>
        <w:jc w:val="both"/>
        <w:rPr>
          <w:lang w:val="es-ES"/>
        </w:rPr>
      </w:pPr>
      <w:r w:rsidRPr="0036768D">
        <w:rPr>
          <w:lang w:val="es-ES"/>
        </w:rPr>
        <w:t>1</w:t>
      </w:r>
      <w:r w:rsidRPr="0036768D">
        <w:rPr>
          <w:lang w:val="es-ES"/>
        </w:rPr>
        <w:tab/>
      </w:r>
      <w:proofErr w:type="gramStart"/>
      <w:r w:rsidRPr="0036768D">
        <w:rPr>
          <w:lang w:val="es-ES"/>
        </w:rPr>
        <w:t>El</w:t>
      </w:r>
      <w:proofErr w:type="gramEnd"/>
      <w:r w:rsidRPr="0036768D">
        <w:rPr>
          <w:lang w:val="es-ES"/>
        </w:rPr>
        <w:t xml:space="preserve"> presente Informe se transmite al Consejo de la UIT y responde al Artículo 29 del Reglamento Financiero de la UIT (2010). De conformidad con la Carta de Auditoría Interna de la UIT</w:t>
      </w:r>
      <w:r w:rsidRPr="0036768D">
        <w:rPr>
          <w:rStyle w:val="FootnoteReference"/>
          <w:lang w:val="es-ES"/>
        </w:rPr>
        <w:footnoteReference w:id="1"/>
      </w:r>
      <w:r w:rsidRPr="0036768D">
        <w:rPr>
          <w:lang w:val="es-ES"/>
        </w:rPr>
        <w:t>, el presente Informe se sometió al Secretario General antes de someterlo a la consideración del Consejo. El actual Informe se refiere a actividades realizadas durante el periodo comprendido entre mayo de</w:t>
      </w:r>
      <w:r w:rsidR="009B4797">
        <w:rPr>
          <w:lang w:val="es-ES"/>
        </w:rPr>
        <w:t> </w:t>
      </w:r>
      <w:r w:rsidRPr="0036768D">
        <w:rPr>
          <w:lang w:val="es-ES"/>
        </w:rPr>
        <w:t>2019 y abril de 2020.</w:t>
      </w:r>
    </w:p>
    <w:p w14:paraId="4FFFFC34" w14:textId="77777777" w:rsidR="00EE0904" w:rsidRPr="0036768D" w:rsidRDefault="00EE0904" w:rsidP="00EB168B">
      <w:pPr>
        <w:jc w:val="both"/>
        <w:rPr>
          <w:lang w:val="es-ES"/>
        </w:rPr>
      </w:pPr>
      <w:r w:rsidRPr="0036768D">
        <w:rPr>
          <w:lang w:val="es-ES"/>
        </w:rPr>
        <w:t>2</w:t>
      </w:r>
      <w:r w:rsidRPr="0036768D">
        <w:rPr>
          <w:lang w:val="es-ES"/>
        </w:rPr>
        <w:tab/>
      </w:r>
      <w:proofErr w:type="gramStart"/>
      <w:r w:rsidRPr="0036768D">
        <w:rPr>
          <w:lang w:val="es-ES"/>
        </w:rPr>
        <w:t>Durante</w:t>
      </w:r>
      <w:proofErr w:type="gramEnd"/>
      <w:r w:rsidRPr="0036768D">
        <w:rPr>
          <w:lang w:val="es-ES"/>
        </w:rPr>
        <w:t xml:space="preserve"> el periodo abarcado por el informe, la Unidad de Auditoría Interna estuvo compuesta por tres funcionarios de categoría profesional – un P5 (Jefe de la Unidad), un P3 (Auditor Interno), y un P2 (Auditor Interno subalterno). La unidad contó todo el tiempo con un funcionario de la categoría de servicios generales (Asistente de auditoría) a tiempo completo. </w:t>
      </w:r>
      <w:r w:rsidRPr="0036768D">
        <w:rPr>
          <w:rFonts w:asciiTheme="minorHAnsi" w:hAnsiTheme="minorHAnsi" w:cstheme="minorHAnsi"/>
          <w:color w:val="000000"/>
          <w:szCs w:val="24"/>
          <w:lang w:val="es-ES"/>
        </w:rPr>
        <w:t xml:space="preserve">Por consiguiente, </w:t>
      </w:r>
      <w:r w:rsidRPr="0036768D">
        <w:rPr>
          <w:lang w:val="es-ES"/>
        </w:rPr>
        <w:t>la Unidad consta actualmente de tres puestos de la categoría de servicios orgánicos y un puesto de la categoría de servicios generales.</w:t>
      </w:r>
    </w:p>
    <w:p w14:paraId="2A7B40FE" w14:textId="77777777" w:rsidR="00EE0904" w:rsidRPr="0036768D" w:rsidRDefault="00EE0904" w:rsidP="00EB168B">
      <w:pPr>
        <w:jc w:val="both"/>
        <w:rPr>
          <w:lang w:val="es-ES"/>
        </w:rPr>
      </w:pPr>
      <w:r w:rsidRPr="0036768D">
        <w:rPr>
          <w:lang w:val="es-ES"/>
        </w:rPr>
        <w:t>3</w:t>
      </w:r>
      <w:r w:rsidRPr="0036768D">
        <w:rPr>
          <w:lang w:val="es-ES"/>
        </w:rPr>
        <w:tab/>
      </w:r>
      <w:proofErr w:type="gramStart"/>
      <w:r w:rsidRPr="0036768D">
        <w:rPr>
          <w:lang w:val="es-ES"/>
        </w:rPr>
        <w:t>La</w:t>
      </w:r>
      <w:proofErr w:type="gramEnd"/>
      <w:r w:rsidRPr="0036768D">
        <w:rPr>
          <w:lang w:val="es-ES"/>
        </w:rPr>
        <w:t xml:space="preserve"> Auditoría Interna confirma que lleva a cabo sus auditorías de conformidad con las Normas Internacionales para la Práctica Profesional de Auditoría Interna y el Código Ético establecidos por el Instituto de Auditores Internos (IIA)</w:t>
      </w:r>
      <w:r w:rsidRPr="0036768D">
        <w:rPr>
          <w:rStyle w:val="FootnoteReference"/>
          <w:lang w:val="es-ES"/>
        </w:rPr>
        <w:footnoteReference w:id="2"/>
      </w:r>
      <w:r w:rsidRPr="0036768D">
        <w:rPr>
          <w:lang w:val="es-ES"/>
        </w:rPr>
        <w:t>, así como las disposiciones de la Carta de Auditoría Interna de la UIT</w:t>
      </w:r>
      <w:r w:rsidRPr="0036768D">
        <w:rPr>
          <w:rStyle w:val="FootnoteReference"/>
          <w:lang w:val="es-ES"/>
        </w:rPr>
        <w:footnoteReference w:id="3"/>
      </w:r>
      <w:r w:rsidRPr="0036768D">
        <w:rPr>
          <w:lang w:val="es-ES"/>
        </w:rPr>
        <w:t>. Además, la Auditoría Interna confirma que durante el periodo auditado su personal no tuvo autoridad de gestión ni responsabilidad sobre ninguna de las actividades auditadas y no realizó funciones de contabilidad u operacionales en la UIT.</w:t>
      </w:r>
    </w:p>
    <w:p w14:paraId="0A15C26A" w14:textId="77777777" w:rsidR="0080644C" w:rsidRPr="007D0809" w:rsidRDefault="0080644C" w:rsidP="00EB168B">
      <w:pPr>
        <w:pStyle w:val="Heading1"/>
        <w:jc w:val="both"/>
      </w:pPr>
      <w:r w:rsidRPr="00BA0A9F">
        <w:t>Orientación</w:t>
      </w:r>
      <w:r w:rsidRPr="007D0809">
        <w:t xml:space="preserve"> y ámbito de las actividades de Auditoría Interna</w:t>
      </w:r>
    </w:p>
    <w:p w14:paraId="1EA07628" w14:textId="3FC7A6B7" w:rsidR="00EE0904" w:rsidRPr="0036768D" w:rsidRDefault="00EE0904" w:rsidP="00EB168B">
      <w:pPr>
        <w:jc w:val="both"/>
        <w:rPr>
          <w:lang w:val="es-ES"/>
        </w:rPr>
      </w:pPr>
      <w:r w:rsidRPr="0036768D">
        <w:rPr>
          <w:lang w:val="es-ES"/>
        </w:rPr>
        <w:t>4</w:t>
      </w:r>
      <w:r w:rsidRPr="0036768D">
        <w:rPr>
          <w:lang w:val="es-ES"/>
        </w:rPr>
        <w:tab/>
      </w:r>
      <w:proofErr w:type="gramStart"/>
      <w:r w:rsidRPr="0036768D">
        <w:rPr>
          <w:lang w:val="es-ES"/>
        </w:rPr>
        <w:t>De</w:t>
      </w:r>
      <w:proofErr w:type="gramEnd"/>
      <w:r w:rsidRPr="0036768D">
        <w:rPr>
          <w:lang w:val="es-ES"/>
        </w:rPr>
        <w:t xml:space="preserve"> conformidad con la Carta de Auditoría Interna, el plan de Auditoría Interna propuesto para</w:t>
      </w:r>
      <w:r w:rsidR="009B4797">
        <w:rPr>
          <w:lang w:val="es-ES"/>
        </w:rPr>
        <w:t> </w:t>
      </w:r>
      <w:r w:rsidRPr="0036768D">
        <w:rPr>
          <w:lang w:val="es-ES"/>
        </w:rPr>
        <w:t>2019 fue examinado por el Comité Asesor Independiente sobre la Gestión (CAIG) en su</w:t>
      </w:r>
      <w:r>
        <w:rPr>
          <w:lang w:val="es-ES"/>
        </w:rPr>
        <w:t> </w:t>
      </w:r>
      <w:r w:rsidRPr="0036768D">
        <w:rPr>
          <w:lang w:val="es-ES"/>
        </w:rPr>
        <w:t>22ª</w:t>
      </w:r>
      <w:r>
        <w:rPr>
          <w:lang w:val="es-ES"/>
        </w:rPr>
        <w:t> </w:t>
      </w:r>
      <w:r w:rsidRPr="0036768D">
        <w:rPr>
          <w:lang w:val="es-ES"/>
        </w:rPr>
        <w:t>reunión y fue aprobado por el Secretario General el 26 de marzo de 2019. Con respecto a</w:t>
      </w:r>
      <w:r>
        <w:rPr>
          <w:lang w:val="es-ES"/>
        </w:rPr>
        <w:t> </w:t>
      </w:r>
      <w:r w:rsidRPr="0036768D">
        <w:rPr>
          <w:lang w:val="es-ES"/>
        </w:rPr>
        <w:t xml:space="preserve">2020, aún no se ha elaborado un plan de AI, debido principalmente a que el AI ha tenido una importante participación en las labores de investigación que prosiguen en 2020 y continuará </w:t>
      </w:r>
      <w:r>
        <w:rPr>
          <w:lang w:val="es-ES"/>
        </w:rPr>
        <w:t xml:space="preserve">teniéndola </w:t>
      </w:r>
      <w:r w:rsidRPr="0036768D">
        <w:rPr>
          <w:lang w:val="es-ES"/>
        </w:rPr>
        <w:t xml:space="preserve">hasta que se haya aprobado y provisto el puesto de </w:t>
      </w:r>
      <w:r w:rsidR="00B870B4" w:rsidRPr="0036768D">
        <w:rPr>
          <w:lang w:val="es-ES"/>
        </w:rPr>
        <w:t>investigador</w:t>
      </w:r>
      <w:r w:rsidRPr="0036768D">
        <w:rPr>
          <w:lang w:val="es-ES"/>
        </w:rPr>
        <w:t>. Las labores de investigación de</w:t>
      </w:r>
      <w:r>
        <w:rPr>
          <w:lang w:val="es-ES"/>
        </w:rPr>
        <w:t xml:space="preserve"> </w:t>
      </w:r>
      <w:r w:rsidRPr="0036768D">
        <w:rPr>
          <w:lang w:val="es-ES"/>
        </w:rPr>
        <w:t>l</w:t>
      </w:r>
      <w:r>
        <w:rPr>
          <w:lang w:val="es-ES"/>
        </w:rPr>
        <w:t>a</w:t>
      </w:r>
      <w:r w:rsidRPr="0036768D">
        <w:rPr>
          <w:lang w:val="es-ES"/>
        </w:rPr>
        <w:t xml:space="preserve"> AI se basan </w:t>
      </w:r>
      <w:r w:rsidRPr="0036768D">
        <w:rPr>
          <w:rFonts w:asciiTheme="minorHAnsi" w:hAnsiTheme="minorHAnsi" w:cstheme="minorHAnsi"/>
          <w:szCs w:val="24"/>
          <w:lang w:val="es-ES"/>
        </w:rPr>
        <w:t xml:space="preserve">en la Carta de Auditoría Interna, en la que se estipula también que </w:t>
      </w:r>
      <w:r w:rsidRPr="0036768D">
        <w:rPr>
          <w:rFonts w:asciiTheme="minorHAnsi" w:hAnsiTheme="minorHAnsi" w:cstheme="minorHAnsi"/>
          <w:i/>
          <w:iCs/>
          <w:szCs w:val="24"/>
          <w:lang w:val="es-ES"/>
        </w:rPr>
        <w:t xml:space="preserve">la Auditoría Interna estudiará las alegaciones o presunciones de fraude o gestión indebida </w:t>
      </w:r>
      <w:r w:rsidRPr="0036768D">
        <w:rPr>
          <w:rFonts w:asciiTheme="minorHAnsi" w:hAnsiTheme="minorHAnsi" w:cstheme="minorHAnsi"/>
          <w:szCs w:val="24"/>
          <w:lang w:val="es-ES"/>
        </w:rPr>
        <w:t>y que</w:t>
      </w:r>
      <w:r w:rsidRPr="0036768D">
        <w:rPr>
          <w:rFonts w:asciiTheme="minorHAnsi" w:hAnsiTheme="minorHAnsi" w:cstheme="minorHAnsi"/>
          <w:i/>
          <w:iCs/>
          <w:szCs w:val="24"/>
          <w:lang w:val="es-ES"/>
        </w:rPr>
        <w:t xml:space="preserve"> podrá proporcionar servicios de consultoría en la UIT</w:t>
      </w:r>
      <w:r w:rsidRPr="0036768D">
        <w:rPr>
          <w:rFonts w:asciiTheme="minorHAnsi" w:hAnsiTheme="minorHAnsi" w:cstheme="minorHAnsi"/>
          <w:szCs w:val="24"/>
          <w:lang w:val="es-ES"/>
        </w:rPr>
        <w:t>.</w:t>
      </w:r>
    </w:p>
    <w:p w14:paraId="0CE19ACD" w14:textId="528106B0" w:rsidR="00EE0904" w:rsidRPr="0036768D" w:rsidRDefault="00EE0904" w:rsidP="00EB168B">
      <w:pPr>
        <w:jc w:val="both"/>
        <w:rPr>
          <w:lang w:val="es-ES"/>
        </w:rPr>
      </w:pPr>
      <w:r w:rsidRPr="0036768D">
        <w:rPr>
          <w:lang w:val="es-ES"/>
        </w:rPr>
        <w:t>5</w:t>
      </w:r>
      <w:r w:rsidRPr="0036768D">
        <w:rPr>
          <w:lang w:val="es-ES"/>
        </w:rPr>
        <w:tab/>
      </w:r>
      <w:proofErr w:type="gramStart"/>
      <w:r w:rsidRPr="0036768D">
        <w:rPr>
          <w:lang w:val="es-ES"/>
        </w:rPr>
        <w:t>La</w:t>
      </w:r>
      <w:proofErr w:type="gramEnd"/>
      <w:r w:rsidRPr="0036768D">
        <w:rPr>
          <w:lang w:val="es-ES"/>
        </w:rPr>
        <w:t xml:space="preserve"> </w:t>
      </w:r>
      <w:r>
        <w:rPr>
          <w:lang w:val="es-ES"/>
        </w:rPr>
        <w:t>AI</w:t>
      </w:r>
      <w:r w:rsidRPr="0036768D">
        <w:rPr>
          <w:lang w:val="es-ES"/>
        </w:rPr>
        <w:t xml:space="preserve"> comparte sistemáticamente copias de los informes de Auditoría Interna con el Auditor Externo de la UIT y el CAIG. De conformidad con el Reglamento Financiero de la UIT (Artículo</w:t>
      </w:r>
      <w:r w:rsidR="00EB168B">
        <w:rPr>
          <w:lang w:val="es-ES"/>
        </w:rPr>
        <w:t> </w:t>
      </w:r>
      <w:r w:rsidRPr="0036768D">
        <w:rPr>
          <w:lang w:val="es-ES"/>
        </w:rPr>
        <w:t>29, punto 5), los Informes Finales de Auditoría Interna pueden ponerse a disposición de los Estados Miembros o de sus representantes designados. Desde octubre de 2015 existe un mecanismo que facilita el acceso a los Informes de Auditoría Interna.</w:t>
      </w:r>
      <w:r w:rsidRPr="0036768D">
        <w:rPr>
          <w:rFonts w:asciiTheme="minorHAnsi" w:hAnsiTheme="minorHAnsi" w:cs="Calibri"/>
          <w:lang w:val="es-ES"/>
        </w:rPr>
        <w:t xml:space="preserve"> </w:t>
      </w:r>
      <w:r w:rsidRPr="0036768D">
        <w:rPr>
          <w:lang w:val="es-ES"/>
        </w:rPr>
        <w:t>Durante el periodo auditado no se recibió ninguna solicitud para consultar informes de la Auditoría Interna a través del mecanismo en línea.</w:t>
      </w:r>
    </w:p>
    <w:p w14:paraId="1D6695A1" w14:textId="77777777" w:rsidR="0080644C" w:rsidRPr="007D0809" w:rsidRDefault="0080644C" w:rsidP="00EB168B">
      <w:pPr>
        <w:pStyle w:val="Heading1"/>
        <w:jc w:val="both"/>
      </w:pPr>
      <w:r w:rsidRPr="00BA0A9F">
        <w:lastRenderedPageBreak/>
        <w:t>Objetivos</w:t>
      </w:r>
      <w:r w:rsidRPr="007D0809">
        <w:t xml:space="preserve"> y conclusiones de los compromisos de garantía</w:t>
      </w:r>
    </w:p>
    <w:p w14:paraId="03870E12" w14:textId="77777777" w:rsidR="0080644C" w:rsidRPr="007D0809" w:rsidRDefault="0080644C" w:rsidP="00EB168B">
      <w:pPr>
        <w:keepLines/>
        <w:jc w:val="both"/>
      </w:pPr>
      <w:r w:rsidRPr="007D0809">
        <w:t>6</w:t>
      </w:r>
      <w:r w:rsidRPr="007D0809">
        <w:tab/>
      </w:r>
      <w:proofErr w:type="gramStart"/>
      <w:r w:rsidRPr="007D0809">
        <w:t>Los</w:t>
      </w:r>
      <w:proofErr w:type="gramEnd"/>
      <w:r w:rsidRPr="007D0809">
        <w:t xml:space="preserve"> objetivos de los compromisos de garantía eran evaluar</w:t>
      </w:r>
      <w:r>
        <w:t>:</w:t>
      </w:r>
      <w:r w:rsidRPr="007D0809">
        <w:t xml:space="preserve"> i) los aspectos de gobernanza de las operaciones verificadas de la Un</w:t>
      </w:r>
      <w:r>
        <w:t>ión;</w:t>
      </w:r>
      <w:r w:rsidRPr="007D0809">
        <w:t xml:space="preserve"> ii) las prácticas de gestión de riesgos</w:t>
      </w:r>
      <w:r>
        <w:t>;</w:t>
      </w:r>
      <w:r w:rsidRPr="007D0809">
        <w:t xml:space="preserve"> y iii) la eficacia de los controles (internos). La prioridad de las recomendaciones resultantes de los trabajos de auditoría se clasifica de acuerdo con la repercusión y la probabilidad de la deficiencia (alta, media, baja).</w:t>
      </w:r>
    </w:p>
    <w:p w14:paraId="6F336E13" w14:textId="15524FD3" w:rsidR="0080644C" w:rsidRPr="007D0809" w:rsidRDefault="0080644C" w:rsidP="00EB168B">
      <w:pPr>
        <w:jc w:val="both"/>
      </w:pPr>
      <w:r w:rsidRPr="007D0809">
        <w:t xml:space="preserve">De acuerdo con los diversos compromisos de garantía </w:t>
      </w:r>
      <w:r w:rsidR="00EE0904">
        <w:t>realizados en el pasado</w:t>
      </w:r>
      <w:r w:rsidRPr="007D0809">
        <w:t>, la Auditoría Interna llegó a la conclusión de que, globalmente, se necesita mejorar la gobernanza y la gestión de riesgo de los procesos revisados y hacer que los controles sean más eficaces en las diversas esferas auditadas. Una mejora de estos puntos permitiría a la Auditoría Interna dar al Secretario General garantías razonables de la adecuación de la gobernanza y de la efectividad de la gestión de riesgos y del control.</w:t>
      </w:r>
      <w:r w:rsidRPr="007D0809">
        <w:rPr>
          <w:rFonts w:asciiTheme="minorHAnsi" w:hAnsiTheme="minorHAnsi" w:cs="Arial"/>
        </w:rPr>
        <w:t xml:space="preserve"> </w:t>
      </w:r>
      <w:r w:rsidRPr="007D0809">
        <w:t>Se van a aplicar las recomendaciones hechas a la Dirección, con el apoyo del Secretario General, y ello reforzará a la UIT para el cumplimiento de su mandato.</w:t>
      </w:r>
    </w:p>
    <w:p w14:paraId="2312CF2F" w14:textId="77777777" w:rsidR="0080644C" w:rsidRPr="007D0809" w:rsidRDefault="0080644C" w:rsidP="00EB168B">
      <w:pPr>
        <w:jc w:val="both"/>
      </w:pPr>
      <w:r w:rsidRPr="007D0809">
        <w:t>7</w:t>
      </w:r>
      <w:r w:rsidRPr="007D0809">
        <w:tab/>
      </w:r>
      <w:proofErr w:type="gramStart"/>
      <w:r w:rsidRPr="007D0809">
        <w:t>La</w:t>
      </w:r>
      <w:proofErr w:type="gramEnd"/>
      <w:r w:rsidRPr="007D0809">
        <w:t xml:space="preserve"> Auditoría Interna sigue la implementación de las acciones recomendadas, en su caso.</w:t>
      </w:r>
    </w:p>
    <w:p w14:paraId="23A2F05A" w14:textId="6F10F6E5" w:rsidR="0080644C" w:rsidRPr="00BA0A9F" w:rsidRDefault="0080644C" w:rsidP="00EB168B">
      <w:pPr>
        <w:jc w:val="both"/>
        <w:rPr>
          <w:i/>
        </w:rPr>
      </w:pPr>
      <w:r w:rsidRPr="00BA0A9F">
        <w:rPr>
          <w:i/>
        </w:rPr>
        <w:t xml:space="preserve">Se ha obtenido </w:t>
      </w:r>
      <w:r w:rsidR="00EE0904" w:rsidRPr="00BA0A9F">
        <w:rPr>
          <w:i/>
        </w:rPr>
        <w:t>el</w:t>
      </w:r>
      <w:r w:rsidRPr="00BA0A9F">
        <w:rPr>
          <w:i/>
        </w:rPr>
        <w:t xml:space="preserve"> siguiente compromiso de garantía:</w:t>
      </w:r>
    </w:p>
    <w:p w14:paraId="3CEB81F7" w14:textId="68358E2B" w:rsidR="0080644C" w:rsidRPr="002829BA" w:rsidRDefault="0080644C" w:rsidP="00EB168B">
      <w:pPr>
        <w:pStyle w:val="Headingb"/>
        <w:jc w:val="both"/>
        <w:rPr>
          <w:i/>
        </w:rPr>
      </w:pPr>
      <w:bookmarkStart w:id="9" w:name="lt_pId064"/>
      <w:r w:rsidRPr="002829BA">
        <w:rPr>
          <w:i/>
        </w:rPr>
        <w:t>A</w:t>
      </w:r>
      <w:r w:rsidRPr="002829BA">
        <w:rPr>
          <w:i/>
        </w:rPr>
        <w:tab/>
      </w:r>
      <w:r w:rsidR="00EE0904" w:rsidRPr="002829BA">
        <w:rPr>
          <w:i/>
        </w:rPr>
        <w:t>Inspección</w:t>
      </w:r>
      <w:r w:rsidR="00EE0904" w:rsidRPr="002829BA">
        <w:rPr>
          <w:i/>
          <w:lang w:val="es-ES"/>
        </w:rPr>
        <w:t xml:space="preserve"> de las actividades de las oficinas regionales/de zona – proyectos, iniciativas regionales y medidas</w:t>
      </w:r>
    </w:p>
    <w:p w14:paraId="31E5AF55" w14:textId="4A89B73D" w:rsidR="0080644C" w:rsidRDefault="00EE0904" w:rsidP="00EB168B">
      <w:pPr>
        <w:jc w:val="both"/>
      </w:pPr>
      <w:r w:rsidRPr="00EE0904">
        <w:rPr>
          <w:lang w:val="es-ES"/>
        </w:rPr>
        <w:t>8</w:t>
      </w:r>
      <w:r w:rsidRPr="00EE0904">
        <w:rPr>
          <w:lang w:val="es-ES"/>
        </w:rPr>
        <w:tab/>
      </w:r>
      <w:proofErr w:type="gramStart"/>
      <w:r w:rsidRPr="00EE0904">
        <w:rPr>
          <w:lang w:val="es-ES"/>
        </w:rPr>
        <w:t>La</w:t>
      </w:r>
      <w:proofErr w:type="gramEnd"/>
      <w:r w:rsidRPr="00EE0904">
        <w:rPr>
          <w:lang w:val="es-ES"/>
        </w:rPr>
        <w:t xml:space="preserve"> Auditoría Interna llevó a cabo una auditoría de las activid</w:t>
      </w:r>
      <w:r w:rsidR="00B870B4">
        <w:rPr>
          <w:lang w:val="es-ES"/>
        </w:rPr>
        <w:t xml:space="preserve">ades de las oficinas regionales y </w:t>
      </w:r>
      <w:r w:rsidRPr="00EE0904">
        <w:rPr>
          <w:lang w:val="es-ES"/>
        </w:rPr>
        <w:t>de zona para el periodo comprendido entre enero de 2008 y marzo de 2019. En el curso de dicha inspección se procedió a examinar una muestra de los proyectos, iniciativas y medidas llevados a cabo por la BDT en las oficinas regionales y de zona, y también algunos proyectos mundiales con repercusiones en las Regiones.</w:t>
      </w:r>
    </w:p>
    <w:p w14:paraId="568CA0D7" w14:textId="493DA424" w:rsidR="00EE0904" w:rsidRPr="0036768D" w:rsidRDefault="00EE0904" w:rsidP="00EB168B">
      <w:pPr>
        <w:jc w:val="both"/>
        <w:rPr>
          <w:lang w:val="es-ES"/>
        </w:rPr>
      </w:pPr>
      <w:r w:rsidRPr="0036768D">
        <w:rPr>
          <w:lang w:val="es-ES"/>
        </w:rPr>
        <w:t>9</w:t>
      </w:r>
      <w:r w:rsidRPr="0036768D">
        <w:rPr>
          <w:lang w:val="es-ES"/>
        </w:rPr>
        <w:tab/>
      </w:r>
      <w:proofErr w:type="gramStart"/>
      <w:r w:rsidRPr="0036768D">
        <w:rPr>
          <w:lang w:val="es-ES"/>
        </w:rPr>
        <w:t>La</w:t>
      </w:r>
      <w:proofErr w:type="gramEnd"/>
      <w:r w:rsidRPr="0036768D">
        <w:rPr>
          <w:lang w:val="es-ES"/>
        </w:rPr>
        <w:t xml:space="preserve"> Auditoría Interna (AI) llegó a conclusiones </w:t>
      </w:r>
      <w:r>
        <w:rPr>
          <w:lang w:val="es-ES"/>
        </w:rPr>
        <w:t xml:space="preserve">críticas </w:t>
      </w:r>
      <w:r w:rsidR="001C7E72">
        <w:rPr>
          <w:lang w:val="es-ES"/>
        </w:rPr>
        <w:t>(</w:t>
      </w:r>
      <w:r>
        <w:rPr>
          <w:lang w:val="es-ES"/>
        </w:rPr>
        <w:t>a</w:t>
      </w:r>
      <w:r w:rsidR="001C7E72">
        <w:rPr>
          <w:lang w:val="es-ES"/>
        </w:rPr>
        <w:t>)</w:t>
      </w:r>
      <w:r>
        <w:rPr>
          <w:lang w:val="es-ES"/>
        </w:rPr>
        <w:t xml:space="preserve"> más abajo) y de alta prioridad </w:t>
      </w:r>
      <w:r w:rsidR="00F03A11">
        <w:rPr>
          <w:lang w:val="es-ES"/>
        </w:rPr>
        <w:t>(</w:t>
      </w:r>
      <w:r>
        <w:rPr>
          <w:lang w:val="es-ES"/>
        </w:rPr>
        <w:t>b</w:t>
      </w:r>
      <w:r w:rsidR="001C7E72">
        <w:rPr>
          <w:lang w:val="es-ES"/>
        </w:rPr>
        <w:t>)</w:t>
      </w:r>
      <w:r>
        <w:rPr>
          <w:lang w:val="es-ES"/>
        </w:rPr>
        <w:t xml:space="preserve"> más abajo) en relación con diversas cuestiones, a saber: </w:t>
      </w:r>
    </w:p>
    <w:p w14:paraId="6C034546" w14:textId="77777777" w:rsidR="00EE0904" w:rsidRDefault="00EE0904" w:rsidP="00EB168B">
      <w:pPr>
        <w:pStyle w:val="enumlev1"/>
        <w:jc w:val="both"/>
        <w:rPr>
          <w:lang w:val="es-ES"/>
        </w:rPr>
      </w:pPr>
      <w:r w:rsidRPr="0036768D">
        <w:rPr>
          <w:lang w:val="es-ES"/>
        </w:rPr>
        <w:t>a)</w:t>
      </w:r>
      <w:r w:rsidRPr="0036768D">
        <w:rPr>
          <w:lang w:val="es-ES"/>
        </w:rPr>
        <w:tab/>
      </w:r>
      <w:r w:rsidRPr="00BA0A9F">
        <w:t>Se</w:t>
      </w:r>
      <w:r w:rsidRPr="00183D48">
        <w:rPr>
          <w:lang w:val="es-ES"/>
        </w:rPr>
        <w:t xml:space="preserve"> comprobó que las directrices de gestión de los proyectos estaban anticuadas, y que también había importantes deficiencias en la etapa de planificación de los proyectos. A nivel del director del proyecto, del coordinador del proyecto (PRJ) y del director regional, la rendición de cuentas, las funciones y las responsabilidades no estaban claras. Se recomendó que, una vez ultimadas las nuevas directrices de gestión de proyectos, se examinaran y aclararan las responsabilidades, las funciones y las obligaciones de rendición de cuentas de las funciones mencionadas. El examen incluiría una estructura de </w:t>
      </w:r>
      <w:r>
        <w:rPr>
          <w:lang w:val="es-ES"/>
        </w:rPr>
        <w:t>gobernanza</w:t>
      </w:r>
      <w:r w:rsidRPr="00183D48">
        <w:rPr>
          <w:lang w:val="es-ES"/>
        </w:rPr>
        <w:t xml:space="preserve"> de </w:t>
      </w:r>
      <w:r>
        <w:rPr>
          <w:lang w:val="es-ES"/>
        </w:rPr>
        <w:t xml:space="preserve">los </w:t>
      </w:r>
      <w:r w:rsidRPr="00183D48">
        <w:rPr>
          <w:lang w:val="es-ES"/>
        </w:rPr>
        <w:t xml:space="preserve">proyectos con claros vínculos con la gestión basada en los resultados y el marco de rendición de cuentas de la UIT. Además, en lo que respecta a la contratación y utilización de expertos, la gestión de riesgos es inadecuada y los controles son ineficaces. Se recomendó que se examinaran urgentemente los procedimientos y prácticas adecuados para que la Unión se ocupara adecuadamente de la contratación y la gestión de los </w:t>
      </w:r>
      <w:r>
        <w:rPr>
          <w:lang w:val="es-ES"/>
        </w:rPr>
        <w:t>SSA.</w:t>
      </w:r>
    </w:p>
    <w:p w14:paraId="54858138" w14:textId="77777777" w:rsidR="00EE0904" w:rsidRPr="0036768D" w:rsidRDefault="00EE0904" w:rsidP="00EB168B">
      <w:pPr>
        <w:pStyle w:val="enumlev1"/>
        <w:jc w:val="both"/>
        <w:rPr>
          <w:rFonts w:asciiTheme="minorHAnsi" w:hAnsiTheme="minorHAnsi" w:cstheme="minorHAnsi"/>
          <w:lang w:val="es-ES"/>
        </w:rPr>
      </w:pPr>
      <w:r w:rsidRPr="0036768D">
        <w:rPr>
          <w:rFonts w:asciiTheme="minorHAnsi" w:hAnsiTheme="minorHAnsi" w:cstheme="minorHAnsi"/>
          <w:lang w:val="es-ES"/>
        </w:rPr>
        <w:t>b)</w:t>
      </w:r>
      <w:r w:rsidRPr="0036768D">
        <w:rPr>
          <w:rFonts w:asciiTheme="minorHAnsi" w:hAnsiTheme="minorHAnsi" w:cstheme="minorHAnsi"/>
          <w:lang w:val="es-ES"/>
        </w:rPr>
        <w:tab/>
      </w:r>
      <w:r w:rsidRPr="00183D48">
        <w:rPr>
          <w:rFonts w:asciiTheme="minorHAnsi" w:hAnsiTheme="minorHAnsi" w:cstheme="minorHAnsi"/>
          <w:lang w:val="es-ES"/>
        </w:rPr>
        <w:t xml:space="preserve">En el caso de dos proyectos importantes de la muestra se comprobó que había deficiencias </w:t>
      </w:r>
      <w:r>
        <w:rPr>
          <w:rFonts w:asciiTheme="minorHAnsi" w:hAnsiTheme="minorHAnsi" w:cstheme="minorHAnsi"/>
          <w:lang w:val="es-ES"/>
        </w:rPr>
        <w:t>especialmente importantes en términos de</w:t>
      </w:r>
      <w:r w:rsidRPr="00183D48">
        <w:rPr>
          <w:rFonts w:asciiTheme="minorHAnsi" w:hAnsiTheme="minorHAnsi" w:cstheme="minorHAnsi"/>
          <w:lang w:val="es-ES"/>
        </w:rPr>
        <w:t xml:space="preserve"> planificación, establecimiento, ejecución, supervisión, utilización de expertos y adquisición. Se recomendó que se adoptaran planes concretos y una hoja de ruta sobre la forma de continuar/completar la ejecución de esos dos proyectos</w:t>
      </w:r>
      <w:r>
        <w:rPr>
          <w:rFonts w:asciiTheme="minorHAnsi" w:hAnsiTheme="minorHAnsi" w:cstheme="minorHAnsi"/>
          <w:lang w:val="es-ES"/>
        </w:rPr>
        <w:t>.</w:t>
      </w:r>
      <w:r w:rsidRPr="00183D48">
        <w:t xml:space="preserve"> </w:t>
      </w:r>
      <w:r w:rsidRPr="00183D48">
        <w:rPr>
          <w:rFonts w:asciiTheme="minorHAnsi" w:hAnsiTheme="minorHAnsi" w:cstheme="minorHAnsi"/>
          <w:lang w:val="es-ES"/>
        </w:rPr>
        <w:t xml:space="preserve">Se consideró inadecuada la gestión de riesgos de todos los proyectos y medidas del plan operacional. Se recomendó que se elaboraran procedimientos, instrumentos y normas </w:t>
      </w:r>
      <w:r>
        <w:rPr>
          <w:rFonts w:asciiTheme="minorHAnsi" w:hAnsiTheme="minorHAnsi" w:cstheme="minorHAnsi"/>
          <w:lang w:val="es-ES"/>
        </w:rPr>
        <w:t xml:space="preserve">a escala de toda la </w:t>
      </w:r>
      <w:r w:rsidRPr="00183D48">
        <w:rPr>
          <w:rFonts w:asciiTheme="minorHAnsi" w:hAnsiTheme="minorHAnsi" w:cstheme="minorHAnsi"/>
          <w:lang w:val="es-ES"/>
        </w:rPr>
        <w:t xml:space="preserve">BDT para la gestión de riesgos a nivel de proyecto y para las </w:t>
      </w:r>
      <w:r>
        <w:rPr>
          <w:rFonts w:asciiTheme="minorHAnsi" w:hAnsiTheme="minorHAnsi" w:cstheme="minorHAnsi"/>
          <w:lang w:val="es-ES"/>
        </w:rPr>
        <w:t>actividades</w:t>
      </w:r>
      <w:r w:rsidRPr="00183D48">
        <w:rPr>
          <w:rFonts w:asciiTheme="minorHAnsi" w:hAnsiTheme="minorHAnsi" w:cstheme="minorHAnsi"/>
          <w:lang w:val="es-ES"/>
        </w:rPr>
        <w:t xml:space="preserve"> del presupuesto ordinario. Se consideró que los instrumentos de información y comunicación de la BDT eran ineficaces y se recomendó que se identificaran esos instrumentos con miras a </w:t>
      </w:r>
      <w:r w:rsidRPr="00183D48">
        <w:rPr>
          <w:rFonts w:asciiTheme="minorHAnsi" w:hAnsiTheme="minorHAnsi" w:cstheme="minorHAnsi"/>
          <w:lang w:val="es-ES"/>
        </w:rPr>
        <w:lastRenderedPageBreak/>
        <w:t xml:space="preserve">prestar un mejor apoyo a la BDT, en particular mejorando la captación, </w:t>
      </w:r>
      <w:r>
        <w:rPr>
          <w:rFonts w:asciiTheme="minorHAnsi" w:hAnsiTheme="minorHAnsi" w:cstheme="minorHAnsi"/>
          <w:lang w:val="es-ES"/>
        </w:rPr>
        <w:t>el seguimiento</w:t>
      </w:r>
      <w:r w:rsidRPr="00183D48">
        <w:rPr>
          <w:rFonts w:asciiTheme="minorHAnsi" w:hAnsiTheme="minorHAnsi" w:cstheme="minorHAnsi"/>
          <w:lang w:val="es-ES"/>
        </w:rPr>
        <w:t xml:space="preserve"> y la presentación de informes sobre proyectos, iniciativas y medidas del presupuesto ordinario.</w:t>
      </w:r>
      <w:r>
        <w:rPr>
          <w:rFonts w:asciiTheme="minorHAnsi" w:hAnsiTheme="minorHAnsi" w:cstheme="minorHAnsi"/>
          <w:lang w:val="es-ES"/>
        </w:rPr>
        <w:t xml:space="preserve"> </w:t>
      </w:r>
      <w:r w:rsidRPr="00B112D0">
        <w:rPr>
          <w:lang w:val="es-ES"/>
        </w:rPr>
        <w:t xml:space="preserve">En el caso de los eventos de la BDT en las regiones, se comprobó que la vigilancia es inadecuada y que existe un alto riesgo de que los recursos no se utilicen de manera eficiente y eficaz. Se recomendó que se aplicaran controles específicos </w:t>
      </w:r>
      <w:r w:rsidRPr="00B870B4">
        <w:rPr>
          <w:i/>
          <w:lang w:val="es-ES"/>
        </w:rPr>
        <w:t>a priori</w:t>
      </w:r>
      <w:r w:rsidRPr="00B112D0">
        <w:rPr>
          <w:lang w:val="es-ES"/>
        </w:rPr>
        <w:t xml:space="preserve"> y </w:t>
      </w:r>
      <w:r w:rsidRPr="00B870B4">
        <w:rPr>
          <w:i/>
          <w:lang w:val="es-ES"/>
        </w:rPr>
        <w:t>a posteriori</w:t>
      </w:r>
      <w:r w:rsidRPr="00B112D0">
        <w:rPr>
          <w:lang w:val="es-ES"/>
        </w:rPr>
        <w:t xml:space="preserve"> sobre la organización de los eventos (talleres, seminarios, conferencias). También se recomendó que se evaluaran los sistemas y controles actuales relacionados con la supervisión de los proyectos con miras a: i) definir mejoras en términos de intercambio de información y ii) adoptar medidas apropiadas en relación con</w:t>
      </w:r>
      <w:r>
        <w:rPr>
          <w:lang w:val="es-ES"/>
        </w:rPr>
        <w:t xml:space="preserve"> </w:t>
      </w:r>
      <w:r w:rsidRPr="00B112D0">
        <w:rPr>
          <w:lang w:val="es-ES"/>
        </w:rPr>
        <w:t>los directores de proyecto que no informen adecuada y oportunamente sobre la ejecución de los proyectos</w:t>
      </w:r>
      <w:r w:rsidRPr="0036768D">
        <w:rPr>
          <w:rFonts w:asciiTheme="minorHAnsi" w:hAnsiTheme="minorHAnsi" w:cstheme="minorHAnsi"/>
          <w:lang w:val="es-ES"/>
        </w:rPr>
        <w:t>.</w:t>
      </w:r>
    </w:p>
    <w:p w14:paraId="33F42C8B" w14:textId="798B2E35" w:rsidR="0080644C" w:rsidRPr="00EE0904" w:rsidRDefault="00EE0904" w:rsidP="00EB168B">
      <w:pPr>
        <w:jc w:val="both"/>
        <w:rPr>
          <w:rFonts w:cstheme="minorHAnsi"/>
        </w:rPr>
      </w:pPr>
      <w:r w:rsidRPr="00EE0904">
        <w:rPr>
          <w:lang w:val="es-ES"/>
        </w:rPr>
        <w:t>10</w:t>
      </w:r>
      <w:r w:rsidRPr="00EE0904">
        <w:rPr>
          <w:lang w:val="es-ES"/>
        </w:rPr>
        <w:tab/>
      </w:r>
      <w:proofErr w:type="gramStart"/>
      <w:r w:rsidRPr="00EE0904">
        <w:rPr>
          <w:lang w:val="es-ES"/>
        </w:rPr>
        <w:t>La</w:t>
      </w:r>
      <w:proofErr w:type="gramEnd"/>
      <w:r w:rsidRPr="00EE0904">
        <w:rPr>
          <w:lang w:val="es-ES"/>
        </w:rPr>
        <w:t xml:space="preserve"> Directora de la BDT y el Jefe de HRMD, estuvieron de acuerdo con todas las recomendaciones hechas, y se comprometieron a aplicarlas rápidamente. Además, cabe señalar que se está llevando a cabo una evaluación de la tecnología de la información con una completa renovación de las herramientas planificadas de la BDT, incluida la elaboración de cuadros de mando en tiempo real. Ya se están adoptando o completando algunas medidas para aplicar las recomendaciones.</w:t>
      </w:r>
    </w:p>
    <w:bookmarkEnd w:id="9"/>
    <w:p w14:paraId="395DB247" w14:textId="29AE022C" w:rsidR="0080644C" w:rsidRPr="00EE0904" w:rsidRDefault="0080644C" w:rsidP="00EB168B">
      <w:pPr>
        <w:pStyle w:val="Heading1"/>
        <w:jc w:val="both"/>
      </w:pPr>
      <w:r w:rsidRPr="00BA0A9F">
        <w:t>Investigaci</w:t>
      </w:r>
      <w:r w:rsidR="00EE0904" w:rsidRPr="00BA0A9F">
        <w:t>ones</w:t>
      </w:r>
      <w:r w:rsidRPr="00EE0904">
        <w:t xml:space="preserve"> de la Auditoría Interna</w:t>
      </w:r>
    </w:p>
    <w:p w14:paraId="268D3841" w14:textId="77777777" w:rsidR="00EE0904" w:rsidRPr="0036768D" w:rsidRDefault="00EE0904" w:rsidP="00EB168B">
      <w:pPr>
        <w:jc w:val="both"/>
        <w:rPr>
          <w:lang w:val="es-ES"/>
        </w:rPr>
      </w:pPr>
      <w:r w:rsidRPr="0036768D">
        <w:rPr>
          <w:lang w:val="es-ES"/>
        </w:rPr>
        <w:t>11</w:t>
      </w:r>
      <w:r w:rsidRPr="0036768D">
        <w:rPr>
          <w:lang w:val="es-ES"/>
        </w:rPr>
        <w:tab/>
      </w:r>
      <w:proofErr w:type="gramStart"/>
      <w:r>
        <w:rPr>
          <w:lang w:val="es-ES"/>
        </w:rPr>
        <w:t>En</w:t>
      </w:r>
      <w:proofErr w:type="gramEnd"/>
      <w:r>
        <w:rPr>
          <w:lang w:val="es-ES"/>
        </w:rPr>
        <w:t xml:space="preserve"> su capacidad como órgano investigador, la AI completó dos investigaciones y está en proceso de efectuar otras seis. La AI también prestó un amplio apoyo a investigadores externos en relación con dos investigaciones. </w:t>
      </w:r>
    </w:p>
    <w:p w14:paraId="12B3CEC9" w14:textId="328A18EC" w:rsidR="00EE0904" w:rsidRPr="0036768D" w:rsidRDefault="00EE0904" w:rsidP="00EB168B">
      <w:pPr>
        <w:jc w:val="both"/>
        <w:rPr>
          <w:rFonts w:cstheme="minorHAnsi"/>
          <w:lang w:val="es-ES"/>
        </w:rPr>
      </w:pPr>
      <w:r w:rsidRPr="0036768D">
        <w:rPr>
          <w:lang w:val="es-ES"/>
        </w:rPr>
        <w:t>12</w:t>
      </w:r>
      <w:r w:rsidRPr="0036768D">
        <w:rPr>
          <w:lang w:val="es-ES"/>
        </w:rPr>
        <w:tab/>
      </w:r>
      <w:proofErr w:type="gramStart"/>
      <w:r>
        <w:rPr>
          <w:lang w:val="es-ES"/>
        </w:rPr>
        <w:t>La</w:t>
      </w:r>
      <w:proofErr w:type="gramEnd"/>
      <w:r>
        <w:rPr>
          <w:lang w:val="es-ES"/>
        </w:rPr>
        <w:t xml:space="preserve"> AI completó dos investigaciones</w:t>
      </w:r>
      <w:r w:rsidRPr="0036768D">
        <w:rPr>
          <w:lang w:val="es-ES"/>
        </w:rPr>
        <w:t>:</w:t>
      </w:r>
    </w:p>
    <w:p w14:paraId="1710BF34" w14:textId="77777777" w:rsidR="00EE0904" w:rsidRPr="0036768D" w:rsidRDefault="00EE0904" w:rsidP="00EB168B">
      <w:pPr>
        <w:pStyle w:val="enumlev1"/>
        <w:jc w:val="both"/>
        <w:rPr>
          <w:rFonts w:cstheme="minorHAnsi"/>
          <w:lang w:val="es-ES"/>
        </w:rPr>
      </w:pPr>
      <w:r w:rsidRPr="0036768D">
        <w:rPr>
          <w:lang w:val="es-ES"/>
        </w:rPr>
        <w:t>a)</w:t>
      </w:r>
      <w:r w:rsidRPr="0036768D">
        <w:rPr>
          <w:lang w:val="es-ES"/>
        </w:rPr>
        <w:tab/>
      </w:r>
      <w:r w:rsidRPr="00504A60">
        <w:rPr>
          <w:lang w:val="es-ES"/>
        </w:rPr>
        <w:t xml:space="preserve">Una investigación formal de una denuncia relacionada con: i) el presunto comportamiento </w:t>
      </w:r>
      <w:r w:rsidRPr="00BA0A9F">
        <w:t>inapropiado</w:t>
      </w:r>
      <w:r w:rsidRPr="00504A60">
        <w:rPr>
          <w:lang w:val="es-ES"/>
        </w:rPr>
        <w:t xml:space="preserve"> hacia el denunciante por parte de dos antiguos supervisores, ii) la presunta violación de la política antifraude por parte de dos antiguos supervisores, y iii) las presuntas represalias contra </w:t>
      </w:r>
      <w:r>
        <w:rPr>
          <w:lang w:val="es-ES"/>
        </w:rPr>
        <w:t xml:space="preserve">el </w:t>
      </w:r>
      <w:r w:rsidRPr="00504A60">
        <w:rPr>
          <w:lang w:val="es-ES"/>
        </w:rPr>
        <w:t xml:space="preserve">denunciante por denunciar la mala conducta </w:t>
      </w:r>
      <w:r>
        <w:rPr>
          <w:lang w:val="es-ES"/>
        </w:rPr>
        <w:t xml:space="preserve">de </w:t>
      </w:r>
      <w:r w:rsidRPr="00504A60">
        <w:rPr>
          <w:lang w:val="es-ES"/>
        </w:rPr>
        <w:t>uno de los supervisores. La UIT encargó a un investigador externo, con el apoyo del personal de la AI, que investigara la presunta conducta inapropiada hacia el denunciante por parte de dos antiguos supervisores (la investigación completa se completó en octubre de 2019 y el resultado se comunicó al Secretario General de la UIT); y</w:t>
      </w:r>
    </w:p>
    <w:p w14:paraId="7883DA9F" w14:textId="55801441" w:rsidR="00EE0904" w:rsidRPr="0036768D" w:rsidRDefault="00EE0904" w:rsidP="00EB168B">
      <w:pPr>
        <w:pStyle w:val="enumlev1"/>
        <w:jc w:val="both"/>
        <w:rPr>
          <w:rFonts w:cstheme="minorHAnsi"/>
          <w:lang w:val="es-ES"/>
        </w:rPr>
      </w:pPr>
      <w:r w:rsidRPr="0036768D">
        <w:rPr>
          <w:lang w:val="es-ES"/>
        </w:rPr>
        <w:t>b)</w:t>
      </w:r>
      <w:r w:rsidRPr="0036768D">
        <w:rPr>
          <w:lang w:val="es-ES"/>
        </w:rPr>
        <w:tab/>
      </w:r>
      <w:r>
        <w:rPr>
          <w:lang w:val="es-ES"/>
        </w:rPr>
        <w:t>una i</w:t>
      </w:r>
      <w:r w:rsidRPr="00504A60">
        <w:rPr>
          <w:lang w:val="es-ES"/>
        </w:rPr>
        <w:t xml:space="preserve">nvestigación oficial de una denuncia relacionada con el presunto acceso continuo </w:t>
      </w:r>
      <w:r w:rsidR="00B870B4" w:rsidRPr="00B870B4">
        <w:rPr>
          <w:lang w:val="es-ES"/>
        </w:rPr>
        <w:t>–</w:t>
      </w:r>
      <w:r w:rsidRPr="00504A60">
        <w:rPr>
          <w:lang w:val="es-ES"/>
        </w:rPr>
        <w:t>por parte de un funcionario</w:t>
      </w:r>
      <w:r w:rsidR="00B870B4" w:rsidRPr="00B870B4">
        <w:rPr>
          <w:lang w:val="es-ES"/>
        </w:rPr>
        <w:t>–</w:t>
      </w:r>
      <w:r w:rsidRPr="00504A60">
        <w:rPr>
          <w:lang w:val="es-ES"/>
        </w:rPr>
        <w:t xml:space="preserve"> a información potencialmente confidencial y sensible fuera del mandato del puesto de ese funcionario (la investigación concluyó en diciembre de 2019 y el resultado se comunicó al Secretario General de la UIT).</w:t>
      </w:r>
    </w:p>
    <w:p w14:paraId="7566F075" w14:textId="77777777" w:rsidR="00EE0904" w:rsidRDefault="00EE0904" w:rsidP="00EB168B">
      <w:pPr>
        <w:jc w:val="both"/>
        <w:rPr>
          <w:lang w:val="es-ES"/>
        </w:rPr>
      </w:pPr>
      <w:r w:rsidRPr="0036768D">
        <w:rPr>
          <w:lang w:val="es-ES"/>
        </w:rPr>
        <w:t>13</w:t>
      </w:r>
      <w:r w:rsidRPr="0036768D">
        <w:rPr>
          <w:lang w:val="es-ES"/>
        </w:rPr>
        <w:tab/>
      </w:r>
      <w:r w:rsidRPr="00504A60">
        <w:rPr>
          <w:lang w:val="es-ES"/>
        </w:rPr>
        <w:t xml:space="preserve">Hay seis investigaciones en curso de la </w:t>
      </w:r>
      <w:r>
        <w:rPr>
          <w:lang w:val="es-ES"/>
        </w:rPr>
        <w:t>AI</w:t>
      </w:r>
      <w:r w:rsidRPr="00504A60">
        <w:rPr>
          <w:lang w:val="es-ES"/>
        </w:rPr>
        <w:t xml:space="preserve">: tres de ellas se refieren a denuncias relacionadas con presuntas actividades externas no autorizadas de tres funcionarios distintos, una </w:t>
      </w:r>
      <w:r>
        <w:rPr>
          <w:lang w:val="es-ES"/>
        </w:rPr>
        <w:t xml:space="preserve">corresponde </w:t>
      </w:r>
      <w:r w:rsidRPr="00504A60">
        <w:rPr>
          <w:lang w:val="es-ES"/>
        </w:rPr>
        <w:t xml:space="preserve">a una denuncia relacionada con la presunta obtención fraudulenta de subsidios y/o derechos por parte de un funcionario, otra a una denuncia relacionada </w:t>
      </w:r>
      <w:r>
        <w:rPr>
          <w:lang w:val="es-ES"/>
        </w:rPr>
        <w:t xml:space="preserve">por fomentar, presenciar y/o intercambiar presuntamente </w:t>
      </w:r>
      <w:r w:rsidRPr="00504A60">
        <w:rPr>
          <w:lang w:val="es-ES"/>
        </w:rPr>
        <w:t>información potencialmente confidencial/sensible</w:t>
      </w:r>
      <w:r>
        <w:rPr>
          <w:lang w:val="es-ES"/>
        </w:rPr>
        <w:t xml:space="preserve"> </w:t>
      </w:r>
      <w:r w:rsidRPr="00504A60">
        <w:rPr>
          <w:lang w:val="es-ES"/>
        </w:rPr>
        <w:t xml:space="preserve">por parte de varios funcionarios, y una </w:t>
      </w:r>
      <w:r>
        <w:rPr>
          <w:lang w:val="es-ES"/>
        </w:rPr>
        <w:t>a raíz de una reclamación</w:t>
      </w:r>
      <w:r w:rsidRPr="00504A60">
        <w:rPr>
          <w:lang w:val="es-ES"/>
        </w:rPr>
        <w:t xml:space="preserve"> relacionada con la presunta destrucción y/</w:t>
      </w:r>
      <w:proofErr w:type="spellStart"/>
      <w:r w:rsidRPr="00504A60">
        <w:rPr>
          <w:lang w:val="es-ES"/>
        </w:rPr>
        <w:t>o</w:t>
      </w:r>
      <w:proofErr w:type="spellEnd"/>
      <w:r w:rsidRPr="00504A60">
        <w:rPr>
          <w:lang w:val="es-ES"/>
        </w:rPr>
        <w:t xml:space="preserve"> ocultación de registros de la UIT por parte de un funcionario</w:t>
      </w:r>
      <w:r>
        <w:rPr>
          <w:lang w:val="es-ES"/>
        </w:rPr>
        <w:t>.</w:t>
      </w:r>
    </w:p>
    <w:p w14:paraId="0923AB86" w14:textId="77777777" w:rsidR="00EE0904" w:rsidRPr="0036768D" w:rsidRDefault="00EE0904" w:rsidP="00EB168B">
      <w:pPr>
        <w:keepNext/>
        <w:jc w:val="both"/>
        <w:rPr>
          <w:rFonts w:cstheme="minorHAnsi"/>
          <w:lang w:val="es-ES"/>
        </w:rPr>
      </w:pPr>
      <w:r w:rsidRPr="0036768D">
        <w:rPr>
          <w:lang w:val="es-ES"/>
        </w:rPr>
        <w:t>14</w:t>
      </w:r>
      <w:r w:rsidRPr="0036768D">
        <w:rPr>
          <w:lang w:val="es-ES"/>
        </w:rPr>
        <w:tab/>
      </w:r>
      <w:proofErr w:type="gramStart"/>
      <w:r>
        <w:rPr>
          <w:lang w:val="es-ES"/>
        </w:rPr>
        <w:t>Se</w:t>
      </w:r>
      <w:proofErr w:type="gramEnd"/>
      <w:r>
        <w:rPr>
          <w:lang w:val="es-ES"/>
        </w:rPr>
        <w:t xml:space="preserve"> prestó amplio apoyo a un investigador externo contratado para llevar a cabo: </w:t>
      </w:r>
    </w:p>
    <w:p w14:paraId="3877E043" w14:textId="301039EE" w:rsidR="00EE0904" w:rsidRPr="0036768D" w:rsidRDefault="00EE0904" w:rsidP="00EB168B">
      <w:pPr>
        <w:pStyle w:val="enumlev1"/>
        <w:jc w:val="both"/>
        <w:rPr>
          <w:rFonts w:cstheme="minorHAnsi"/>
          <w:lang w:val="es-ES"/>
        </w:rPr>
      </w:pPr>
      <w:r w:rsidRPr="0036768D">
        <w:rPr>
          <w:lang w:val="es-ES"/>
        </w:rPr>
        <w:t>a)</w:t>
      </w:r>
      <w:r w:rsidRPr="0036768D">
        <w:rPr>
          <w:lang w:val="es-ES"/>
        </w:rPr>
        <w:tab/>
      </w:r>
      <w:r w:rsidRPr="00406BE1">
        <w:rPr>
          <w:lang w:val="es-ES"/>
        </w:rPr>
        <w:t xml:space="preserve">Un proceso de investigación </w:t>
      </w:r>
      <w:r>
        <w:rPr>
          <w:lang w:val="es-ES"/>
        </w:rPr>
        <w:t>adicional con</w:t>
      </w:r>
      <w:r w:rsidRPr="00406BE1">
        <w:rPr>
          <w:lang w:val="es-ES"/>
        </w:rPr>
        <w:t xml:space="preserve"> objeto </w:t>
      </w:r>
      <w:r>
        <w:rPr>
          <w:lang w:val="es-ES"/>
        </w:rPr>
        <w:t>de determinar</w:t>
      </w:r>
      <w:r w:rsidRPr="00406BE1">
        <w:rPr>
          <w:lang w:val="es-ES"/>
        </w:rPr>
        <w:t xml:space="preserve"> si había alguna deficiencia </w:t>
      </w:r>
      <w:r w:rsidRPr="00BA0A9F">
        <w:t>sistémica</w:t>
      </w:r>
      <w:r w:rsidRPr="00406BE1">
        <w:rPr>
          <w:lang w:val="es-ES"/>
        </w:rPr>
        <w:t xml:space="preserve"> o individual y/o algún descuido de las responsabilidades de gestión en la supervisión </w:t>
      </w:r>
      <w:r w:rsidRPr="00406BE1">
        <w:rPr>
          <w:lang w:val="es-ES"/>
        </w:rPr>
        <w:lastRenderedPageBreak/>
        <w:t xml:space="preserve">y vigilancia de las actividades de la oficina regional en la que se descubrió el principal fraude en 2018 (completado en enero de 2020); </w:t>
      </w:r>
      <w:r>
        <w:rPr>
          <w:lang w:val="es-ES"/>
        </w:rPr>
        <w:t>y a otro investigador contratado para efectuar</w:t>
      </w:r>
      <w:r w:rsidRPr="0036768D">
        <w:rPr>
          <w:lang w:val="es-ES"/>
        </w:rPr>
        <w:t>:</w:t>
      </w:r>
    </w:p>
    <w:p w14:paraId="69E34719" w14:textId="77777777" w:rsidR="00EE0904" w:rsidRPr="0036768D" w:rsidRDefault="00EE0904" w:rsidP="00EB168B">
      <w:pPr>
        <w:pStyle w:val="enumlev1"/>
        <w:jc w:val="both"/>
        <w:rPr>
          <w:rFonts w:cstheme="minorHAnsi"/>
          <w:szCs w:val="24"/>
          <w:lang w:val="es-ES"/>
        </w:rPr>
      </w:pPr>
      <w:r w:rsidRPr="0036768D">
        <w:rPr>
          <w:rFonts w:cs="Calibri"/>
          <w:szCs w:val="24"/>
          <w:lang w:val="es-ES"/>
        </w:rPr>
        <w:t>b)</w:t>
      </w:r>
      <w:r w:rsidRPr="0036768D">
        <w:rPr>
          <w:rFonts w:cs="Calibri"/>
          <w:szCs w:val="24"/>
          <w:lang w:val="es-ES"/>
        </w:rPr>
        <w:tab/>
      </w:r>
      <w:r w:rsidRPr="00BA0A9F">
        <w:t>una</w:t>
      </w:r>
      <w:r>
        <w:rPr>
          <w:rFonts w:cs="Calibri"/>
          <w:szCs w:val="24"/>
          <w:lang w:val="es-ES"/>
        </w:rPr>
        <w:t xml:space="preserve"> investigación oficial en un caso de supuesto comportamiento inapropiado por parte de un funcionario de la UIT respecto de otros funcionarios (investigación aún en curso). </w:t>
      </w:r>
    </w:p>
    <w:p w14:paraId="769F983E" w14:textId="77777777" w:rsidR="0080644C" w:rsidRPr="004E0FC9" w:rsidRDefault="0080644C" w:rsidP="00EB168B">
      <w:pPr>
        <w:pStyle w:val="Heading1"/>
        <w:jc w:val="both"/>
      </w:pPr>
      <w:r w:rsidRPr="004E0FC9">
        <w:t xml:space="preserve">Servicios de consultoría </w:t>
      </w:r>
      <w:r w:rsidRPr="007D0809">
        <w:t>de la Auditoría Interna</w:t>
      </w:r>
    </w:p>
    <w:p w14:paraId="63A067F9" w14:textId="458E4FFD" w:rsidR="0080644C" w:rsidRPr="00BA0A9F" w:rsidRDefault="002829BA" w:rsidP="00EB168B">
      <w:pPr>
        <w:pStyle w:val="Headingb"/>
        <w:jc w:val="both"/>
        <w:rPr>
          <w:bCs/>
          <w:i/>
          <w:iCs/>
        </w:rPr>
      </w:pPr>
      <w:r>
        <w:rPr>
          <w:bCs/>
          <w:i/>
          <w:iCs/>
        </w:rPr>
        <w:tab/>
      </w:r>
      <w:r w:rsidR="0080644C" w:rsidRPr="00BA0A9F">
        <w:rPr>
          <w:bCs/>
          <w:i/>
          <w:iCs/>
        </w:rPr>
        <w:t>Proceso de selección del Auditor Externo de la UIT</w:t>
      </w:r>
    </w:p>
    <w:p w14:paraId="71F897AF" w14:textId="10FFAD12" w:rsidR="0080644C" w:rsidRPr="00ED223E" w:rsidRDefault="00093F20" w:rsidP="00EB168B">
      <w:pPr>
        <w:jc w:val="both"/>
      </w:pPr>
      <w:r>
        <w:t>15</w:t>
      </w:r>
      <w:r>
        <w:tab/>
      </w:r>
      <w:proofErr w:type="gramStart"/>
      <w:r w:rsidR="0080644C" w:rsidRPr="00ED223E">
        <w:t>A</w:t>
      </w:r>
      <w:proofErr w:type="gramEnd"/>
      <w:r w:rsidR="0080644C" w:rsidRPr="00ED223E">
        <w:t xml:space="preserve"> raíz de la recomendación del CAIG, el Secretario General pidió a la AI que dirigiera para la Secretaría el proceso de selección de un nuevo Auditor Externo. En su reunión de 2018, el Consejo designó las personas recomendadas por las seis organizaciones regionales de telecomunicaciones para formar parte de un Comité de Evaluación e informar al Consejo, en su reunión de 2019, de</w:t>
      </w:r>
      <w:r w:rsidR="0080644C">
        <w:t xml:space="preserve"> los resultados de su labor.</w:t>
      </w:r>
      <w:r w:rsidR="0080644C">
        <w:tab/>
      </w:r>
      <w:r w:rsidR="0080644C" w:rsidRPr="00ED223E">
        <w:t>Con el apoyo de la Secretaría de la UIT, el Comité de Evaluación inició su labor en relación con el proceso de licitación destinado a identificar una Institución de Auditoría Suprema (IAS) de un Estado Miembro de la UIT que cumpliese los requisitos estipulados en una petición de propuesta</w:t>
      </w:r>
      <w:r w:rsidR="009A5083">
        <w:t> </w:t>
      </w:r>
      <w:r w:rsidR="0080644C" w:rsidRPr="00ED223E">
        <w:t>(R</w:t>
      </w:r>
      <w:r w:rsidR="002829BA" w:rsidRPr="00ED223E">
        <w:t>F</w:t>
      </w:r>
      <w:r w:rsidR="0080644C" w:rsidRPr="00ED223E">
        <w:t>P) para realizar la auditoría de las cuentas de la Unión.</w:t>
      </w:r>
    </w:p>
    <w:p w14:paraId="68E014A0" w14:textId="1DAF3ED0" w:rsidR="0080644C" w:rsidRDefault="0080644C" w:rsidP="00EB168B">
      <w:pPr>
        <w:jc w:val="both"/>
      </w:pPr>
      <w:r>
        <w:t>1</w:t>
      </w:r>
      <w:r w:rsidR="00EF0E65">
        <w:t>6</w:t>
      </w:r>
      <w:r>
        <w:tab/>
      </w:r>
      <w:proofErr w:type="gramStart"/>
      <w:r w:rsidRPr="00ED223E">
        <w:t>La</w:t>
      </w:r>
      <w:proofErr w:type="gramEnd"/>
      <w:r w:rsidRPr="00ED223E">
        <w:t xml:space="preserve"> AI siguió brindando apoyo a lo largo de todo el proceso a los miembros del Comité de Evaluación en el desempeño de su trabajo, y proporcionó orientación sobre cuestiones técnicas de procedimiento y auditoría, según correspondiera. Se presentará al Consejo un informe independiente sobre la labor del Comité de Evaluación para que lo someta a examen.</w:t>
      </w:r>
    </w:p>
    <w:p w14:paraId="1AD465E2" w14:textId="769FEF5C" w:rsidR="00EE0904" w:rsidRPr="00F03A11" w:rsidRDefault="002829BA" w:rsidP="00EB168B">
      <w:pPr>
        <w:jc w:val="both"/>
        <w:rPr>
          <w:b/>
          <w:bCs/>
          <w:i/>
          <w:iCs/>
        </w:rPr>
      </w:pPr>
      <w:r>
        <w:rPr>
          <w:b/>
          <w:bCs/>
          <w:i/>
          <w:iCs/>
        </w:rPr>
        <w:tab/>
      </w:r>
      <w:r w:rsidR="00EE0904" w:rsidRPr="00F03A11">
        <w:rPr>
          <w:b/>
          <w:bCs/>
          <w:i/>
          <w:iCs/>
        </w:rPr>
        <w:t>Proceso de selección para la auditoría forense (Acuerdo 613 del Consejo)</w:t>
      </w:r>
    </w:p>
    <w:p w14:paraId="6155524F" w14:textId="709549DC" w:rsidR="00EE0904" w:rsidRPr="0036768D" w:rsidRDefault="00EE0904" w:rsidP="00EB168B">
      <w:pPr>
        <w:jc w:val="both"/>
        <w:rPr>
          <w:lang w:val="es-ES"/>
        </w:rPr>
      </w:pPr>
      <w:r w:rsidRPr="0036768D">
        <w:rPr>
          <w:lang w:val="es-ES"/>
        </w:rPr>
        <w:t>1</w:t>
      </w:r>
      <w:r w:rsidR="00EF0E65">
        <w:rPr>
          <w:lang w:val="es-ES"/>
        </w:rPr>
        <w:t>7</w:t>
      </w:r>
      <w:r w:rsidRPr="0036768D">
        <w:rPr>
          <w:lang w:val="es-ES"/>
        </w:rPr>
        <w:tab/>
      </w:r>
      <w:proofErr w:type="gramStart"/>
      <w:r w:rsidRPr="00406BE1">
        <w:rPr>
          <w:lang w:val="es-ES"/>
        </w:rPr>
        <w:t>El</w:t>
      </w:r>
      <w:proofErr w:type="gramEnd"/>
      <w:r w:rsidRPr="00406BE1">
        <w:rPr>
          <w:lang w:val="es-ES"/>
        </w:rPr>
        <w:t xml:space="preserve"> Consejo de 2019 adoptó </w:t>
      </w:r>
      <w:r>
        <w:rPr>
          <w:lang w:val="es-ES"/>
        </w:rPr>
        <w:t>el Acuerdo</w:t>
      </w:r>
      <w:r w:rsidRPr="00406BE1">
        <w:rPr>
          <w:lang w:val="es-ES"/>
        </w:rPr>
        <w:t xml:space="preserve"> 613, en </w:t>
      </w:r>
      <w:r>
        <w:rPr>
          <w:lang w:val="es-ES"/>
        </w:rPr>
        <w:t>el</w:t>
      </w:r>
      <w:r w:rsidRPr="00406BE1">
        <w:rPr>
          <w:lang w:val="es-ES"/>
        </w:rPr>
        <w:t xml:space="preserve"> que se encarga al Secretario General la realización de una auditoría forense. La Oficina de Auditoría Interna elaboró </w:t>
      </w:r>
      <w:proofErr w:type="gramStart"/>
      <w:r w:rsidRPr="00406BE1">
        <w:rPr>
          <w:lang w:val="es-ES"/>
        </w:rPr>
        <w:t>conjuntamente con</w:t>
      </w:r>
      <w:proofErr w:type="gramEnd"/>
      <w:r w:rsidRPr="00406BE1">
        <w:rPr>
          <w:lang w:val="es-ES"/>
        </w:rPr>
        <w:t xml:space="preserve"> la División de </w:t>
      </w:r>
      <w:r>
        <w:rPr>
          <w:lang w:val="es-ES"/>
        </w:rPr>
        <w:t>Compras</w:t>
      </w:r>
      <w:r w:rsidRPr="00406BE1">
        <w:rPr>
          <w:lang w:val="es-ES"/>
        </w:rPr>
        <w:t xml:space="preserve"> un documento de "Expresión de interés" (EOI), y también finalizó con la ayuda de un consultor la "</w:t>
      </w:r>
      <w:r>
        <w:rPr>
          <w:lang w:val="es-ES"/>
        </w:rPr>
        <w:t>Petición</w:t>
      </w:r>
      <w:r w:rsidRPr="00406BE1">
        <w:rPr>
          <w:lang w:val="es-ES"/>
        </w:rPr>
        <w:t xml:space="preserve"> de propuestas" (RFP). La RFP se cerró el 15 de abril de 2020 y el proceso de selección de la empresa que realizará la auditoría forense está en marcha. </w:t>
      </w:r>
    </w:p>
    <w:p w14:paraId="07D703DA" w14:textId="77777777" w:rsidR="00EE0904" w:rsidRPr="00BA0A9F" w:rsidRDefault="00EE0904" w:rsidP="00EB168B">
      <w:pPr>
        <w:pStyle w:val="Heading1"/>
        <w:jc w:val="both"/>
      </w:pPr>
      <w:r w:rsidRPr="00BA0A9F">
        <w:t>Seguimiento de las recomendaciones de la Auditoría Interna</w:t>
      </w:r>
    </w:p>
    <w:p w14:paraId="020BF7A2" w14:textId="238AE5A1" w:rsidR="0080644C" w:rsidRPr="00EE0904" w:rsidRDefault="00EE0904" w:rsidP="00EB168B">
      <w:pPr>
        <w:jc w:val="both"/>
        <w:rPr>
          <w:lang w:val="es-ES"/>
        </w:rPr>
      </w:pPr>
      <w:r w:rsidRPr="0036768D">
        <w:rPr>
          <w:lang w:val="es-ES"/>
        </w:rPr>
        <w:t>18</w:t>
      </w:r>
      <w:r w:rsidRPr="0036768D">
        <w:rPr>
          <w:lang w:val="es-ES"/>
        </w:rPr>
        <w:tab/>
      </w:r>
      <w:proofErr w:type="gramStart"/>
      <w:r w:rsidRPr="0036768D">
        <w:rPr>
          <w:lang w:val="es-ES"/>
        </w:rPr>
        <w:t>A</w:t>
      </w:r>
      <w:proofErr w:type="gramEnd"/>
      <w:r w:rsidRPr="0036768D">
        <w:rPr>
          <w:lang w:val="es-ES"/>
        </w:rPr>
        <w:t xml:space="preserve"> lo largo del periodo </w:t>
      </w:r>
      <w:r>
        <w:rPr>
          <w:lang w:val="es-ES"/>
        </w:rPr>
        <w:t xml:space="preserve">abarcado por </w:t>
      </w:r>
      <w:r w:rsidRPr="0036768D">
        <w:rPr>
          <w:lang w:val="es-ES"/>
        </w:rPr>
        <w:t xml:space="preserve">el informe, la </w:t>
      </w:r>
      <w:r>
        <w:rPr>
          <w:lang w:val="es-ES"/>
        </w:rPr>
        <w:t>AI</w:t>
      </w:r>
      <w:r w:rsidRPr="0036768D">
        <w:rPr>
          <w:lang w:val="es-ES"/>
        </w:rPr>
        <w:t xml:space="preserve"> siguió las recomendaciones realizadas por auditorías previas. Se observó un progreso en los últimos 12 meses y las estadísticas sobre la implementación </w:t>
      </w:r>
      <w:r w:rsidRPr="00442A44">
        <w:rPr>
          <w:lang w:val="es-ES"/>
        </w:rPr>
        <w:t xml:space="preserve">(al 15 de </w:t>
      </w:r>
      <w:r>
        <w:rPr>
          <w:lang w:val="es-ES"/>
        </w:rPr>
        <w:t>octubre</w:t>
      </w:r>
      <w:r w:rsidRPr="00442A44">
        <w:rPr>
          <w:lang w:val="es-ES"/>
        </w:rPr>
        <w:t xml:space="preserve"> de 2019)</w:t>
      </w:r>
      <w:r>
        <w:rPr>
          <w:lang w:val="es-ES"/>
        </w:rPr>
        <w:t xml:space="preserve"> </w:t>
      </w:r>
      <w:r w:rsidRPr="0036768D">
        <w:rPr>
          <w:lang w:val="es-ES"/>
        </w:rPr>
        <w:t>son las siguientes:</w:t>
      </w:r>
    </w:p>
    <w:tbl>
      <w:tblPr>
        <w:tblW w:w="9920" w:type="dxa"/>
        <w:tblLook w:val="04A0" w:firstRow="1" w:lastRow="0" w:firstColumn="1" w:lastColumn="0" w:noHBand="0" w:noVBand="1"/>
      </w:tblPr>
      <w:tblGrid>
        <w:gridCol w:w="2417"/>
        <w:gridCol w:w="862"/>
        <w:gridCol w:w="739"/>
        <w:gridCol w:w="739"/>
        <w:gridCol w:w="739"/>
        <w:gridCol w:w="739"/>
        <w:gridCol w:w="739"/>
        <w:gridCol w:w="739"/>
        <w:gridCol w:w="622"/>
        <w:gridCol w:w="846"/>
        <w:gridCol w:w="739"/>
      </w:tblGrid>
      <w:tr w:rsidR="0080644C" w:rsidRPr="00274EFD" w14:paraId="56AFE0A2" w14:textId="77777777" w:rsidTr="00274EFD">
        <w:trPr>
          <w:trHeight w:val="244"/>
        </w:trPr>
        <w:tc>
          <w:tcPr>
            <w:tcW w:w="2417" w:type="dxa"/>
            <w:tcBorders>
              <w:top w:val="single" w:sz="8" w:space="0" w:color="auto"/>
              <w:left w:val="single" w:sz="8" w:space="0" w:color="auto"/>
              <w:bottom w:val="nil"/>
              <w:right w:val="nil"/>
            </w:tcBorders>
            <w:shd w:val="clear" w:color="000000" w:fill="000000"/>
            <w:noWrap/>
            <w:vAlign w:val="bottom"/>
            <w:hideMark/>
          </w:tcPr>
          <w:p w14:paraId="2027A6CB" w14:textId="77777777" w:rsidR="0080644C" w:rsidRPr="00274EFD" w:rsidRDefault="00274EFD" w:rsidP="00093F20">
            <w:pPr>
              <w:keepNext/>
              <w:keepLines/>
              <w:rPr>
                <w:rFonts w:asciiTheme="minorHAnsi" w:hAnsiTheme="minorHAnsi" w:cs="Arial"/>
                <w:b/>
                <w:bCs/>
                <w:color w:val="FFFFFF"/>
                <w:sz w:val="20"/>
              </w:rPr>
            </w:pPr>
            <w:r>
              <w:rPr>
                <w:rFonts w:asciiTheme="minorHAnsi" w:hAnsiTheme="minorHAnsi" w:cs="Arial"/>
                <w:b/>
                <w:bCs/>
                <w:color w:val="FFFFFF"/>
                <w:sz w:val="20"/>
              </w:rPr>
              <w:lastRenderedPageBreak/>
              <w:t>Año</w:t>
            </w:r>
          </w:p>
        </w:tc>
        <w:tc>
          <w:tcPr>
            <w:tcW w:w="862" w:type="dxa"/>
            <w:tcBorders>
              <w:top w:val="single" w:sz="8" w:space="0" w:color="auto"/>
              <w:left w:val="nil"/>
              <w:bottom w:val="nil"/>
              <w:right w:val="nil"/>
            </w:tcBorders>
            <w:shd w:val="clear" w:color="000000" w:fill="000000"/>
            <w:noWrap/>
            <w:vAlign w:val="bottom"/>
            <w:hideMark/>
          </w:tcPr>
          <w:p w14:paraId="2C368248" w14:textId="77777777" w:rsidR="0080644C" w:rsidRPr="00274EFD" w:rsidRDefault="0080644C" w:rsidP="00093F20">
            <w:pPr>
              <w:keepNext/>
              <w:keepLines/>
              <w:jc w:val="center"/>
              <w:rPr>
                <w:rFonts w:asciiTheme="minorHAnsi" w:hAnsiTheme="minorHAnsi" w:cs="Arial"/>
                <w:b/>
                <w:bCs/>
                <w:color w:val="FFFFFF"/>
                <w:sz w:val="20"/>
              </w:rPr>
            </w:pPr>
            <w:r w:rsidRPr="00274EFD">
              <w:rPr>
                <w:rFonts w:asciiTheme="minorHAnsi" w:hAnsiTheme="minorHAnsi" w:cs="Arial"/>
                <w:b/>
                <w:bCs/>
                <w:color w:val="FFFFFF"/>
                <w:sz w:val="20"/>
              </w:rPr>
              <w:t>2011</w:t>
            </w:r>
          </w:p>
        </w:tc>
        <w:tc>
          <w:tcPr>
            <w:tcW w:w="739" w:type="dxa"/>
            <w:tcBorders>
              <w:top w:val="single" w:sz="8" w:space="0" w:color="auto"/>
              <w:left w:val="nil"/>
              <w:bottom w:val="nil"/>
              <w:right w:val="nil"/>
            </w:tcBorders>
            <w:shd w:val="clear" w:color="000000" w:fill="000000"/>
            <w:noWrap/>
            <w:vAlign w:val="bottom"/>
            <w:hideMark/>
          </w:tcPr>
          <w:p w14:paraId="4230C80B" w14:textId="77777777" w:rsidR="0080644C" w:rsidRPr="00274EFD" w:rsidRDefault="0080644C" w:rsidP="00093F20">
            <w:pPr>
              <w:keepNext/>
              <w:keepLines/>
              <w:jc w:val="center"/>
              <w:rPr>
                <w:rFonts w:asciiTheme="minorHAnsi" w:hAnsiTheme="minorHAnsi" w:cs="Arial"/>
                <w:b/>
                <w:bCs/>
                <w:color w:val="FFFFFF"/>
                <w:sz w:val="20"/>
              </w:rPr>
            </w:pPr>
            <w:r w:rsidRPr="00274EFD">
              <w:rPr>
                <w:rFonts w:asciiTheme="minorHAnsi" w:hAnsiTheme="minorHAnsi" w:cs="Arial"/>
                <w:b/>
                <w:bCs/>
                <w:color w:val="FFFFFF"/>
                <w:sz w:val="20"/>
              </w:rPr>
              <w:t>2012</w:t>
            </w:r>
          </w:p>
        </w:tc>
        <w:tc>
          <w:tcPr>
            <w:tcW w:w="739" w:type="dxa"/>
            <w:tcBorders>
              <w:top w:val="single" w:sz="8" w:space="0" w:color="auto"/>
              <w:left w:val="nil"/>
              <w:bottom w:val="nil"/>
              <w:right w:val="nil"/>
            </w:tcBorders>
            <w:shd w:val="clear" w:color="000000" w:fill="000000"/>
            <w:noWrap/>
            <w:vAlign w:val="bottom"/>
            <w:hideMark/>
          </w:tcPr>
          <w:p w14:paraId="64771733" w14:textId="77777777" w:rsidR="0080644C" w:rsidRPr="00274EFD" w:rsidRDefault="0080644C" w:rsidP="00093F20">
            <w:pPr>
              <w:keepNext/>
              <w:keepLines/>
              <w:jc w:val="center"/>
              <w:rPr>
                <w:rFonts w:asciiTheme="minorHAnsi" w:hAnsiTheme="minorHAnsi" w:cs="Arial"/>
                <w:b/>
                <w:bCs/>
                <w:color w:val="FFFFFF"/>
                <w:sz w:val="20"/>
              </w:rPr>
            </w:pPr>
            <w:r w:rsidRPr="00274EFD">
              <w:rPr>
                <w:rFonts w:asciiTheme="minorHAnsi" w:hAnsiTheme="minorHAnsi" w:cs="Arial"/>
                <w:b/>
                <w:bCs/>
                <w:color w:val="FFFFFF"/>
                <w:sz w:val="20"/>
              </w:rPr>
              <w:t>2013</w:t>
            </w:r>
          </w:p>
        </w:tc>
        <w:tc>
          <w:tcPr>
            <w:tcW w:w="739" w:type="dxa"/>
            <w:tcBorders>
              <w:top w:val="single" w:sz="8" w:space="0" w:color="auto"/>
              <w:left w:val="nil"/>
              <w:bottom w:val="nil"/>
              <w:right w:val="nil"/>
            </w:tcBorders>
            <w:shd w:val="clear" w:color="000000" w:fill="000000"/>
            <w:noWrap/>
            <w:vAlign w:val="bottom"/>
            <w:hideMark/>
          </w:tcPr>
          <w:p w14:paraId="47C1EB20" w14:textId="77777777" w:rsidR="0080644C" w:rsidRPr="00274EFD" w:rsidRDefault="0080644C" w:rsidP="00093F20">
            <w:pPr>
              <w:keepNext/>
              <w:keepLines/>
              <w:jc w:val="center"/>
              <w:rPr>
                <w:rFonts w:asciiTheme="minorHAnsi" w:hAnsiTheme="minorHAnsi" w:cs="Arial"/>
                <w:b/>
                <w:bCs/>
                <w:color w:val="FFFFFF"/>
                <w:sz w:val="20"/>
              </w:rPr>
            </w:pPr>
            <w:r w:rsidRPr="00274EFD">
              <w:rPr>
                <w:rFonts w:asciiTheme="minorHAnsi" w:hAnsiTheme="minorHAnsi" w:cs="Arial"/>
                <w:b/>
                <w:bCs/>
                <w:color w:val="FFFFFF"/>
                <w:sz w:val="20"/>
              </w:rPr>
              <w:t>2014</w:t>
            </w:r>
          </w:p>
        </w:tc>
        <w:tc>
          <w:tcPr>
            <w:tcW w:w="739" w:type="dxa"/>
            <w:tcBorders>
              <w:top w:val="single" w:sz="8" w:space="0" w:color="auto"/>
              <w:left w:val="nil"/>
              <w:bottom w:val="nil"/>
              <w:right w:val="nil"/>
            </w:tcBorders>
            <w:shd w:val="clear" w:color="000000" w:fill="000000"/>
            <w:noWrap/>
            <w:vAlign w:val="bottom"/>
            <w:hideMark/>
          </w:tcPr>
          <w:p w14:paraId="7565FE2B" w14:textId="77777777" w:rsidR="0080644C" w:rsidRPr="00274EFD" w:rsidRDefault="0080644C" w:rsidP="00093F20">
            <w:pPr>
              <w:keepNext/>
              <w:keepLines/>
              <w:jc w:val="center"/>
              <w:rPr>
                <w:rFonts w:asciiTheme="minorHAnsi" w:hAnsiTheme="minorHAnsi" w:cs="Arial"/>
                <w:b/>
                <w:bCs/>
                <w:color w:val="FFFFFF"/>
                <w:sz w:val="20"/>
              </w:rPr>
            </w:pPr>
            <w:r w:rsidRPr="00274EFD">
              <w:rPr>
                <w:rFonts w:asciiTheme="minorHAnsi" w:hAnsiTheme="minorHAnsi" w:cs="Arial"/>
                <w:b/>
                <w:bCs/>
                <w:color w:val="FFFFFF"/>
                <w:sz w:val="20"/>
              </w:rPr>
              <w:t>2015</w:t>
            </w:r>
          </w:p>
        </w:tc>
        <w:tc>
          <w:tcPr>
            <w:tcW w:w="739" w:type="dxa"/>
            <w:tcBorders>
              <w:top w:val="single" w:sz="8" w:space="0" w:color="auto"/>
              <w:left w:val="nil"/>
              <w:bottom w:val="nil"/>
              <w:right w:val="nil"/>
            </w:tcBorders>
            <w:shd w:val="clear" w:color="000000" w:fill="000000"/>
            <w:noWrap/>
            <w:vAlign w:val="bottom"/>
            <w:hideMark/>
          </w:tcPr>
          <w:p w14:paraId="64D4A5C4" w14:textId="77777777" w:rsidR="0080644C" w:rsidRPr="00274EFD" w:rsidRDefault="0080644C" w:rsidP="00093F20">
            <w:pPr>
              <w:keepNext/>
              <w:keepLines/>
              <w:jc w:val="center"/>
              <w:rPr>
                <w:rFonts w:asciiTheme="minorHAnsi" w:hAnsiTheme="minorHAnsi" w:cs="Arial"/>
                <w:b/>
                <w:bCs/>
                <w:color w:val="FFFFFF"/>
                <w:sz w:val="20"/>
              </w:rPr>
            </w:pPr>
            <w:r w:rsidRPr="00274EFD">
              <w:rPr>
                <w:rFonts w:asciiTheme="minorHAnsi" w:hAnsiTheme="minorHAnsi" w:cs="Arial"/>
                <w:b/>
                <w:bCs/>
                <w:color w:val="FFFFFF"/>
                <w:sz w:val="20"/>
              </w:rPr>
              <w:t>2016</w:t>
            </w:r>
          </w:p>
        </w:tc>
        <w:tc>
          <w:tcPr>
            <w:tcW w:w="739" w:type="dxa"/>
            <w:tcBorders>
              <w:top w:val="single" w:sz="8" w:space="0" w:color="auto"/>
              <w:left w:val="nil"/>
              <w:bottom w:val="nil"/>
              <w:right w:val="nil"/>
            </w:tcBorders>
            <w:shd w:val="clear" w:color="000000" w:fill="000000"/>
            <w:noWrap/>
            <w:vAlign w:val="bottom"/>
            <w:hideMark/>
          </w:tcPr>
          <w:p w14:paraId="4CE82AA4" w14:textId="77777777" w:rsidR="0080644C" w:rsidRPr="00274EFD" w:rsidRDefault="0080644C" w:rsidP="00093F20">
            <w:pPr>
              <w:keepNext/>
              <w:keepLines/>
              <w:jc w:val="center"/>
              <w:rPr>
                <w:rFonts w:asciiTheme="minorHAnsi" w:hAnsiTheme="minorHAnsi" w:cs="Arial"/>
                <w:b/>
                <w:bCs/>
                <w:color w:val="FFFFFF"/>
                <w:sz w:val="20"/>
              </w:rPr>
            </w:pPr>
            <w:r w:rsidRPr="00274EFD">
              <w:rPr>
                <w:rFonts w:asciiTheme="minorHAnsi" w:hAnsiTheme="minorHAnsi" w:cs="Arial"/>
                <w:b/>
                <w:bCs/>
                <w:color w:val="FFFFFF"/>
                <w:sz w:val="20"/>
              </w:rPr>
              <w:t>2017</w:t>
            </w:r>
          </w:p>
        </w:tc>
        <w:tc>
          <w:tcPr>
            <w:tcW w:w="622" w:type="dxa"/>
            <w:tcBorders>
              <w:top w:val="single" w:sz="8" w:space="0" w:color="auto"/>
              <w:left w:val="nil"/>
              <w:bottom w:val="nil"/>
              <w:right w:val="nil"/>
            </w:tcBorders>
            <w:shd w:val="clear" w:color="000000" w:fill="000000"/>
            <w:noWrap/>
            <w:vAlign w:val="bottom"/>
            <w:hideMark/>
          </w:tcPr>
          <w:p w14:paraId="01B8B8A3" w14:textId="77777777" w:rsidR="0080644C" w:rsidRPr="00274EFD" w:rsidRDefault="0080644C" w:rsidP="00093F20">
            <w:pPr>
              <w:keepNext/>
              <w:keepLines/>
              <w:jc w:val="center"/>
              <w:rPr>
                <w:rFonts w:asciiTheme="minorHAnsi" w:hAnsiTheme="minorHAnsi" w:cs="Arial"/>
                <w:b/>
                <w:bCs/>
                <w:color w:val="FFFFFF"/>
                <w:sz w:val="20"/>
              </w:rPr>
            </w:pPr>
            <w:r w:rsidRPr="00274EFD">
              <w:rPr>
                <w:rFonts w:asciiTheme="minorHAnsi" w:hAnsiTheme="minorHAnsi" w:cs="Arial"/>
                <w:b/>
                <w:bCs/>
                <w:color w:val="FFFFFF"/>
                <w:sz w:val="20"/>
              </w:rPr>
              <w:t>2018</w:t>
            </w:r>
          </w:p>
        </w:tc>
        <w:tc>
          <w:tcPr>
            <w:tcW w:w="846" w:type="dxa"/>
            <w:tcBorders>
              <w:top w:val="single" w:sz="8" w:space="0" w:color="auto"/>
              <w:left w:val="nil"/>
              <w:bottom w:val="nil"/>
              <w:right w:val="nil"/>
            </w:tcBorders>
            <w:shd w:val="clear" w:color="000000" w:fill="000000"/>
            <w:noWrap/>
            <w:vAlign w:val="bottom"/>
            <w:hideMark/>
          </w:tcPr>
          <w:p w14:paraId="268FFDA3" w14:textId="77777777" w:rsidR="0080644C" w:rsidRPr="00274EFD" w:rsidRDefault="0080644C" w:rsidP="00093F20">
            <w:pPr>
              <w:keepNext/>
              <w:keepLines/>
              <w:jc w:val="center"/>
              <w:rPr>
                <w:rFonts w:asciiTheme="minorHAnsi" w:hAnsiTheme="minorHAnsi" w:cs="Arial"/>
                <w:b/>
                <w:bCs/>
                <w:color w:val="FFFFFF"/>
                <w:sz w:val="20"/>
              </w:rPr>
            </w:pPr>
            <w:r w:rsidRPr="00274EFD">
              <w:rPr>
                <w:rFonts w:asciiTheme="minorHAnsi" w:hAnsiTheme="minorHAnsi" w:cs="Arial"/>
                <w:b/>
                <w:bCs/>
                <w:color w:val="FFFFFF"/>
                <w:sz w:val="20"/>
              </w:rPr>
              <w:t>2019(*)</w:t>
            </w:r>
          </w:p>
        </w:tc>
        <w:tc>
          <w:tcPr>
            <w:tcW w:w="739" w:type="dxa"/>
            <w:tcBorders>
              <w:top w:val="single" w:sz="8" w:space="0" w:color="auto"/>
              <w:left w:val="nil"/>
              <w:bottom w:val="nil"/>
              <w:right w:val="single" w:sz="8" w:space="0" w:color="auto"/>
            </w:tcBorders>
            <w:shd w:val="clear" w:color="000000" w:fill="000000"/>
            <w:noWrap/>
            <w:vAlign w:val="bottom"/>
            <w:hideMark/>
          </w:tcPr>
          <w:p w14:paraId="7D022770" w14:textId="77777777" w:rsidR="0080644C" w:rsidRPr="00274EFD" w:rsidRDefault="0080644C" w:rsidP="00093F20">
            <w:pPr>
              <w:keepNext/>
              <w:keepLines/>
              <w:jc w:val="center"/>
              <w:rPr>
                <w:rFonts w:asciiTheme="minorHAnsi" w:hAnsiTheme="minorHAnsi" w:cs="Arial"/>
                <w:b/>
                <w:bCs/>
                <w:color w:val="FFFFFF"/>
                <w:sz w:val="20"/>
              </w:rPr>
            </w:pPr>
            <w:r w:rsidRPr="00274EFD">
              <w:rPr>
                <w:rFonts w:asciiTheme="minorHAnsi" w:hAnsiTheme="minorHAnsi" w:cs="Arial"/>
                <w:b/>
                <w:bCs/>
                <w:color w:val="FFFFFF"/>
                <w:sz w:val="20"/>
              </w:rPr>
              <w:t xml:space="preserve">Total </w:t>
            </w:r>
          </w:p>
        </w:tc>
      </w:tr>
      <w:tr w:rsidR="0080644C" w:rsidRPr="00274EFD" w14:paraId="42C72112" w14:textId="77777777" w:rsidTr="00274EFD">
        <w:trPr>
          <w:trHeight w:val="244"/>
        </w:trPr>
        <w:tc>
          <w:tcPr>
            <w:tcW w:w="241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44984E3" w14:textId="77777777" w:rsidR="0080644C" w:rsidRPr="00274EFD" w:rsidRDefault="00274EFD" w:rsidP="00093F20">
            <w:pPr>
              <w:keepNext/>
              <w:keepLines/>
              <w:rPr>
                <w:rFonts w:asciiTheme="minorHAnsi" w:hAnsiTheme="minorHAnsi" w:cs="Arial"/>
                <w:sz w:val="20"/>
              </w:rPr>
            </w:pPr>
            <w:r w:rsidRPr="00274EFD">
              <w:rPr>
                <w:rFonts w:asciiTheme="minorHAnsi" w:hAnsiTheme="minorHAnsi" w:cs="Arial"/>
                <w:sz w:val="20"/>
              </w:rPr>
              <w:t>Número de informes de auditoría</w:t>
            </w:r>
          </w:p>
        </w:tc>
        <w:tc>
          <w:tcPr>
            <w:tcW w:w="862" w:type="dxa"/>
            <w:tcBorders>
              <w:top w:val="single" w:sz="8" w:space="0" w:color="auto"/>
              <w:left w:val="nil"/>
              <w:bottom w:val="single" w:sz="4" w:space="0" w:color="auto"/>
              <w:right w:val="single" w:sz="4" w:space="0" w:color="auto"/>
            </w:tcBorders>
            <w:shd w:val="clear" w:color="auto" w:fill="auto"/>
            <w:noWrap/>
            <w:vAlign w:val="bottom"/>
            <w:hideMark/>
          </w:tcPr>
          <w:p w14:paraId="037BD0BC"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2</w:t>
            </w:r>
          </w:p>
        </w:tc>
        <w:tc>
          <w:tcPr>
            <w:tcW w:w="739" w:type="dxa"/>
            <w:tcBorders>
              <w:top w:val="single" w:sz="8" w:space="0" w:color="auto"/>
              <w:left w:val="nil"/>
              <w:bottom w:val="single" w:sz="4" w:space="0" w:color="auto"/>
              <w:right w:val="single" w:sz="4" w:space="0" w:color="auto"/>
            </w:tcBorders>
            <w:shd w:val="clear" w:color="auto" w:fill="auto"/>
            <w:noWrap/>
            <w:vAlign w:val="bottom"/>
            <w:hideMark/>
          </w:tcPr>
          <w:p w14:paraId="40036EB9"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single" w:sz="8" w:space="0" w:color="auto"/>
              <w:left w:val="nil"/>
              <w:bottom w:val="single" w:sz="4" w:space="0" w:color="auto"/>
              <w:right w:val="single" w:sz="4" w:space="0" w:color="auto"/>
            </w:tcBorders>
            <w:shd w:val="clear" w:color="000000" w:fill="FFFFFF"/>
            <w:noWrap/>
            <w:vAlign w:val="bottom"/>
            <w:hideMark/>
          </w:tcPr>
          <w:p w14:paraId="5EBB9269"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4</w:t>
            </w:r>
          </w:p>
        </w:tc>
        <w:tc>
          <w:tcPr>
            <w:tcW w:w="739" w:type="dxa"/>
            <w:tcBorders>
              <w:top w:val="single" w:sz="8" w:space="0" w:color="auto"/>
              <w:left w:val="nil"/>
              <w:bottom w:val="single" w:sz="4" w:space="0" w:color="auto"/>
              <w:right w:val="nil"/>
            </w:tcBorders>
            <w:shd w:val="clear" w:color="000000" w:fill="FFFFFF"/>
            <w:noWrap/>
            <w:vAlign w:val="bottom"/>
            <w:hideMark/>
          </w:tcPr>
          <w:p w14:paraId="5CECB2DD"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4</w:t>
            </w:r>
          </w:p>
        </w:tc>
        <w:tc>
          <w:tcPr>
            <w:tcW w:w="739" w:type="dxa"/>
            <w:tcBorders>
              <w:top w:val="single" w:sz="8" w:space="0" w:color="auto"/>
              <w:left w:val="single" w:sz="4" w:space="0" w:color="auto"/>
              <w:bottom w:val="single" w:sz="4" w:space="0" w:color="auto"/>
              <w:right w:val="nil"/>
            </w:tcBorders>
            <w:shd w:val="clear" w:color="000000" w:fill="FFFFFF"/>
            <w:noWrap/>
            <w:vAlign w:val="bottom"/>
            <w:hideMark/>
          </w:tcPr>
          <w:p w14:paraId="7F96B7A0"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7</w:t>
            </w:r>
          </w:p>
        </w:tc>
        <w:tc>
          <w:tcPr>
            <w:tcW w:w="739" w:type="dxa"/>
            <w:tcBorders>
              <w:top w:val="single" w:sz="8" w:space="0" w:color="auto"/>
              <w:left w:val="single" w:sz="4" w:space="0" w:color="auto"/>
              <w:bottom w:val="single" w:sz="4" w:space="0" w:color="auto"/>
              <w:right w:val="nil"/>
            </w:tcBorders>
            <w:shd w:val="clear" w:color="000000" w:fill="FFFFFF"/>
            <w:noWrap/>
            <w:vAlign w:val="bottom"/>
            <w:hideMark/>
          </w:tcPr>
          <w:p w14:paraId="540F722E"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4</w:t>
            </w:r>
          </w:p>
        </w:tc>
        <w:tc>
          <w:tcPr>
            <w:tcW w:w="739" w:type="dxa"/>
            <w:tcBorders>
              <w:top w:val="single" w:sz="8" w:space="0" w:color="auto"/>
              <w:left w:val="single" w:sz="4" w:space="0" w:color="auto"/>
              <w:bottom w:val="single" w:sz="4" w:space="0" w:color="auto"/>
              <w:right w:val="nil"/>
            </w:tcBorders>
            <w:shd w:val="clear" w:color="000000" w:fill="FFFFFF"/>
            <w:noWrap/>
            <w:vAlign w:val="bottom"/>
            <w:hideMark/>
          </w:tcPr>
          <w:p w14:paraId="6F9C2EB1"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5</w:t>
            </w:r>
          </w:p>
        </w:tc>
        <w:tc>
          <w:tcPr>
            <w:tcW w:w="622" w:type="dxa"/>
            <w:tcBorders>
              <w:top w:val="single" w:sz="8" w:space="0" w:color="auto"/>
              <w:left w:val="single" w:sz="4" w:space="0" w:color="auto"/>
              <w:bottom w:val="single" w:sz="4" w:space="0" w:color="auto"/>
              <w:right w:val="nil"/>
            </w:tcBorders>
            <w:shd w:val="clear" w:color="000000" w:fill="FFFFFF"/>
            <w:noWrap/>
            <w:vAlign w:val="bottom"/>
            <w:hideMark/>
          </w:tcPr>
          <w:p w14:paraId="55B8304A"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4</w:t>
            </w:r>
          </w:p>
        </w:tc>
        <w:tc>
          <w:tcPr>
            <w:tcW w:w="846" w:type="dxa"/>
            <w:tcBorders>
              <w:top w:val="single" w:sz="8" w:space="0" w:color="auto"/>
              <w:left w:val="single" w:sz="4" w:space="0" w:color="auto"/>
              <w:bottom w:val="single" w:sz="4" w:space="0" w:color="auto"/>
              <w:right w:val="nil"/>
            </w:tcBorders>
            <w:shd w:val="clear" w:color="000000" w:fill="FFFFFF"/>
            <w:noWrap/>
            <w:vAlign w:val="bottom"/>
            <w:hideMark/>
          </w:tcPr>
          <w:p w14:paraId="1621679E"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2</w:t>
            </w:r>
          </w:p>
        </w:tc>
        <w:tc>
          <w:tcPr>
            <w:tcW w:w="739" w:type="dxa"/>
            <w:tcBorders>
              <w:top w:val="single" w:sz="8" w:space="0" w:color="auto"/>
              <w:left w:val="single" w:sz="4" w:space="0" w:color="auto"/>
              <w:bottom w:val="single" w:sz="4" w:space="0" w:color="auto"/>
              <w:right w:val="single" w:sz="8" w:space="0" w:color="auto"/>
            </w:tcBorders>
            <w:shd w:val="clear" w:color="auto" w:fill="A6A6A6" w:themeFill="background1" w:themeFillShade="A6"/>
            <w:noWrap/>
            <w:vAlign w:val="bottom"/>
            <w:hideMark/>
          </w:tcPr>
          <w:p w14:paraId="1A90DEFC" w14:textId="77777777" w:rsidR="0080644C" w:rsidRPr="00274EFD" w:rsidRDefault="0080644C" w:rsidP="00093F20">
            <w:pPr>
              <w:keepNext/>
              <w:keepLines/>
              <w:jc w:val="center"/>
              <w:rPr>
                <w:rFonts w:asciiTheme="minorHAnsi" w:hAnsiTheme="minorHAnsi" w:cs="Arial"/>
                <w:b/>
                <w:bCs/>
                <w:sz w:val="20"/>
              </w:rPr>
            </w:pPr>
            <w:r w:rsidRPr="00274EFD">
              <w:rPr>
                <w:rFonts w:asciiTheme="minorHAnsi" w:hAnsiTheme="minorHAnsi" w:cs="Arial"/>
                <w:b/>
                <w:bCs/>
                <w:sz w:val="20"/>
              </w:rPr>
              <w:t>32</w:t>
            </w:r>
          </w:p>
        </w:tc>
      </w:tr>
      <w:tr w:rsidR="0080644C" w:rsidRPr="00274EFD" w14:paraId="444C1D2C" w14:textId="77777777" w:rsidTr="00274EFD">
        <w:trPr>
          <w:trHeight w:val="244"/>
        </w:trPr>
        <w:tc>
          <w:tcPr>
            <w:tcW w:w="2417" w:type="dxa"/>
            <w:tcBorders>
              <w:top w:val="nil"/>
              <w:left w:val="single" w:sz="8" w:space="0" w:color="auto"/>
              <w:bottom w:val="single" w:sz="4" w:space="0" w:color="auto"/>
              <w:right w:val="single" w:sz="4" w:space="0" w:color="auto"/>
            </w:tcBorders>
            <w:shd w:val="clear" w:color="auto" w:fill="auto"/>
            <w:noWrap/>
            <w:vAlign w:val="bottom"/>
            <w:hideMark/>
          </w:tcPr>
          <w:p w14:paraId="6C4C79DE" w14:textId="77777777" w:rsidR="0080644C" w:rsidRPr="00274EFD" w:rsidRDefault="00274EFD" w:rsidP="00093F20">
            <w:pPr>
              <w:keepNext/>
              <w:keepLines/>
              <w:rPr>
                <w:rFonts w:asciiTheme="minorHAnsi" w:hAnsiTheme="minorHAnsi" w:cs="Arial"/>
                <w:sz w:val="20"/>
              </w:rPr>
            </w:pPr>
            <w:r w:rsidRPr="00274EFD">
              <w:rPr>
                <w:rFonts w:asciiTheme="minorHAnsi" w:hAnsiTheme="minorHAnsi" w:cs="Arial"/>
                <w:sz w:val="20"/>
              </w:rPr>
              <w:t>Recomendaciones – Total</w:t>
            </w:r>
          </w:p>
        </w:tc>
        <w:tc>
          <w:tcPr>
            <w:tcW w:w="862" w:type="dxa"/>
            <w:tcBorders>
              <w:top w:val="nil"/>
              <w:left w:val="nil"/>
              <w:bottom w:val="single" w:sz="4" w:space="0" w:color="auto"/>
              <w:right w:val="single" w:sz="4" w:space="0" w:color="auto"/>
            </w:tcBorders>
            <w:shd w:val="clear" w:color="auto" w:fill="auto"/>
            <w:noWrap/>
            <w:vAlign w:val="bottom"/>
            <w:hideMark/>
          </w:tcPr>
          <w:p w14:paraId="4CEC1AAE"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17</w:t>
            </w:r>
          </w:p>
        </w:tc>
        <w:tc>
          <w:tcPr>
            <w:tcW w:w="739" w:type="dxa"/>
            <w:tcBorders>
              <w:top w:val="nil"/>
              <w:left w:val="nil"/>
              <w:bottom w:val="single" w:sz="4" w:space="0" w:color="auto"/>
              <w:right w:val="single" w:sz="4" w:space="0" w:color="auto"/>
            </w:tcBorders>
            <w:shd w:val="clear" w:color="auto" w:fill="auto"/>
            <w:noWrap/>
            <w:vAlign w:val="bottom"/>
            <w:hideMark/>
          </w:tcPr>
          <w:p w14:paraId="18C867BF"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w:t>
            </w:r>
          </w:p>
        </w:tc>
        <w:tc>
          <w:tcPr>
            <w:tcW w:w="739" w:type="dxa"/>
            <w:tcBorders>
              <w:top w:val="nil"/>
              <w:left w:val="nil"/>
              <w:bottom w:val="single" w:sz="4" w:space="0" w:color="auto"/>
              <w:right w:val="single" w:sz="4" w:space="0" w:color="auto"/>
            </w:tcBorders>
            <w:shd w:val="clear" w:color="000000" w:fill="FFFFFF"/>
            <w:noWrap/>
            <w:vAlign w:val="bottom"/>
            <w:hideMark/>
          </w:tcPr>
          <w:p w14:paraId="5B40B864"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113</w:t>
            </w:r>
          </w:p>
        </w:tc>
        <w:tc>
          <w:tcPr>
            <w:tcW w:w="739" w:type="dxa"/>
            <w:tcBorders>
              <w:top w:val="nil"/>
              <w:left w:val="nil"/>
              <w:bottom w:val="single" w:sz="4" w:space="0" w:color="auto"/>
              <w:right w:val="nil"/>
            </w:tcBorders>
            <w:shd w:val="clear" w:color="000000" w:fill="FFFFFF"/>
            <w:noWrap/>
            <w:vAlign w:val="bottom"/>
            <w:hideMark/>
          </w:tcPr>
          <w:p w14:paraId="5CEEC265"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55</w:t>
            </w:r>
          </w:p>
        </w:tc>
        <w:tc>
          <w:tcPr>
            <w:tcW w:w="739" w:type="dxa"/>
            <w:tcBorders>
              <w:top w:val="nil"/>
              <w:left w:val="single" w:sz="4" w:space="0" w:color="auto"/>
              <w:bottom w:val="single" w:sz="4" w:space="0" w:color="auto"/>
              <w:right w:val="nil"/>
            </w:tcBorders>
            <w:shd w:val="clear" w:color="000000" w:fill="FFFFFF"/>
            <w:noWrap/>
            <w:vAlign w:val="bottom"/>
            <w:hideMark/>
          </w:tcPr>
          <w:p w14:paraId="4EA49660"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34</w:t>
            </w:r>
          </w:p>
        </w:tc>
        <w:tc>
          <w:tcPr>
            <w:tcW w:w="739" w:type="dxa"/>
            <w:tcBorders>
              <w:top w:val="nil"/>
              <w:left w:val="single" w:sz="4" w:space="0" w:color="auto"/>
              <w:bottom w:val="single" w:sz="4" w:space="0" w:color="auto"/>
              <w:right w:val="nil"/>
            </w:tcBorders>
            <w:shd w:val="clear" w:color="000000" w:fill="FFFFFF"/>
            <w:noWrap/>
            <w:vAlign w:val="bottom"/>
            <w:hideMark/>
          </w:tcPr>
          <w:p w14:paraId="1B29BA1E"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22</w:t>
            </w:r>
          </w:p>
        </w:tc>
        <w:tc>
          <w:tcPr>
            <w:tcW w:w="739" w:type="dxa"/>
            <w:tcBorders>
              <w:top w:val="nil"/>
              <w:left w:val="single" w:sz="4" w:space="0" w:color="auto"/>
              <w:bottom w:val="single" w:sz="4" w:space="0" w:color="auto"/>
              <w:right w:val="nil"/>
            </w:tcBorders>
            <w:shd w:val="clear" w:color="000000" w:fill="FFFFFF"/>
            <w:noWrap/>
            <w:vAlign w:val="bottom"/>
            <w:hideMark/>
          </w:tcPr>
          <w:p w14:paraId="2AD5D130"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30</w:t>
            </w:r>
          </w:p>
        </w:tc>
        <w:tc>
          <w:tcPr>
            <w:tcW w:w="622" w:type="dxa"/>
            <w:tcBorders>
              <w:top w:val="nil"/>
              <w:left w:val="single" w:sz="4" w:space="0" w:color="auto"/>
              <w:bottom w:val="single" w:sz="4" w:space="0" w:color="auto"/>
              <w:right w:val="nil"/>
            </w:tcBorders>
            <w:shd w:val="clear" w:color="000000" w:fill="FFFFFF"/>
            <w:noWrap/>
            <w:vAlign w:val="bottom"/>
            <w:hideMark/>
          </w:tcPr>
          <w:p w14:paraId="67C6F26E"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26</w:t>
            </w:r>
          </w:p>
        </w:tc>
        <w:tc>
          <w:tcPr>
            <w:tcW w:w="846" w:type="dxa"/>
            <w:tcBorders>
              <w:top w:val="nil"/>
              <w:left w:val="single" w:sz="4" w:space="0" w:color="auto"/>
              <w:bottom w:val="single" w:sz="4" w:space="0" w:color="auto"/>
              <w:right w:val="nil"/>
            </w:tcBorders>
            <w:shd w:val="clear" w:color="000000" w:fill="FFFFFF"/>
            <w:noWrap/>
            <w:vAlign w:val="bottom"/>
            <w:hideMark/>
          </w:tcPr>
          <w:p w14:paraId="564F578D"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15</w:t>
            </w:r>
          </w:p>
        </w:tc>
        <w:tc>
          <w:tcPr>
            <w:tcW w:w="739" w:type="dxa"/>
            <w:tcBorders>
              <w:top w:val="single" w:sz="8" w:space="0" w:color="auto"/>
              <w:left w:val="single" w:sz="4" w:space="0" w:color="auto"/>
              <w:bottom w:val="single" w:sz="4" w:space="0" w:color="auto"/>
              <w:right w:val="single" w:sz="8" w:space="0" w:color="auto"/>
            </w:tcBorders>
            <w:shd w:val="clear" w:color="auto" w:fill="A6A6A6" w:themeFill="background1" w:themeFillShade="A6"/>
            <w:noWrap/>
            <w:vAlign w:val="bottom"/>
            <w:hideMark/>
          </w:tcPr>
          <w:p w14:paraId="3CDEA426" w14:textId="77777777" w:rsidR="0080644C" w:rsidRPr="00274EFD" w:rsidRDefault="0080644C" w:rsidP="00093F20">
            <w:pPr>
              <w:keepNext/>
              <w:keepLines/>
              <w:jc w:val="center"/>
              <w:rPr>
                <w:rFonts w:asciiTheme="minorHAnsi" w:hAnsiTheme="minorHAnsi" w:cs="Arial"/>
                <w:b/>
                <w:bCs/>
                <w:sz w:val="20"/>
              </w:rPr>
            </w:pPr>
            <w:r w:rsidRPr="00274EFD">
              <w:rPr>
                <w:rFonts w:asciiTheme="minorHAnsi" w:hAnsiTheme="minorHAnsi" w:cs="Arial"/>
                <w:b/>
                <w:bCs/>
                <w:sz w:val="20"/>
              </w:rPr>
              <w:t>312</w:t>
            </w:r>
          </w:p>
        </w:tc>
      </w:tr>
      <w:tr w:rsidR="00274EFD" w:rsidRPr="00274EFD" w14:paraId="7ED3AAF9" w14:textId="77777777" w:rsidTr="00274EFD">
        <w:trPr>
          <w:trHeight w:val="244"/>
        </w:trPr>
        <w:tc>
          <w:tcPr>
            <w:tcW w:w="2417" w:type="dxa"/>
            <w:tcBorders>
              <w:top w:val="nil"/>
              <w:left w:val="single" w:sz="8" w:space="0" w:color="auto"/>
              <w:bottom w:val="single" w:sz="4" w:space="0" w:color="auto"/>
              <w:right w:val="single" w:sz="4" w:space="0" w:color="auto"/>
            </w:tcBorders>
            <w:shd w:val="clear" w:color="auto" w:fill="auto"/>
            <w:noWrap/>
            <w:vAlign w:val="bottom"/>
            <w:hideMark/>
          </w:tcPr>
          <w:p w14:paraId="3707F2E2" w14:textId="77777777" w:rsidR="00274EFD" w:rsidRPr="00274EFD" w:rsidRDefault="00274EFD" w:rsidP="00093F20">
            <w:pPr>
              <w:keepNext/>
              <w:keepLines/>
              <w:tabs>
                <w:tab w:val="clear" w:pos="567"/>
                <w:tab w:val="left" w:pos="308"/>
              </w:tabs>
              <w:spacing w:before="40" w:after="40"/>
              <w:rPr>
                <w:rFonts w:asciiTheme="minorHAnsi" w:hAnsiTheme="minorHAnsi"/>
                <w:sz w:val="20"/>
              </w:rPr>
            </w:pPr>
            <w:r w:rsidRPr="00274EFD">
              <w:rPr>
                <w:rFonts w:asciiTheme="minorHAnsi" w:hAnsiTheme="minorHAnsi"/>
                <w:sz w:val="20"/>
              </w:rPr>
              <w:tab/>
              <w:t>En preparación</w:t>
            </w:r>
          </w:p>
        </w:tc>
        <w:tc>
          <w:tcPr>
            <w:tcW w:w="862" w:type="dxa"/>
            <w:tcBorders>
              <w:top w:val="nil"/>
              <w:left w:val="nil"/>
              <w:bottom w:val="single" w:sz="4" w:space="0" w:color="auto"/>
              <w:right w:val="single" w:sz="4" w:space="0" w:color="auto"/>
            </w:tcBorders>
            <w:shd w:val="clear" w:color="000000" w:fill="FFFFFF"/>
            <w:noWrap/>
            <w:vAlign w:val="bottom"/>
            <w:hideMark/>
          </w:tcPr>
          <w:p w14:paraId="46FD9008"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nil"/>
              <w:left w:val="nil"/>
              <w:bottom w:val="single" w:sz="4" w:space="0" w:color="auto"/>
              <w:right w:val="single" w:sz="4" w:space="0" w:color="auto"/>
            </w:tcBorders>
            <w:shd w:val="clear" w:color="auto" w:fill="auto"/>
            <w:noWrap/>
            <w:vAlign w:val="bottom"/>
            <w:hideMark/>
          </w:tcPr>
          <w:p w14:paraId="088B6B23"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w:t>
            </w:r>
          </w:p>
        </w:tc>
        <w:tc>
          <w:tcPr>
            <w:tcW w:w="739" w:type="dxa"/>
            <w:tcBorders>
              <w:top w:val="nil"/>
              <w:left w:val="nil"/>
              <w:bottom w:val="single" w:sz="4" w:space="0" w:color="auto"/>
              <w:right w:val="single" w:sz="4" w:space="0" w:color="auto"/>
            </w:tcBorders>
            <w:shd w:val="clear" w:color="000000" w:fill="FFFFFF"/>
            <w:noWrap/>
            <w:vAlign w:val="bottom"/>
            <w:hideMark/>
          </w:tcPr>
          <w:p w14:paraId="6799C43A"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5</w:t>
            </w:r>
          </w:p>
        </w:tc>
        <w:tc>
          <w:tcPr>
            <w:tcW w:w="739" w:type="dxa"/>
            <w:tcBorders>
              <w:top w:val="nil"/>
              <w:left w:val="nil"/>
              <w:bottom w:val="single" w:sz="4" w:space="0" w:color="auto"/>
              <w:right w:val="nil"/>
            </w:tcBorders>
            <w:shd w:val="clear" w:color="000000" w:fill="FFFFFF"/>
            <w:noWrap/>
            <w:vAlign w:val="bottom"/>
            <w:hideMark/>
          </w:tcPr>
          <w:p w14:paraId="1109CCD9"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2</w:t>
            </w:r>
          </w:p>
        </w:tc>
        <w:tc>
          <w:tcPr>
            <w:tcW w:w="739" w:type="dxa"/>
            <w:tcBorders>
              <w:top w:val="nil"/>
              <w:left w:val="single" w:sz="4" w:space="0" w:color="auto"/>
              <w:bottom w:val="single" w:sz="4" w:space="0" w:color="auto"/>
              <w:right w:val="nil"/>
            </w:tcBorders>
            <w:shd w:val="clear" w:color="000000" w:fill="FFFFFF"/>
            <w:noWrap/>
            <w:vAlign w:val="bottom"/>
            <w:hideMark/>
          </w:tcPr>
          <w:p w14:paraId="40046A43"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1</w:t>
            </w:r>
          </w:p>
        </w:tc>
        <w:tc>
          <w:tcPr>
            <w:tcW w:w="739" w:type="dxa"/>
            <w:tcBorders>
              <w:top w:val="nil"/>
              <w:left w:val="single" w:sz="4" w:space="0" w:color="auto"/>
              <w:bottom w:val="single" w:sz="4" w:space="0" w:color="auto"/>
              <w:right w:val="nil"/>
            </w:tcBorders>
            <w:shd w:val="clear" w:color="000000" w:fill="FFFFFF"/>
            <w:noWrap/>
            <w:vAlign w:val="bottom"/>
            <w:hideMark/>
          </w:tcPr>
          <w:p w14:paraId="046D667C"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8</w:t>
            </w:r>
          </w:p>
        </w:tc>
        <w:tc>
          <w:tcPr>
            <w:tcW w:w="739" w:type="dxa"/>
            <w:tcBorders>
              <w:top w:val="nil"/>
              <w:left w:val="single" w:sz="4" w:space="0" w:color="auto"/>
              <w:bottom w:val="single" w:sz="4" w:space="0" w:color="auto"/>
              <w:right w:val="nil"/>
            </w:tcBorders>
            <w:shd w:val="clear" w:color="000000" w:fill="FFFFFF"/>
            <w:noWrap/>
            <w:vAlign w:val="bottom"/>
            <w:hideMark/>
          </w:tcPr>
          <w:p w14:paraId="740143DD"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13</w:t>
            </w:r>
          </w:p>
        </w:tc>
        <w:tc>
          <w:tcPr>
            <w:tcW w:w="622" w:type="dxa"/>
            <w:tcBorders>
              <w:top w:val="nil"/>
              <w:left w:val="single" w:sz="4" w:space="0" w:color="auto"/>
              <w:bottom w:val="single" w:sz="4" w:space="0" w:color="auto"/>
              <w:right w:val="nil"/>
            </w:tcBorders>
            <w:shd w:val="clear" w:color="000000" w:fill="FFFFFF"/>
            <w:noWrap/>
            <w:vAlign w:val="bottom"/>
            <w:hideMark/>
          </w:tcPr>
          <w:p w14:paraId="6F95648D"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16</w:t>
            </w:r>
          </w:p>
        </w:tc>
        <w:tc>
          <w:tcPr>
            <w:tcW w:w="846" w:type="dxa"/>
            <w:tcBorders>
              <w:top w:val="nil"/>
              <w:left w:val="single" w:sz="4" w:space="0" w:color="auto"/>
              <w:bottom w:val="single" w:sz="4" w:space="0" w:color="auto"/>
              <w:right w:val="nil"/>
            </w:tcBorders>
            <w:shd w:val="clear" w:color="000000" w:fill="FFFFFF"/>
            <w:noWrap/>
            <w:vAlign w:val="bottom"/>
            <w:hideMark/>
          </w:tcPr>
          <w:p w14:paraId="513F6B62"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9</w:t>
            </w:r>
          </w:p>
        </w:tc>
        <w:tc>
          <w:tcPr>
            <w:tcW w:w="739" w:type="dxa"/>
            <w:tcBorders>
              <w:top w:val="single" w:sz="8" w:space="0" w:color="auto"/>
              <w:left w:val="single" w:sz="4" w:space="0" w:color="auto"/>
              <w:bottom w:val="single" w:sz="4" w:space="0" w:color="auto"/>
              <w:right w:val="single" w:sz="8" w:space="0" w:color="auto"/>
            </w:tcBorders>
            <w:shd w:val="clear" w:color="auto" w:fill="A6A6A6" w:themeFill="background1" w:themeFillShade="A6"/>
            <w:noWrap/>
            <w:vAlign w:val="bottom"/>
            <w:hideMark/>
          </w:tcPr>
          <w:p w14:paraId="090779AE" w14:textId="77777777" w:rsidR="00274EFD" w:rsidRPr="00274EFD" w:rsidRDefault="00274EFD" w:rsidP="00093F20">
            <w:pPr>
              <w:keepNext/>
              <w:keepLines/>
              <w:jc w:val="center"/>
              <w:rPr>
                <w:rFonts w:asciiTheme="minorHAnsi" w:hAnsiTheme="minorHAnsi" w:cs="Arial"/>
                <w:b/>
                <w:bCs/>
                <w:sz w:val="20"/>
              </w:rPr>
            </w:pPr>
            <w:r w:rsidRPr="00274EFD">
              <w:rPr>
                <w:rFonts w:asciiTheme="minorHAnsi" w:hAnsiTheme="minorHAnsi" w:cs="Arial"/>
                <w:b/>
                <w:bCs/>
                <w:sz w:val="20"/>
              </w:rPr>
              <w:t>54</w:t>
            </w:r>
          </w:p>
        </w:tc>
      </w:tr>
      <w:tr w:rsidR="00274EFD" w:rsidRPr="00274EFD" w14:paraId="1D71DA61" w14:textId="77777777" w:rsidTr="00274EFD">
        <w:trPr>
          <w:trHeight w:val="244"/>
        </w:trPr>
        <w:tc>
          <w:tcPr>
            <w:tcW w:w="2417" w:type="dxa"/>
            <w:tcBorders>
              <w:top w:val="nil"/>
              <w:left w:val="single" w:sz="8" w:space="0" w:color="auto"/>
              <w:bottom w:val="single" w:sz="4" w:space="0" w:color="auto"/>
              <w:right w:val="single" w:sz="4" w:space="0" w:color="auto"/>
            </w:tcBorders>
            <w:shd w:val="clear" w:color="auto" w:fill="auto"/>
            <w:noWrap/>
            <w:vAlign w:val="bottom"/>
            <w:hideMark/>
          </w:tcPr>
          <w:p w14:paraId="19531D74" w14:textId="77777777" w:rsidR="00274EFD" w:rsidRPr="00274EFD" w:rsidRDefault="00274EFD" w:rsidP="00093F20">
            <w:pPr>
              <w:keepNext/>
              <w:keepLines/>
              <w:tabs>
                <w:tab w:val="clear" w:pos="567"/>
                <w:tab w:val="left" w:pos="308"/>
              </w:tabs>
              <w:spacing w:before="40" w:after="40"/>
              <w:rPr>
                <w:rFonts w:asciiTheme="minorHAnsi" w:hAnsiTheme="minorHAnsi"/>
                <w:sz w:val="20"/>
              </w:rPr>
            </w:pPr>
            <w:r w:rsidRPr="00274EFD">
              <w:rPr>
                <w:rFonts w:asciiTheme="minorHAnsi" w:hAnsiTheme="minorHAnsi"/>
                <w:sz w:val="20"/>
              </w:rPr>
              <w:tab/>
              <w:t>Retrasadas</w:t>
            </w:r>
          </w:p>
        </w:tc>
        <w:tc>
          <w:tcPr>
            <w:tcW w:w="862" w:type="dxa"/>
            <w:tcBorders>
              <w:top w:val="nil"/>
              <w:left w:val="nil"/>
              <w:bottom w:val="single" w:sz="4" w:space="0" w:color="auto"/>
              <w:right w:val="single" w:sz="4" w:space="0" w:color="auto"/>
            </w:tcBorders>
            <w:shd w:val="clear" w:color="000000" w:fill="FFFFFF"/>
            <w:noWrap/>
            <w:vAlign w:val="bottom"/>
            <w:hideMark/>
          </w:tcPr>
          <w:p w14:paraId="249D9C85"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3</w:t>
            </w:r>
          </w:p>
        </w:tc>
        <w:tc>
          <w:tcPr>
            <w:tcW w:w="739" w:type="dxa"/>
            <w:tcBorders>
              <w:top w:val="nil"/>
              <w:left w:val="nil"/>
              <w:bottom w:val="single" w:sz="4" w:space="0" w:color="auto"/>
              <w:right w:val="single" w:sz="4" w:space="0" w:color="auto"/>
            </w:tcBorders>
            <w:shd w:val="clear" w:color="auto" w:fill="auto"/>
            <w:noWrap/>
            <w:vAlign w:val="bottom"/>
            <w:hideMark/>
          </w:tcPr>
          <w:p w14:paraId="4D8A68B1"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w:t>
            </w:r>
          </w:p>
        </w:tc>
        <w:tc>
          <w:tcPr>
            <w:tcW w:w="739" w:type="dxa"/>
            <w:tcBorders>
              <w:top w:val="nil"/>
              <w:left w:val="nil"/>
              <w:bottom w:val="single" w:sz="4" w:space="0" w:color="auto"/>
              <w:right w:val="single" w:sz="4" w:space="0" w:color="auto"/>
            </w:tcBorders>
            <w:shd w:val="clear" w:color="000000" w:fill="FFFFFF"/>
            <w:noWrap/>
            <w:vAlign w:val="bottom"/>
            <w:hideMark/>
          </w:tcPr>
          <w:p w14:paraId="51DF27FD"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nil"/>
              <w:left w:val="nil"/>
              <w:bottom w:val="single" w:sz="4" w:space="0" w:color="auto"/>
              <w:right w:val="nil"/>
            </w:tcBorders>
            <w:shd w:val="clear" w:color="000000" w:fill="FFFFFF"/>
            <w:noWrap/>
            <w:vAlign w:val="bottom"/>
            <w:hideMark/>
          </w:tcPr>
          <w:p w14:paraId="790DFF01"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nil"/>
              <w:left w:val="single" w:sz="4" w:space="0" w:color="auto"/>
              <w:bottom w:val="single" w:sz="4" w:space="0" w:color="auto"/>
              <w:right w:val="nil"/>
            </w:tcBorders>
            <w:shd w:val="clear" w:color="000000" w:fill="FFFFFF"/>
            <w:noWrap/>
            <w:vAlign w:val="bottom"/>
            <w:hideMark/>
          </w:tcPr>
          <w:p w14:paraId="28FCD15C"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nil"/>
              <w:left w:val="single" w:sz="4" w:space="0" w:color="auto"/>
              <w:bottom w:val="single" w:sz="4" w:space="0" w:color="auto"/>
              <w:right w:val="nil"/>
            </w:tcBorders>
            <w:shd w:val="clear" w:color="000000" w:fill="FFFFFF"/>
            <w:noWrap/>
            <w:vAlign w:val="bottom"/>
            <w:hideMark/>
          </w:tcPr>
          <w:p w14:paraId="05F883FA"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nil"/>
              <w:left w:val="single" w:sz="4" w:space="0" w:color="auto"/>
              <w:bottom w:val="single" w:sz="4" w:space="0" w:color="auto"/>
              <w:right w:val="nil"/>
            </w:tcBorders>
            <w:shd w:val="clear" w:color="000000" w:fill="FFFFFF"/>
            <w:noWrap/>
            <w:vAlign w:val="bottom"/>
            <w:hideMark/>
          </w:tcPr>
          <w:p w14:paraId="29EBC139"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622" w:type="dxa"/>
            <w:tcBorders>
              <w:top w:val="nil"/>
              <w:left w:val="single" w:sz="4" w:space="0" w:color="auto"/>
              <w:bottom w:val="single" w:sz="4" w:space="0" w:color="auto"/>
              <w:right w:val="nil"/>
            </w:tcBorders>
            <w:shd w:val="clear" w:color="000000" w:fill="FFFFFF"/>
            <w:noWrap/>
            <w:vAlign w:val="bottom"/>
            <w:hideMark/>
          </w:tcPr>
          <w:p w14:paraId="54607269"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846" w:type="dxa"/>
            <w:tcBorders>
              <w:top w:val="nil"/>
              <w:left w:val="single" w:sz="4" w:space="0" w:color="auto"/>
              <w:bottom w:val="single" w:sz="4" w:space="0" w:color="auto"/>
              <w:right w:val="nil"/>
            </w:tcBorders>
            <w:shd w:val="clear" w:color="000000" w:fill="FFFFFF"/>
            <w:noWrap/>
            <w:vAlign w:val="bottom"/>
            <w:hideMark/>
          </w:tcPr>
          <w:p w14:paraId="131203A8"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single" w:sz="8" w:space="0" w:color="auto"/>
              <w:left w:val="single" w:sz="4" w:space="0" w:color="auto"/>
              <w:bottom w:val="single" w:sz="4" w:space="0" w:color="auto"/>
              <w:right w:val="single" w:sz="8" w:space="0" w:color="auto"/>
            </w:tcBorders>
            <w:shd w:val="clear" w:color="auto" w:fill="A6A6A6" w:themeFill="background1" w:themeFillShade="A6"/>
            <w:noWrap/>
            <w:vAlign w:val="bottom"/>
            <w:hideMark/>
          </w:tcPr>
          <w:p w14:paraId="352311E2" w14:textId="77777777" w:rsidR="00274EFD" w:rsidRPr="00274EFD" w:rsidRDefault="00274EFD" w:rsidP="00093F20">
            <w:pPr>
              <w:keepNext/>
              <w:keepLines/>
              <w:jc w:val="center"/>
              <w:rPr>
                <w:rFonts w:asciiTheme="minorHAnsi" w:hAnsiTheme="minorHAnsi" w:cs="Arial"/>
                <w:b/>
                <w:bCs/>
                <w:sz w:val="20"/>
              </w:rPr>
            </w:pPr>
            <w:r w:rsidRPr="00274EFD">
              <w:rPr>
                <w:rFonts w:asciiTheme="minorHAnsi" w:hAnsiTheme="minorHAnsi" w:cs="Arial"/>
                <w:b/>
                <w:bCs/>
                <w:sz w:val="20"/>
              </w:rPr>
              <w:t>3</w:t>
            </w:r>
          </w:p>
        </w:tc>
      </w:tr>
      <w:tr w:rsidR="00274EFD" w:rsidRPr="00274EFD" w14:paraId="02790F5C" w14:textId="77777777" w:rsidTr="00274EFD">
        <w:trPr>
          <w:trHeight w:val="244"/>
        </w:trPr>
        <w:tc>
          <w:tcPr>
            <w:tcW w:w="2417" w:type="dxa"/>
            <w:tcBorders>
              <w:top w:val="nil"/>
              <w:left w:val="single" w:sz="8" w:space="0" w:color="auto"/>
              <w:bottom w:val="single" w:sz="8" w:space="0" w:color="auto"/>
              <w:right w:val="single" w:sz="4" w:space="0" w:color="auto"/>
            </w:tcBorders>
            <w:shd w:val="clear" w:color="auto" w:fill="auto"/>
            <w:noWrap/>
            <w:vAlign w:val="bottom"/>
            <w:hideMark/>
          </w:tcPr>
          <w:p w14:paraId="33D37575" w14:textId="77777777" w:rsidR="00274EFD" w:rsidRPr="00274EFD" w:rsidRDefault="00274EFD" w:rsidP="00093F20">
            <w:pPr>
              <w:keepNext/>
              <w:keepLines/>
              <w:tabs>
                <w:tab w:val="clear" w:pos="567"/>
                <w:tab w:val="left" w:pos="308"/>
              </w:tabs>
              <w:spacing w:before="40" w:after="40"/>
              <w:rPr>
                <w:rFonts w:asciiTheme="minorHAnsi" w:hAnsiTheme="minorHAnsi"/>
                <w:sz w:val="20"/>
              </w:rPr>
            </w:pPr>
            <w:r w:rsidRPr="00274EFD">
              <w:rPr>
                <w:rFonts w:asciiTheme="minorHAnsi" w:hAnsiTheme="minorHAnsi"/>
                <w:sz w:val="20"/>
              </w:rPr>
              <w:tab/>
              <w:t>Cerradas</w:t>
            </w:r>
          </w:p>
        </w:tc>
        <w:tc>
          <w:tcPr>
            <w:tcW w:w="862" w:type="dxa"/>
            <w:tcBorders>
              <w:top w:val="nil"/>
              <w:left w:val="nil"/>
              <w:bottom w:val="single" w:sz="8" w:space="0" w:color="auto"/>
              <w:right w:val="single" w:sz="4" w:space="0" w:color="auto"/>
            </w:tcBorders>
            <w:shd w:val="clear" w:color="000000" w:fill="FFFFFF"/>
            <w:noWrap/>
            <w:vAlign w:val="bottom"/>
            <w:hideMark/>
          </w:tcPr>
          <w:p w14:paraId="524DE883"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14</w:t>
            </w:r>
          </w:p>
        </w:tc>
        <w:tc>
          <w:tcPr>
            <w:tcW w:w="739" w:type="dxa"/>
            <w:tcBorders>
              <w:top w:val="nil"/>
              <w:left w:val="nil"/>
              <w:bottom w:val="single" w:sz="8" w:space="0" w:color="auto"/>
              <w:right w:val="single" w:sz="4" w:space="0" w:color="auto"/>
            </w:tcBorders>
            <w:shd w:val="clear" w:color="auto" w:fill="auto"/>
            <w:noWrap/>
            <w:vAlign w:val="bottom"/>
            <w:hideMark/>
          </w:tcPr>
          <w:p w14:paraId="11DDCFB8"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w:t>
            </w:r>
          </w:p>
        </w:tc>
        <w:tc>
          <w:tcPr>
            <w:tcW w:w="739" w:type="dxa"/>
            <w:tcBorders>
              <w:top w:val="nil"/>
              <w:left w:val="nil"/>
              <w:bottom w:val="single" w:sz="8" w:space="0" w:color="auto"/>
              <w:right w:val="single" w:sz="4" w:space="0" w:color="auto"/>
            </w:tcBorders>
            <w:shd w:val="clear" w:color="000000" w:fill="FFFFFF"/>
            <w:noWrap/>
            <w:vAlign w:val="bottom"/>
            <w:hideMark/>
          </w:tcPr>
          <w:p w14:paraId="05768F6D"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108</w:t>
            </w:r>
          </w:p>
        </w:tc>
        <w:tc>
          <w:tcPr>
            <w:tcW w:w="739" w:type="dxa"/>
            <w:tcBorders>
              <w:top w:val="nil"/>
              <w:left w:val="nil"/>
              <w:bottom w:val="single" w:sz="8" w:space="0" w:color="auto"/>
              <w:right w:val="nil"/>
            </w:tcBorders>
            <w:shd w:val="clear" w:color="000000" w:fill="FFFFFF"/>
            <w:noWrap/>
            <w:vAlign w:val="bottom"/>
            <w:hideMark/>
          </w:tcPr>
          <w:p w14:paraId="30690A50"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53</w:t>
            </w:r>
          </w:p>
        </w:tc>
        <w:tc>
          <w:tcPr>
            <w:tcW w:w="739" w:type="dxa"/>
            <w:tcBorders>
              <w:top w:val="nil"/>
              <w:left w:val="single" w:sz="4" w:space="0" w:color="auto"/>
              <w:bottom w:val="single" w:sz="8" w:space="0" w:color="auto"/>
              <w:right w:val="nil"/>
            </w:tcBorders>
            <w:shd w:val="clear" w:color="000000" w:fill="FFFFFF"/>
            <w:noWrap/>
            <w:vAlign w:val="bottom"/>
            <w:hideMark/>
          </w:tcPr>
          <w:p w14:paraId="48BD5E01"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33</w:t>
            </w:r>
          </w:p>
        </w:tc>
        <w:tc>
          <w:tcPr>
            <w:tcW w:w="739" w:type="dxa"/>
            <w:tcBorders>
              <w:top w:val="nil"/>
              <w:left w:val="single" w:sz="4" w:space="0" w:color="auto"/>
              <w:bottom w:val="single" w:sz="8" w:space="0" w:color="auto"/>
              <w:right w:val="nil"/>
            </w:tcBorders>
            <w:shd w:val="clear" w:color="000000" w:fill="FFFFFF"/>
            <w:noWrap/>
            <w:vAlign w:val="bottom"/>
            <w:hideMark/>
          </w:tcPr>
          <w:p w14:paraId="23CC1605"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14</w:t>
            </w:r>
          </w:p>
        </w:tc>
        <w:tc>
          <w:tcPr>
            <w:tcW w:w="739" w:type="dxa"/>
            <w:tcBorders>
              <w:top w:val="nil"/>
              <w:left w:val="single" w:sz="4" w:space="0" w:color="auto"/>
              <w:bottom w:val="single" w:sz="8" w:space="0" w:color="auto"/>
              <w:right w:val="nil"/>
            </w:tcBorders>
            <w:shd w:val="clear" w:color="000000" w:fill="FFFFFF"/>
            <w:noWrap/>
            <w:vAlign w:val="bottom"/>
            <w:hideMark/>
          </w:tcPr>
          <w:p w14:paraId="6775867F"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17</w:t>
            </w:r>
          </w:p>
        </w:tc>
        <w:tc>
          <w:tcPr>
            <w:tcW w:w="622" w:type="dxa"/>
            <w:tcBorders>
              <w:top w:val="nil"/>
              <w:left w:val="single" w:sz="4" w:space="0" w:color="auto"/>
              <w:bottom w:val="single" w:sz="8" w:space="0" w:color="auto"/>
              <w:right w:val="nil"/>
            </w:tcBorders>
            <w:shd w:val="clear" w:color="000000" w:fill="FFFFFF"/>
            <w:noWrap/>
            <w:vAlign w:val="bottom"/>
            <w:hideMark/>
          </w:tcPr>
          <w:p w14:paraId="22B59752"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10</w:t>
            </w:r>
          </w:p>
        </w:tc>
        <w:tc>
          <w:tcPr>
            <w:tcW w:w="846" w:type="dxa"/>
            <w:tcBorders>
              <w:top w:val="nil"/>
              <w:left w:val="single" w:sz="4" w:space="0" w:color="auto"/>
              <w:bottom w:val="single" w:sz="8" w:space="0" w:color="auto"/>
              <w:right w:val="nil"/>
            </w:tcBorders>
            <w:shd w:val="clear" w:color="000000" w:fill="FFFFFF"/>
            <w:noWrap/>
            <w:vAlign w:val="bottom"/>
            <w:hideMark/>
          </w:tcPr>
          <w:p w14:paraId="2B7AEED2"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6</w:t>
            </w:r>
          </w:p>
        </w:tc>
        <w:tc>
          <w:tcPr>
            <w:tcW w:w="739" w:type="dxa"/>
            <w:tcBorders>
              <w:top w:val="single" w:sz="8" w:space="0" w:color="auto"/>
              <w:left w:val="single" w:sz="4" w:space="0" w:color="auto"/>
              <w:bottom w:val="single" w:sz="4" w:space="0" w:color="auto"/>
              <w:right w:val="single" w:sz="8" w:space="0" w:color="auto"/>
            </w:tcBorders>
            <w:shd w:val="clear" w:color="auto" w:fill="A6A6A6" w:themeFill="background1" w:themeFillShade="A6"/>
            <w:noWrap/>
            <w:vAlign w:val="bottom"/>
            <w:hideMark/>
          </w:tcPr>
          <w:p w14:paraId="2628B373" w14:textId="77777777" w:rsidR="00274EFD" w:rsidRPr="00274EFD" w:rsidRDefault="00274EFD" w:rsidP="00093F20">
            <w:pPr>
              <w:keepNext/>
              <w:keepLines/>
              <w:jc w:val="center"/>
              <w:rPr>
                <w:rFonts w:asciiTheme="minorHAnsi" w:hAnsiTheme="minorHAnsi" w:cs="Arial"/>
                <w:b/>
                <w:bCs/>
                <w:sz w:val="20"/>
              </w:rPr>
            </w:pPr>
            <w:r w:rsidRPr="00274EFD">
              <w:rPr>
                <w:rFonts w:asciiTheme="minorHAnsi" w:hAnsiTheme="minorHAnsi" w:cs="Arial"/>
                <w:b/>
                <w:bCs/>
                <w:sz w:val="20"/>
              </w:rPr>
              <w:t>255</w:t>
            </w:r>
          </w:p>
        </w:tc>
      </w:tr>
      <w:tr w:rsidR="0080644C" w:rsidRPr="00274EFD" w14:paraId="57339BB1" w14:textId="77777777" w:rsidTr="00274EFD">
        <w:trPr>
          <w:trHeight w:val="244"/>
        </w:trPr>
        <w:tc>
          <w:tcPr>
            <w:tcW w:w="2417" w:type="dxa"/>
            <w:tcBorders>
              <w:top w:val="nil"/>
              <w:left w:val="nil"/>
              <w:bottom w:val="nil"/>
              <w:right w:val="nil"/>
            </w:tcBorders>
            <w:shd w:val="clear" w:color="auto" w:fill="auto"/>
            <w:noWrap/>
            <w:vAlign w:val="bottom"/>
            <w:hideMark/>
          </w:tcPr>
          <w:p w14:paraId="794EE1F5" w14:textId="77777777" w:rsidR="0080644C" w:rsidRPr="00274EFD" w:rsidRDefault="0080644C" w:rsidP="00093F20">
            <w:pPr>
              <w:keepNext/>
              <w:keepLines/>
              <w:jc w:val="center"/>
              <w:rPr>
                <w:rFonts w:asciiTheme="minorHAnsi" w:hAnsiTheme="minorHAnsi" w:cs="Arial"/>
                <w:b/>
                <w:bCs/>
                <w:sz w:val="20"/>
              </w:rPr>
            </w:pPr>
          </w:p>
        </w:tc>
        <w:tc>
          <w:tcPr>
            <w:tcW w:w="862" w:type="dxa"/>
            <w:tcBorders>
              <w:top w:val="nil"/>
              <w:left w:val="nil"/>
              <w:bottom w:val="nil"/>
              <w:right w:val="nil"/>
            </w:tcBorders>
            <w:shd w:val="clear" w:color="000000" w:fill="FFFFFF"/>
            <w:noWrap/>
            <w:vAlign w:val="bottom"/>
            <w:hideMark/>
          </w:tcPr>
          <w:p w14:paraId="623F7448"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 </w:t>
            </w:r>
          </w:p>
        </w:tc>
        <w:tc>
          <w:tcPr>
            <w:tcW w:w="739" w:type="dxa"/>
            <w:tcBorders>
              <w:top w:val="nil"/>
              <w:left w:val="nil"/>
              <w:bottom w:val="nil"/>
              <w:right w:val="nil"/>
            </w:tcBorders>
            <w:shd w:val="clear" w:color="auto" w:fill="auto"/>
            <w:noWrap/>
            <w:vAlign w:val="bottom"/>
            <w:hideMark/>
          </w:tcPr>
          <w:p w14:paraId="375CDDE0" w14:textId="77777777" w:rsidR="0080644C" w:rsidRPr="00274EFD" w:rsidRDefault="0080644C" w:rsidP="00093F20">
            <w:pPr>
              <w:keepNext/>
              <w:keepLines/>
              <w:jc w:val="center"/>
              <w:rPr>
                <w:rFonts w:asciiTheme="minorHAnsi" w:hAnsiTheme="minorHAnsi" w:cs="Arial"/>
                <w:sz w:val="20"/>
              </w:rPr>
            </w:pPr>
          </w:p>
        </w:tc>
        <w:tc>
          <w:tcPr>
            <w:tcW w:w="739" w:type="dxa"/>
            <w:tcBorders>
              <w:top w:val="nil"/>
              <w:left w:val="nil"/>
              <w:bottom w:val="nil"/>
              <w:right w:val="nil"/>
            </w:tcBorders>
            <w:shd w:val="clear" w:color="000000" w:fill="FFFFFF"/>
            <w:noWrap/>
            <w:vAlign w:val="bottom"/>
            <w:hideMark/>
          </w:tcPr>
          <w:p w14:paraId="00B8AD8D"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 </w:t>
            </w:r>
          </w:p>
        </w:tc>
        <w:tc>
          <w:tcPr>
            <w:tcW w:w="739" w:type="dxa"/>
            <w:tcBorders>
              <w:top w:val="nil"/>
              <w:left w:val="nil"/>
              <w:bottom w:val="nil"/>
              <w:right w:val="nil"/>
            </w:tcBorders>
            <w:shd w:val="clear" w:color="000000" w:fill="FFFFFF"/>
            <w:noWrap/>
            <w:vAlign w:val="bottom"/>
            <w:hideMark/>
          </w:tcPr>
          <w:p w14:paraId="47E69F2A"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 </w:t>
            </w:r>
          </w:p>
        </w:tc>
        <w:tc>
          <w:tcPr>
            <w:tcW w:w="739" w:type="dxa"/>
            <w:tcBorders>
              <w:top w:val="nil"/>
              <w:left w:val="nil"/>
              <w:bottom w:val="nil"/>
              <w:right w:val="nil"/>
            </w:tcBorders>
            <w:shd w:val="clear" w:color="000000" w:fill="FFFFFF"/>
            <w:noWrap/>
            <w:vAlign w:val="bottom"/>
            <w:hideMark/>
          </w:tcPr>
          <w:p w14:paraId="7574D6C9"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 </w:t>
            </w:r>
          </w:p>
        </w:tc>
        <w:tc>
          <w:tcPr>
            <w:tcW w:w="739" w:type="dxa"/>
            <w:tcBorders>
              <w:top w:val="nil"/>
              <w:left w:val="nil"/>
              <w:bottom w:val="nil"/>
              <w:right w:val="nil"/>
            </w:tcBorders>
            <w:shd w:val="clear" w:color="000000" w:fill="FFFFFF"/>
            <w:noWrap/>
            <w:vAlign w:val="bottom"/>
            <w:hideMark/>
          </w:tcPr>
          <w:p w14:paraId="1E60E218"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 </w:t>
            </w:r>
          </w:p>
        </w:tc>
        <w:tc>
          <w:tcPr>
            <w:tcW w:w="739" w:type="dxa"/>
            <w:tcBorders>
              <w:top w:val="nil"/>
              <w:left w:val="nil"/>
              <w:bottom w:val="nil"/>
              <w:right w:val="nil"/>
            </w:tcBorders>
            <w:shd w:val="clear" w:color="000000" w:fill="FFFFFF"/>
            <w:noWrap/>
            <w:vAlign w:val="bottom"/>
            <w:hideMark/>
          </w:tcPr>
          <w:p w14:paraId="05CE7CFA"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 </w:t>
            </w:r>
          </w:p>
        </w:tc>
        <w:tc>
          <w:tcPr>
            <w:tcW w:w="622" w:type="dxa"/>
            <w:tcBorders>
              <w:top w:val="nil"/>
              <w:left w:val="nil"/>
              <w:bottom w:val="nil"/>
              <w:right w:val="nil"/>
            </w:tcBorders>
            <w:shd w:val="clear" w:color="000000" w:fill="FFFFFF"/>
            <w:noWrap/>
            <w:vAlign w:val="bottom"/>
            <w:hideMark/>
          </w:tcPr>
          <w:p w14:paraId="5D9D3685" w14:textId="77777777" w:rsidR="0080644C" w:rsidRPr="00274EFD" w:rsidRDefault="0080644C" w:rsidP="00093F20">
            <w:pPr>
              <w:keepNext/>
              <w:keepLines/>
              <w:jc w:val="center"/>
              <w:rPr>
                <w:rFonts w:asciiTheme="minorHAnsi" w:hAnsiTheme="minorHAnsi" w:cs="Arial"/>
                <w:sz w:val="20"/>
              </w:rPr>
            </w:pPr>
            <w:r w:rsidRPr="00274EFD">
              <w:rPr>
                <w:rFonts w:asciiTheme="minorHAnsi" w:hAnsiTheme="minorHAnsi" w:cs="Arial"/>
                <w:sz w:val="20"/>
              </w:rPr>
              <w:t> </w:t>
            </w:r>
          </w:p>
        </w:tc>
        <w:tc>
          <w:tcPr>
            <w:tcW w:w="846" w:type="dxa"/>
            <w:tcBorders>
              <w:top w:val="nil"/>
              <w:left w:val="nil"/>
              <w:bottom w:val="nil"/>
              <w:right w:val="nil"/>
            </w:tcBorders>
            <w:shd w:val="clear" w:color="000000" w:fill="FFFFFF"/>
            <w:noWrap/>
            <w:vAlign w:val="bottom"/>
            <w:hideMark/>
          </w:tcPr>
          <w:p w14:paraId="734172E4" w14:textId="77777777" w:rsidR="0080644C" w:rsidRPr="00274EFD" w:rsidRDefault="0080644C" w:rsidP="00093F20">
            <w:pPr>
              <w:keepNext/>
              <w:keepLines/>
              <w:jc w:val="center"/>
              <w:rPr>
                <w:rFonts w:asciiTheme="minorHAnsi" w:hAnsiTheme="minorHAnsi" w:cs="Arial"/>
                <w:b/>
                <w:bCs/>
                <w:sz w:val="20"/>
              </w:rPr>
            </w:pPr>
            <w:r w:rsidRPr="00274EFD">
              <w:rPr>
                <w:rFonts w:asciiTheme="minorHAnsi" w:hAnsiTheme="minorHAnsi" w:cs="Arial"/>
                <w:b/>
                <w:bCs/>
                <w:sz w:val="20"/>
              </w:rPr>
              <w:t> </w:t>
            </w:r>
          </w:p>
        </w:tc>
        <w:tc>
          <w:tcPr>
            <w:tcW w:w="739" w:type="dxa"/>
            <w:tcBorders>
              <w:top w:val="nil"/>
              <w:left w:val="nil"/>
              <w:bottom w:val="nil"/>
              <w:right w:val="nil"/>
            </w:tcBorders>
            <w:shd w:val="clear" w:color="auto" w:fill="FFFFFF" w:themeFill="background1"/>
            <w:noWrap/>
            <w:vAlign w:val="bottom"/>
            <w:hideMark/>
          </w:tcPr>
          <w:p w14:paraId="30E18838" w14:textId="77777777" w:rsidR="0080644C" w:rsidRPr="00274EFD" w:rsidRDefault="0080644C" w:rsidP="00093F20">
            <w:pPr>
              <w:keepNext/>
              <w:keepLines/>
              <w:jc w:val="center"/>
              <w:rPr>
                <w:rFonts w:asciiTheme="minorHAnsi" w:hAnsiTheme="minorHAnsi" w:cs="Arial"/>
                <w:b/>
                <w:bCs/>
                <w:sz w:val="20"/>
              </w:rPr>
            </w:pPr>
          </w:p>
        </w:tc>
      </w:tr>
      <w:tr w:rsidR="00274EFD" w:rsidRPr="00274EFD" w14:paraId="55703D17" w14:textId="77777777" w:rsidTr="00274EFD">
        <w:trPr>
          <w:trHeight w:val="244"/>
        </w:trPr>
        <w:tc>
          <w:tcPr>
            <w:tcW w:w="241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1E8BCD9" w14:textId="77777777" w:rsidR="00274EFD" w:rsidRPr="00FB48BF" w:rsidRDefault="00274EFD" w:rsidP="00093F20">
            <w:pPr>
              <w:keepNext/>
              <w:keepLines/>
              <w:spacing w:before="40" w:after="40"/>
              <w:rPr>
                <w:sz w:val="20"/>
              </w:rPr>
            </w:pPr>
            <w:r w:rsidRPr="00B34025">
              <w:rPr>
                <w:sz w:val="20"/>
              </w:rPr>
              <w:t>% de recomendaciones en preparación</w:t>
            </w:r>
          </w:p>
        </w:tc>
        <w:tc>
          <w:tcPr>
            <w:tcW w:w="862" w:type="dxa"/>
            <w:tcBorders>
              <w:top w:val="single" w:sz="8" w:space="0" w:color="auto"/>
              <w:left w:val="nil"/>
              <w:bottom w:val="single" w:sz="8" w:space="0" w:color="auto"/>
              <w:right w:val="single" w:sz="4" w:space="0" w:color="auto"/>
            </w:tcBorders>
            <w:shd w:val="clear" w:color="auto" w:fill="auto"/>
            <w:noWrap/>
            <w:vAlign w:val="bottom"/>
            <w:hideMark/>
          </w:tcPr>
          <w:p w14:paraId="08A1D216"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43055635"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3EC8FC48"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4%</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3F832581"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4%</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2542AD6B"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3%</w:t>
            </w:r>
          </w:p>
        </w:tc>
        <w:tc>
          <w:tcPr>
            <w:tcW w:w="739" w:type="dxa"/>
            <w:tcBorders>
              <w:top w:val="single" w:sz="8" w:space="0" w:color="auto"/>
              <w:left w:val="nil"/>
              <w:bottom w:val="single" w:sz="8" w:space="0" w:color="auto"/>
              <w:right w:val="single" w:sz="4" w:space="0" w:color="auto"/>
            </w:tcBorders>
            <w:shd w:val="clear" w:color="auto" w:fill="auto"/>
            <w:noWrap/>
            <w:vAlign w:val="bottom"/>
            <w:hideMark/>
          </w:tcPr>
          <w:p w14:paraId="0A039666"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36%</w:t>
            </w:r>
          </w:p>
        </w:tc>
        <w:tc>
          <w:tcPr>
            <w:tcW w:w="739" w:type="dxa"/>
            <w:tcBorders>
              <w:top w:val="single" w:sz="8" w:space="0" w:color="auto"/>
              <w:left w:val="nil"/>
              <w:bottom w:val="single" w:sz="8" w:space="0" w:color="auto"/>
              <w:right w:val="nil"/>
            </w:tcBorders>
            <w:shd w:val="clear" w:color="auto" w:fill="auto"/>
            <w:noWrap/>
            <w:vAlign w:val="bottom"/>
            <w:hideMark/>
          </w:tcPr>
          <w:p w14:paraId="46AD8731"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43%</w:t>
            </w:r>
          </w:p>
        </w:tc>
        <w:tc>
          <w:tcPr>
            <w:tcW w:w="622" w:type="dxa"/>
            <w:tcBorders>
              <w:top w:val="single" w:sz="8" w:space="0" w:color="auto"/>
              <w:left w:val="single" w:sz="4" w:space="0" w:color="auto"/>
              <w:bottom w:val="single" w:sz="8" w:space="0" w:color="auto"/>
              <w:right w:val="nil"/>
            </w:tcBorders>
            <w:shd w:val="clear" w:color="auto" w:fill="auto"/>
            <w:noWrap/>
            <w:vAlign w:val="bottom"/>
            <w:hideMark/>
          </w:tcPr>
          <w:p w14:paraId="0A284F3A"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62%</w:t>
            </w:r>
          </w:p>
        </w:tc>
        <w:tc>
          <w:tcPr>
            <w:tcW w:w="846" w:type="dxa"/>
            <w:tcBorders>
              <w:top w:val="single" w:sz="8" w:space="0" w:color="auto"/>
              <w:left w:val="single" w:sz="4" w:space="0" w:color="auto"/>
              <w:bottom w:val="single" w:sz="8" w:space="0" w:color="auto"/>
              <w:right w:val="nil"/>
            </w:tcBorders>
            <w:shd w:val="clear" w:color="auto" w:fill="auto"/>
            <w:noWrap/>
            <w:vAlign w:val="bottom"/>
            <w:hideMark/>
          </w:tcPr>
          <w:p w14:paraId="4774112D"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60%</w:t>
            </w:r>
          </w:p>
        </w:tc>
        <w:tc>
          <w:tcPr>
            <w:tcW w:w="739" w:type="dxa"/>
            <w:tcBorders>
              <w:top w:val="single" w:sz="8" w:space="0" w:color="auto"/>
              <w:left w:val="single" w:sz="4" w:space="0" w:color="auto"/>
              <w:bottom w:val="single" w:sz="8" w:space="0" w:color="auto"/>
              <w:right w:val="single" w:sz="8" w:space="0" w:color="auto"/>
            </w:tcBorders>
            <w:shd w:val="clear" w:color="auto" w:fill="A6A6A6" w:themeFill="background1" w:themeFillShade="A6"/>
            <w:noWrap/>
            <w:vAlign w:val="bottom"/>
            <w:hideMark/>
          </w:tcPr>
          <w:p w14:paraId="4AC3D286" w14:textId="77777777" w:rsidR="00274EFD" w:rsidRPr="00274EFD" w:rsidRDefault="00274EFD" w:rsidP="00093F20">
            <w:pPr>
              <w:keepNext/>
              <w:keepLines/>
              <w:jc w:val="center"/>
              <w:rPr>
                <w:rFonts w:asciiTheme="minorHAnsi" w:hAnsiTheme="minorHAnsi" w:cs="Arial"/>
                <w:b/>
                <w:bCs/>
                <w:sz w:val="20"/>
              </w:rPr>
            </w:pPr>
            <w:r w:rsidRPr="00274EFD">
              <w:rPr>
                <w:rFonts w:asciiTheme="minorHAnsi" w:hAnsiTheme="minorHAnsi" w:cs="Arial"/>
                <w:b/>
                <w:bCs/>
                <w:sz w:val="20"/>
              </w:rPr>
              <w:t>17%</w:t>
            </w:r>
          </w:p>
        </w:tc>
      </w:tr>
      <w:tr w:rsidR="00274EFD" w:rsidRPr="00274EFD" w14:paraId="2CC8CB78" w14:textId="77777777" w:rsidTr="00274EFD">
        <w:trPr>
          <w:trHeight w:val="244"/>
        </w:trPr>
        <w:tc>
          <w:tcPr>
            <w:tcW w:w="2417" w:type="dxa"/>
            <w:tcBorders>
              <w:top w:val="nil"/>
              <w:left w:val="single" w:sz="8" w:space="0" w:color="auto"/>
              <w:bottom w:val="single" w:sz="8" w:space="0" w:color="auto"/>
              <w:right w:val="single" w:sz="4" w:space="0" w:color="auto"/>
            </w:tcBorders>
            <w:shd w:val="clear" w:color="auto" w:fill="auto"/>
            <w:noWrap/>
            <w:vAlign w:val="bottom"/>
            <w:hideMark/>
          </w:tcPr>
          <w:p w14:paraId="4DE47019" w14:textId="77777777" w:rsidR="00274EFD" w:rsidRPr="00FB48BF" w:rsidRDefault="00274EFD" w:rsidP="00093F20">
            <w:pPr>
              <w:keepNext/>
              <w:keepLines/>
              <w:spacing w:before="40" w:after="40"/>
              <w:rPr>
                <w:sz w:val="20"/>
              </w:rPr>
            </w:pPr>
            <w:r w:rsidRPr="00B34025">
              <w:rPr>
                <w:sz w:val="20"/>
              </w:rPr>
              <w:t>% de recomendaciones retrasadas</w:t>
            </w:r>
          </w:p>
        </w:tc>
        <w:tc>
          <w:tcPr>
            <w:tcW w:w="862" w:type="dxa"/>
            <w:tcBorders>
              <w:top w:val="nil"/>
              <w:left w:val="nil"/>
              <w:bottom w:val="single" w:sz="8" w:space="0" w:color="auto"/>
              <w:right w:val="single" w:sz="4" w:space="0" w:color="auto"/>
            </w:tcBorders>
            <w:shd w:val="clear" w:color="auto" w:fill="auto"/>
            <w:noWrap/>
            <w:vAlign w:val="bottom"/>
            <w:hideMark/>
          </w:tcPr>
          <w:p w14:paraId="4FAD59A1"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18%</w:t>
            </w:r>
          </w:p>
        </w:tc>
        <w:tc>
          <w:tcPr>
            <w:tcW w:w="739" w:type="dxa"/>
            <w:tcBorders>
              <w:top w:val="nil"/>
              <w:left w:val="nil"/>
              <w:bottom w:val="single" w:sz="8" w:space="0" w:color="auto"/>
              <w:right w:val="single" w:sz="4" w:space="0" w:color="auto"/>
            </w:tcBorders>
            <w:shd w:val="clear" w:color="auto" w:fill="auto"/>
            <w:noWrap/>
            <w:vAlign w:val="bottom"/>
            <w:hideMark/>
          </w:tcPr>
          <w:p w14:paraId="48545A91"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w:t>
            </w:r>
          </w:p>
        </w:tc>
        <w:tc>
          <w:tcPr>
            <w:tcW w:w="739" w:type="dxa"/>
            <w:tcBorders>
              <w:top w:val="nil"/>
              <w:left w:val="nil"/>
              <w:bottom w:val="single" w:sz="8" w:space="0" w:color="auto"/>
              <w:right w:val="single" w:sz="4" w:space="0" w:color="auto"/>
            </w:tcBorders>
            <w:shd w:val="clear" w:color="000000" w:fill="FFFFFF"/>
            <w:noWrap/>
            <w:vAlign w:val="bottom"/>
            <w:hideMark/>
          </w:tcPr>
          <w:p w14:paraId="672347C9"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nil"/>
              <w:left w:val="nil"/>
              <w:bottom w:val="single" w:sz="8" w:space="0" w:color="auto"/>
              <w:right w:val="single" w:sz="4" w:space="0" w:color="auto"/>
            </w:tcBorders>
            <w:shd w:val="clear" w:color="000000" w:fill="FFFFFF"/>
            <w:noWrap/>
            <w:vAlign w:val="bottom"/>
            <w:hideMark/>
          </w:tcPr>
          <w:p w14:paraId="4F85E56D"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nil"/>
              <w:left w:val="nil"/>
              <w:bottom w:val="single" w:sz="8" w:space="0" w:color="auto"/>
              <w:right w:val="single" w:sz="4" w:space="0" w:color="auto"/>
            </w:tcBorders>
            <w:shd w:val="clear" w:color="auto" w:fill="auto"/>
            <w:noWrap/>
            <w:vAlign w:val="bottom"/>
            <w:hideMark/>
          </w:tcPr>
          <w:p w14:paraId="5EBF66A7"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nil"/>
              <w:left w:val="nil"/>
              <w:bottom w:val="single" w:sz="8" w:space="0" w:color="auto"/>
              <w:right w:val="single" w:sz="4" w:space="0" w:color="auto"/>
            </w:tcBorders>
            <w:shd w:val="clear" w:color="auto" w:fill="auto"/>
            <w:noWrap/>
            <w:vAlign w:val="bottom"/>
            <w:hideMark/>
          </w:tcPr>
          <w:p w14:paraId="6FD20F9F"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nil"/>
              <w:left w:val="nil"/>
              <w:bottom w:val="single" w:sz="8" w:space="0" w:color="auto"/>
              <w:right w:val="nil"/>
            </w:tcBorders>
            <w:shd w:val="clear" w:color="auto" w:fill="auto"/>
            <w:noWrap/>
            <w:vAlign w:val="bottom"/>
            <w:hideMark/>
          </w:tcPr>
          <w:p w14:paraId="68AE49BC"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622" w:type="dxa"/>
            <w:tcBorders>
              <w:top w:val="nil"/>
              <w:left w:val="single" w:sz="4" w:space="0" w:color="auto"/>
              <w:bottom w:val="single" w:sz="8" w:space="0" w:color="auto"/>
              <w:right w:val="nil"/>
            </w:tcBorders>
            <w:shd w:val="clear" w:color="auto" w:fill="auto"/>
            <w:noWrap/>
            <w:vAlign w:val="bottom"/>
            <w:hideMark/>
          </w:tcPr>
          <w:p w14:paraId="014F9E9F"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846" w:type="dxa"/>
            <w:tcBorders>
              <w:top w:val="nil"/>
              <w:left w:val="single" w:sz="4" w:space="0" w:color="auto"/>
              <w:bottom w:val="single" w:sz="8" w:space="0" w:color="auto"/>
              <w:right w:val="nil"/>
            </w:tcBorders>
            <w:shd w:val="clear" w:color="auto" w:fill="auto"/>
            <w:noWrap/>
            <w:vAlign w:val="bottom"/>
            <w:hideMark/>
          </w:tcPr>
          <w:p w14:paraId="6684EDC3"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0%</w:t>
            </w:r>
          </w:p>
        </w:tc>
        <w:tc>
          <w:tcPr>
            <w:tcW w:w="739" w:type="dxa"/>
            <w:tcBorders>
              <w:top w:val="nil"/>
              <w:left w:val="single" w:sz="4" w:space="0" w:color="auto"/>
              <w:bottom w:val="single" w:sz="8" w:space="0" w:color="auto"/>
              <w:right w:val="single" w:sz="8" w:space="0" w:color="auto"/>
            </w:tcBorders>
            <w:shd w:val="clear" w:color="auto" w:fill="A6A6A6" w:themeFill="background1" w:themeFillShade="A6"/>
            <w:noWrap/>
            <w:vAlign w:val="bottom"/>
            <w:hideMark/>
          </w:tcPr>
          <w:p w14:paraId="14A22DEE" w14:textId="77777777" w:rsidR="00274EFD" w:rsidRPr="00274EFD" w:rsidRDefault="00274EFD" w:rsidP="00093F20">
            <w:pPr>
              <w:keepNext/>
              <w:keepLines/>
              <w:jc w:val="center"/>
              <w:rPr>
                <w:rFonts w:asciiTheme="minorHAnsi" w:hAnsiTheme="minorHAnsi" w:cs="Arial"/>
                <w:b/>
                <w:bCs/>
                <w:sz w:val="20"/>
              </w:rPr>
            </w:pPr>
            <w:r w:rsidRPr="00274EFD">
              <w:rPr>
                <w:rFonts w:asciiTheme="minorHAnsi" w:hAnsiTheme="minorHAnsi" w:cs="Arial"/>
                <w:b/>
                <w:bCs/>
                <w:sz w:val="20"/>
              </w:rPr>
              <w:t>1%</w:t>
            </w:r>
          </w:p>
        </w:tc>
      </w:tr>
      <w:tr w:rsidR="00274EFD" w:rsidRPr="00274EFD" w14:paraId="23A3FC48" w14:textId="77777777" w:rsidTr="00274EFD">
        <w:trPr>
          <w:trHeight w:val="244"/>
        </w:trPr>
        <w:tc>
          <w:tcPr>
            <w:tcW w:w="2417" w:type="dxa"/>
            <w:tcBorders>
              <w:top w:val="nil"/>
              <w:left w:val="single" w:sz="8" w:space="0" w:color="auto"/>
              <w:bottom w:val="single" w:sz="8" w:space="0" w:color="auto"/>
              <w:right w:val="single" w:sz="4" w:space="0" w:color="auto"/>
            </w:tcBorders>
            <w:shd w:val="clear" w:color="auto" w:fill="auto"/>
            <w:noWrap/>
            <w:vAlign w:val="bottom"/>
            <w:hideMark/>
          </w:tcPr>
          <w:p w14:paraId="2E32836D" w14:textId="77777777" w:rsidR="00274EFD" w:rsidRPr="00FB48BF" w:rsidRDefault="00274EFD" w:rsidP="00093F20">
            <w:pPr>
              <w:keepNext/>
              <w:keepLines/>
              <w:spacing w:before="40" w:after="40"/>
              <w:rPr>
                <w:sz w:val="20"/>
              </w:rPr>
            </w:pPr>
            <w:r w:rsidRPr="00FB48BF">
              <w:rPr>
                <w:sz w:val="20"/>
              </w:rPr>
              <w:t xml:space="preserve">% </w:t>
            </w:r>
            <w:r w:rsidRPr="00B34025">
              <w:rPr>
                <w:sz w:val="20"/>
              </w:rPr>
              <w:t>de recomendaciones cerradas</w:t>
            </w:r>
          </w:p>
        </w:tc>
        <w:tc>
          <w:tcPr>
            <w:tcW w:w="862" w:type="dxa"/>
            <w:tcBorders>
              <w:top w:val="nil"/>
              <w:left w:val="nil"/>
              <w:bottom w:val="single" w:sz="8" w:space="0" w:color="auto"/>
              <w:right w:val="single" w:sz="4" w:space="0" w:color="auto"/>
            </w:tcBorders>
            <w:shd w:val="clear" w:color="auto" w:fill="auto"/>
            <w:noWrap/>
            <w:vAlign w:val="bottom"/>
            <w:hideMark/>
          </w:tcPr>
          <w:p w14:paraId="62E8B55A"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82%</w:t>
            </w:r>
          </w:p>
        </w:tc>
        <w:tc>
          <w:tcPr>
            <w:tcW w:w="739" w:type="dxa"/>
            <w:tcBorders>
              <w:top w:val="nil"/>
              <w:left w:val="nil"/>
              <w:bottom w:val="single" w:sz="8" w:space="0" w:color="auto"/>
              <w:right w:val="single" w:sz="4" w:space="0" w:color="auto"/>
            </w:tcBorders>
            <w:shd w:val="clear" w:color="auto" w:fill="auto"/>
            <w:noWrap/>
            <w:vAlign w:val="bottom"/>
            <w:hideMark/>
          </w:tcPr>
          <w:p w14:paraId="148225D9"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w:t>
            </w:r>
          </w:p>
        </w:tc>
        <w:tc>
          <w:tcPr>
            <w:tcW w:w="739" w:type="dxa"/>
            <w:tcBorders>
              <w:top w:val="nil"/>
              <w:left w:val="nil"/>
              <w:bottom w:val="single" w:sz="8" w:space="0" w:color="auto"/>
              <w:right w:val="single" w:sz="4" w:space="0" w:color="auto"/>
            </w:tcBorders>
            <w:shd w:val="clear" w:color="auto" w:fill="auto"/>
            <w:noWrap/>
            <w:vAlign w:val="bottom"/>
            <w:hideMark/>
          </w:tcPr>
          <w:p w14:paraId="5FF2BBBD"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96%</w:t>
            </w:r>
          </w:p>
        </w:tc>
        <w:tc>
          <w:tcPr>
            <w:tcW w:w="739" w:type="dxa"/>
            <w:tcBorders>
              <w:top w:val="nil"/>
              <w:left w:val="nil"/>
              <w:bottom w:val="single" w:sz="8" w:space="0" w:color="auto"/>
              <w:right w:val="single" w:sz="4" w:space="0" w:color="auto"/>
            </w:tcBorders>
            <w:shd w:val="clear" w:color="auto" w:fill="auto"/>
            <w:noWrap/>
            <w:vAlign w:val="bottom"/>
            <w:hideMark/>
          </w:tcPr>
          <w:p w14:paraId="7E192D8E"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96%</w:t>
            </w:r>
          </w:p>
        </w:tc>
        <w:tc>
          <w:tcPr>
            <w:tcW w:w="739" w:type="dxa"/>
            <w:tcBorders>
              <w:top w:val="nil"/>
              <w:left w:val="nil"/>
              <w:bottom w:val="single" w:sz="8" w:space="0" w:color="auto"/>
              <w:right w:val="single" w:sz="4" w:space="0" w:color="auto"/>
            </w:tcBorders>
            <w:shd w:val="clear" w:color="auto" w:fill="auto"/>
            <w:noWrap/>
            <w:vAlign w:val="bottom"/>
            <w:hideMark/>
          </w:tcPr>
          <w:p w14:paraId="26F59002"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97%</w:t>
            </w:r>
          </w:p>
        </w:tc>
        <w:tc>
          <w:tcPr>
            <w:tcW w:w="739" w:type="dxa"/>
            <w:tcBorders>
              <w:top w:val="nil"/>
              <w:left w:val="nil"/>
              <w:bottom w:val="single" w:sz="8" w:space="0" w:color="auto"/>
              <w:right w:val="single" w:sz="4" w:space="0" w:color="auto"/>
            </w:tcBorders>
            <w:shd w:val="clear" w:color="auto" w:fill="auto"/>
            <w:noWrap/>
            <w:vAlign w:val="bottom"/>
            <w:hideMark/>
          </w:tcPr>
          <w:p w14:paraId="35A25419"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64%</w:t>
            </w:r>
          </w:p>
        </w:tc>
        <w:tc>
          <w:tcPr>
            <w:tcW w:w="739" w:type="dxa"/>
            <w:tcBorders>
              <w:top w:val="nil"/>
              <w:left w:val="nil"/>
              <w:bottom w:val="single" w:sz="8" w:space="0" w:color="auto"/>
              <w:right w:val="nil"/>
            </w:tcBorders>
            <w:shd w:val="clear" w:color="auto" w:fill="auto"/>
            <w:noWrap/>
            <w:vAlign w:val="bottom"/>
            <w:hideMark/>
          </w:tcPr>
          <w:p w14:paraId="2F8125D7"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57%</w:t>
            </w:r>
          </w:p>
        </w:tc>
        <w:tc>
          <w:tcPr>
            <w:tcW w:w="622" w:type="dxa"/>
            <w:tcBorders>
              <w:top w:val="nil"/>
              <w:left w:val="single" w:sz="4" w:space="0" w:color="auto"/>
              <w:bottom w:val="single" w:sz="8" w:space="0" w:color="auto"/>
              <w:right w:val="nil"/>
            </w:tcBorders>
            <w:shd w:val="clear" w:color="auto" w:fill="auto"/>
            <w:noWrap/>
            <w:vAlign w:val="bottom"/>
            <w:hideMark/>
          </w:tcPr>
          <w:p w14:paraId="08956C05"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38%</w:t>
            </w:r>
          </w:p>
        </w:tc>
        <w:tc>
          <w:tcPr>
            <w:tcW w:w="846" w:type="dxa"/>
            <w:tcBorders>
              <w:top w:val="nil"/>
              <w:left w:val="single" w:sz="4" w:space="0" w:color="auto"/>
              <w:bottom w:val="single" w:sz="8" w:space="0" w:color="auto"/>
              <w:right w:val="nil"/>
            </w:tcBorders>
            <w:shd w:val="clear" w:color="auto" w:fill="auto"/>
            <w:noWrap/>
            <w:vAlign w:val="bottom"/>
            <w:hideMark/>
          </w:tcPr>
          <w:p w14:paraId="675DB728" w14:textId="77777777" w:rsidR="00274EFD" w:rsidRPr="00274EFD" w:rsidRDefault="00274EFD" w:rsidP="00093F20">
            <w:pPr>
              <w:keepNext/>
              <w:keepLines/>
              <w:jc w:val="center"/>
              <w:rPr>
                <w:rFonts w:asciiTheme="minorHAnsi" w:hAnsiTheme="minorHAnsi" w:cs="Arial"/>
                <w:sz w:val="20"/>
              </w:rPr>
            </w:pPr>
            <w:r w:rsidRPr="00274EFD">
              <w:rPr>
                <w:rFonts w:asciiTheme="minorHAnsi" w:hAnsiTheme="minorHAnsi" w:cs="Arial"/>
                <w:sz w:val="20"/>
              </w:rPr>
              <w:t>40%</w:t>
            </w:r>
          </w:p>
        </w:tc>
        <w:tc>
          <w:tcPr>
            <w:tcW w:w="739" w:type="dxa"/>
            <w:tcBorders>
              <w:top w:val="nil"/>
              <w:left w:val="single" w:sz="4" w:space="0" w:color="auto"/>
              <w:bottom w:val="single" w:sz="8" w:space="0" w:color="auto"/>
              <w:right w:val="single" w:sz="8" w:space="0" w:color="auto"/>
            </w:tcBorders>
            <w:shd w:val="clear" w:color="auto" w:fill="A6A6A6" w:themeFill="background1" w:themeFillShade="A6"/>
            <w:noWrap/>
            <w:vAlign w:val="bottom"/>
            <w:hideMark/>
          </w:tcPr>
          <w:p w14:paraId="11487458" w14:textId="77777777" w:rsidR="00274EFD" w:rsidRPr="00274EFD" w:rsidRDefault="00274EFD" w:rsidP="00093F20">
            <w:pPr>
              <w:keepNext/>
              <w:keepLines/>
              <w:jc w:val="center"/>
              <w:rPr>
                <w:rFonts w:asciiTheme="minorHAnsi" w:hAnsiTheme="minorHAnsi" w:cs="Arial"/>
                <w:b/>
                <w:bCs/>
                <w:sz w:val="20"/>
              </w:rPr>
            </w:pPr>
            <w:r w:rsidRPr="00274EFD">
              <w:rPr>
                <w:rFonts w:asciiTheme="minorHAnsi" w:hAnsiTheme="minorHAnsi" w:cs="Arial"/>
                <w:b/>
                <w:bCs/>
                <w:sz w:val="20"/>
              </w:rPr>
              <w:t>82%</w:t>
            </w:r>
          </w:p>
        </w:tc>
      </w:tr>
      <w:tr w:rsidR="0080644C" w:rsidRPr="00274EFD" w14:paraId="0E9A93F4" w14:textId="77777777" w:rsidTr="00274EFD">
        <w:trPr>
          <w:trHeight w:val="226"/>
        </w:trPr>
        <w:tc>
          <w:tcPr>
            <w:tcW w:w="2417" w:type="dxa"/>
            <w:tcBorders>
              <w:top w:val="nil"/>
              <w:left w:val="nil"/>
              <w:bottom w:val="nil"/>
              <w:right w:val="nil"/>
            </w:tcBorders>
            <w:shd w:val="clear" w:color="auto" w:fill="auto"/>
            <w:noWrap/>
            <w:vAlign w:val="bottom"/>
            <w:hideMark/>
          </w:tcPr>
          <w:p w14:paraId="6512255B" w14:textId="77777777" w:rsidR="0080644C" w:rsidRPr="00274EFD" w:rsidRDefault="0080644C" w:rsidP="00093F20">
            <w:pPr>
              <w:keepNext/>
              <w:keepLines/>
              <w:rPr>
                <w:rFonts w:asciiTheme="minorHAnsi" w:hAnsiTheme="minorHAnsi" w:cs="Arial"/>
                <w:sz w:val="20"/>
              </w:rPr>
            </w:pPr>
            <w:r w:rsidRPr="00274EFD">
              <w:rPr>
                <w:rFonts w:asciiTheme="minorHAnsi" w:hAnsiTheme="minorHAnsi" w:cs="Arial"/>
                <w:sz w:val="20"/>
              </w:rPr>
              <w:t>(*)</w:t>
            </w:r>
            <w:r w:rsidR="00274EFD">
              <w:rPr>
                <w:rFonts w:asciiTheme="minorHAnsi" w:hAnsiTheme="minorHAnsi" w:cs="Arial"/>
                <w:sz w:val="20"/>
              </w:rPr>
              <w:tab/>
            </w:r>
            <w:r w:rsidR="00274EFD" w:rsidRPr="00274EFD">
              <w:rPr>
                <w:rFonts w:asciiTheme="minorHAnsi" w:hAnsiTheme="minorHAnsi" w:cs="Arial"/>
                <w:sz w:val="20"/>
              </w:rPr>
              <w:t>Actualizado</w:t>
            </w:r>
          </w:p>
        </w:tc>
        <w:tc>
          <w:tcPr>
            <w:tcW w:w="862" w:type="dxa"/>
            <w:tcBorders>
              <w:top w:val="nil"/>
              <w:left w:val="nil"/>
              <w:bottom w:val="nil"/>
              <w:right w:val="nil"/>
            </w:tcBorders>
            <w:shd w:val="clear" w:color="auto" w:fill="auto"/>
            <w:noWrap/>
            <w:vAlign w:val="bottom"/>
            <w:hideMark/>
          </w:tcPr>
          <w:p w14:paraId="042FEDAD" w14:textId="77777777" w:rsidR="0080644C" w:rsidRPr="00274EFD" w:rsidRDefault="0080644C" w:rsidP="00093F20">
            <w:pPr>
              <w:keepNext/>
              <w:keepLines/>
              <w:rPr>
                <w:rFonts w:asciiTheme="minorHAnsi" w:hAnsiTheme="minorHAnsi" w:cs="Arial"/>
                <w:sz w:val="20"/>
              </w:rPr>
            </w:pPr>
          </w:p>
        </w:tc>
        <w:tc>
          <w:tcPr>
            <w:tcW w:w="739" w:type="dxa"/>
            <w:tcBorders>
              <w:top w:val="nil"/>
              <w:left w:val="nil"/>
              <w:bottom w:val="nil"/>
              <w:right w:val="nil"/>
            </w:tcBorders>
            <w:shd w:val="clear" w:color="auto" w:fill="auto"/>
            <w:noWrap/>
            <w:vAlign w:val="bottom"/>
            <w:hideMark/>
          </w:tcPr>
          <w:p w14:paraId="3DBDC29D" w14:textId="77777777" w:rsidR="0080644C" w:rsidRPr="00274EFD" w:rsidRDefault="0080644C" w:rsidP="00093F20">
            <w:pPr>
              <w:keepNext/>
              <w:keepLines/>
              <w:rPr>
                <w:rFonts w:asciiTheme="minorHAnsi" w:hAnsiTheme="minorHAnsi"/>
                <w:sz w:val="20"/>
              </w:rPr>
            </w:pPr>
          </w:p>
        </w:tc>
        <w:tc>
          <w:tcPr>
            <w:tcW w:w="739" w:type="dxa"/>
            <w:tcBorders>
              <w:top w:val="nil"/>
              <w:left w:val="nil"/>
              <w:bottom w:val="nil"/>
              <w:right w:val="nil"/>
            </w:tcBorders>
            <w:shd w:val="clear" w:color="auto" w:fill="auto"/>
            <w:noWrap/>
            <w:vAlign w:val="bottom"/>
            <w:hideMark/>
          </w:tcPr>
          <w:p w14:paraId="33DFE6CA" w14:textId="77777777" w:rsidR="0080644C" w:rsidRPr="00274EFD" w:rsidRDefault="0080644C" w:rsidP="00093F20">
            <w:pPr>
              <w:keepNext/>
              <w:keepLines/>
              <w:rPr>
                <w:rFonts w:asciiTheme="minorHAnsi" w:hAnsiTheme="minorHAnsi"/>
                <w:sz w:val="20"/>
              </w:rPr>
            </w:pPr>
          </w:p>
        </w:tc>
        <w:tc>
          <w:tcPr>
            <w:tcW w:w="739" w:type="dxa"/>
            <w:tcBorders>
              <w:top w:val="nil"/>
              <w:left w:val="nil"/>
              <w:bottom w:val="nil"/>
              <w:right w:val="nil"/>
            </w:tcBorders>
            <w:shd w:val="clear" w:color="auto" w:fill="auto"/>
            <w:noWrap/>
            <w:vAlign w:val="bottom"/>
            <w:hideMark/>
          </w:tcPr>
          <w:p w14:paraId="2FA5A07C" w14:textId="77777777" w:rsidR="0080644C" w:rsidRPr="00274EFD" w:rsidRDefault="0080644C" w:rsidP="00093F20">
            <w:pPr>
              <w:keepNext/>
              <w:keepLines/>
              <w:rPr>
                <w:rFonts w:asciiTheme="minorHAnsi" w:hAnsiTheme="minorHAnsi"/>
                <w:sz w:val="20"/>
              </w:rPr>
            </w:pPr>
          </w:p>
        </w:tc>
        <w:tc>
          <w:tcPr>
            <w:tcW w:w="739" w:type="dxa"/>
            <w:tcBorders>
              <w:top w:val="nil"/>
              <w:left w:val="nil"/>
              <w:bottom w:val="nil"/>
              <w:right w:val="nil"/>
            </w:tcBorders>
            <w:shd w:val="clear" w:color="auto" w:fill="auto"/>
            <w:noWrap/>
            <w:vAlign w:val="bottom"/>
            <w:hideMark/>
          </w:tcPr>
          <w:p w14:paraId="000A8B5E" w14:textId="77777777" w:rsidR="0080644C" w:rsidRPr="00274EFD" w:rsidRDefault="0080644C" w:rsidP="00093F20">
            <w:pPr>
              <w:keepNext/>
              <w:keepLines/>
              <w:rPr>
                <w:rFonts w:asciiTheme="minorHAnsi" w:hAnsiTheme="minorHAnsi"/>
                <w:sz w:val="20"/>
              </w:rPr>
            </w:pPr>
          </w:p>
        </w:tc>
        <w:tc>
          <w:tcPr>
            <w:tcW w:w="739" w:type="dxa"/>
            <w:tcBorders>
              <w:top w:val="nil"/>
              <w:left w:val="nil"/>
              <w:bottom w:val="nil"/>
              <w:right w:val="nil"/>
            </w:tcBorders>
            <w:shd w:val="clear" w:color="auto" w:fill="auto"/>
            <w:noWrap/>
            <w:vAlign w:val="bottom"/>
            <w:hideMark/>
          </w:tcPr>
          <w:p w14:paraId="2F915237" w14:textId="77777777" w:rsidR="0080644C" w:rsidRPr="00274EFD" w:rsidRDefault="0080644C" w:rsidP="00093F20">
            <w:pPr>
              <w:keepNext/>
              <w:keepLines/>
              <w:rPr>
                <w:rFonts w:asciiTheme="minorHAnsi" w:hAnsiTheme="minorHAnsi"/>
                <w:sz w:val="20"/>
              </w:rPr>
            </w:pPr>
          </w:p>
        </w:tc>
        <w:tc>
          <w:tcPr>
            <w:tcW w:w="739" w:type="dxa"/>
            <w:tcBorders>
              <w:top w:val="nil"/>
              <w:left w:val="nil"/>
              <w:bottom w:val="nil"/>
              <w:right w:val="nil"/>
            </w:tcBorders>
            <w:shd w:val="clear" w:color="auto" w:fill="auto"/>
            <w:noWrap/>
            <w:vAlign w:val="bottom"/>
            <w:hideMark/>
          </w:tcPr>
          <w:p w14:paraId="750BE33E" w14:textId="77777777" w:rsidR="0080644C" w:rsidRPr="00274EFD" w:rsidRDefault="0080644C" w:rsidP="00093F20">
            <w:pPr>
              <w:keepNext/>
              <w:keepLines/>
              <w:rPr>
                <w:rFonts w:asciiTheme="minorHAnsi" w:hAnsiTheme="minorHAnsi"/>
                <w:sz w:val="20"/>
              </w:rPr>
            </w:pPr>
          </w:p>
        </w:tc>
        <w:tc>
          <w:tcPr>
            <w:tcW w:w="622" w:type="dxa"/>
            <w:tcBorders>
              <w:top w:val="nil"/>
              <w:left w:val="nil"/>
              <w:bottom w:val="nil"/>
              <w:right w:val="nil"/>
            </w:tcBorders>
            <w:shd w:val="clear" w:color="auto" w:fill="auto"/>
            <w:noWrap/>
            <w:vAlign w:val="bottom"/>
            <w:hideMark/>
          </w:tcPr>
          <w:p w14:paraId="6419B224" w14:textId="77777777" w:rsidR="0080644C" w:rsidRPr="00274EFD" w:rsidRDefault="0080644C" w:rsidP="00093F20">
            <w:pPr>
              <w:keepNext/>
              <w:keepLines/>
              <w:rPr>
                <w:rFonts w:asciiTheme="minorHAnsi" w:hAnsiTheme="minorHAnsi"/>
                <w:sz w:val="20"/>
              </w:rPr>
            </w:pPr>
          </w:p>
        </w:tc>
        <w:tc>
          <w:tcPr>
            <w:tcW w:w="846" w:type="dxa"/>
            <w:tcBorders>
              <w:top w:val="nil"/>
              <w:left w:val="nil"/>
              <w:bottom w:val="nil"/>
              <w:right w:val="nil"/>
            </w:tcBorders>
            <w:shd w:val="clear" w:color="auto" w:fill="auto"/>
            <w:noWrap/>
            <w:vAlign w:val="bottom"/>
            <w:hideMark/>
          </w:tcPr>
          <w:p w14:paraId="48D3E937" w14:textId="77777777" w:rsidR="0080644C" w:rsidRPr="00274EFD" w:rsidRDefault="0080644C" w:rsidP="00093F20">
            <w:pPr>
              <w:keepNext/>
              <w:keepLines/>
              <w:rPr>
                <w:rFonts w:asciiTheme="minorHAnsi" w:hAnsiTheme="minorHAnsi"/>
                <w:sz w:val="20"/>
              </w:rPr>
            </w:pPr>
          </w:p>
        </w:tc>
        <w:tc>
          <w:tcPr>
            <w:tcW w:w="739" w:type="dxa"/>
            <w:tcBorders>
              <w:top w:val="nil"/>
              <w:left w:val="nil"/>
              <w:bottom w:val="nil"/>
              <w:right w:val="nil"/>
            </w:tcBorders>
            <w:shd w:val="clear" w:color="auto" w:fill="auto"/>
            <w:noWrap/>
            <w:vAlign w:val="bottom"/>
            <w:hideMark/>
          </w:tcPr>
          <w:p w14:paraId="04A6D088" w14:textId="77777777" w:rsidR="0080644C" w:rsidRPr="00274EFD" w:rsidRDefault="0080644C" w:rsidP="00093F20">
            <w:pPr>
              <w:keepNext/>
              <w:keepLines/>
              <w:rPr>
                <w:rFonts w:asciiTheme="minorHAnsi" w:hAnsiTheme="minorHAnsi"/>
                <w:sz w:val="20"/>
              </w:rPr>
            </w:pPr>
          </w:p>
        </w:tc>
      </w:tr>
    </w:tbl>
    <w:p w14:paraId="5B2AA100" w14:textId="2E0E6099" w:rsidR="0080644C" w:rsidRDefault="00274EFD" w:rsidP="00EB168B">
      <w:pPr>
        <w:spacing w:before="360" w:after="240"/>
      </w:pPr>
      <w:r>
        <w:t>19</w:t>
      </w:r>
      <w:r w:rsidR="0080644C">
        <w:tab/>
      </w:r>
      <w:proofErr w:type="gramStart"/>
      <w:r w:rsidR="00BA0A9F">
        <w:t>Información</w:t>
      </w:r>
      <w:proofErr w:type="gramEnd"/>
      <w:r w:rsidR="00BA0A9F" w:rsidRPr="00704F74">
        <w:t xml:space="preserve"> </w:t>
      </w:r>
      <w:r w:rsidR="0080644C" w:rsidRPr="00704F74">
        <w:t xml:space="preserve">general </w:t>
      </w:r>
      <w:r w:rsidR="0080644C">
        <w:t>sobre</w:t>
      </w:r>
      <w:r w:rsidR="0080644C" w:rsidRPr="00704F74">
        <w:t xml:space="preserve"> la importancia de las recomen</w:t>
      </w:r>
      <w:r w:rsidR="0080644C">
        <w:t>daciones en curso de formulación</w:t>
      </w:r>
      <w:r w:rsidR="0080644C" w:rsidRPr="007D0809">
        <w:t>.</w:t>
      </w:r>
    </w:p>
    <w:p w14:paraId="0D6F6108" w14:textId="77777777" w:rsidR="00274EFD" w:rsidRPr="00274EFD" w:rsidRDefault="00274EFD" w:rsidP="009752E3">
      <w:pPr>
        <w:pStyle w:val="ListParagraph"/>
        <w:adjustRightInd w:val="0"/>
        <w:snapToGrid w:val="0"/>
        <w:spacing w:after="0" w:line="240" w:lineRule="auto"/>
        <w:ind w:left="0"/>
        <w:contextualSpacing w:val="0"/>
        <w:jc w:val="center"/>
        <w:rPr>
          <w:lang w:val="es-ES"/>
        </w:rPr>
      </w:pPr>
      <w:r>
        <w:rPr>
          <w:noProof/>
          <w:lang w:val="en-US" w:eastAsia="en-US"/>
        </w:rPr>
        <w:drawing>
          <wp:inline distT="0" distB="0" distL="0" distR="0" wp14:anchorId="00BB2E5A" wp14:editId="32E8629F">
            <wp:extent cx="5029200" cy="2222500"/>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EA3631" w14:textId="77777777" w:rsidR="0080644C" w:rsidRDefault="0080644C" w:rsidP="00562563">
      <w:pPr>
        <w:spacing w:before="360"/>
        <w:jc w:val="both"/>
      </w:pPr>
      <w:r>
        <w:t>2</w:t>
      </w:r>
      <w:r w:rsidR="00274EFD">
        <w:t>0</w:t>
      </w:r>
      <w:r>
        <w:tab/>
      </w:r>
      <w:proofErr w:type="gramStart"/>
      <w:r w:rsidRPr="00390B2A">
        <w:t>Las</w:t>
      </w:r>
      <w:proofErr w:type="gramEnd"/>
      <w:r w:rsidRPr="00390B2A">
        <w:t xml:space="preserve"> recomendaciones trascendentales de 2019 se basan en la carta de gestión que la AI elaboró a raíz de la investigación del caso de fraude (véase el párrafo anterior sobre investigaciones). Se refieren principalmente a la necesidad de reforzar los controles relacionados con las actividades de adquisición, la supervisión de las oficinas regionales o de zona y los procedimientos de control con respecto a la contratación de expertos externos (en el marco de acuerdos de servicios especiales). En 2018, la recomendación trascendental guardó relación con la necesidad de publicar un manual sobre adquisiciones (a fin de fortalecer el control al respecto). Con respecto a las recomendaciones formuladas anteriormente, la dirección informó periódicamente a la AI (y al CAIG) de los avances registrados.</w:t>
      </w:r>
    </w:p>
    <w:p w14:paraId="282DB7D0" w14:textId="77777777" w:rsidR="0080644C" w:rsidRPr="007D0809" w:rsidRDefault="0080644C" w:rsidP="00EB168B">
      <w:pPr>
        <w:pStyle w:val="Heading1"/>
        <w:jc w:val="both"/>
      </w:pPr>
      <w:r w:rsidRPr="007D0809">
        <w:lastRenderedPageBreak/>
        <w:t>Aspectos relacionados con la metodología de la auditoría</w:t>
      </w:r>
    </w:p>
    <w:p w14:paraId="0909B5ED" w14:textId="621C6A16" w:rsidR="00EE0904" w:rsidRPr="0036768D" w:rsidRDefault="00EE0904" w:rsidP="00EB168B">
      <w:pPr>
        <w:keepLines/>
        <w:jc w:val="both"/>
        <w:rPr>
          <w:lang w:val="es-ES"/>
        </w:rPr>
      </w:pPr>
      <w:r w:rsidRPr="0036768D">
        <w:rPr>
          <w:lang w:val="es-ES"/>
        </w:rPr>
        <w:t>21</w:t>
      </w:r>
      <w:r w:rsidRPr="0036768D">
        <w:rPr>
          <w:lang w:val="es-ES"/>
        </w:rPr>
        <w:tab/>
      </w:r>
      <w:proofErr w:type="gramStart"/>
      <w:r>
        <w:rPr>
          <w:lang w:val="es-ES"/>
        </w:rPr>
        <w:t>Según</w:t>
      </w:r>
      <w:proofErr w:type="gramEnd"/>
      <w:r>
        <w:rPr>
          <w:lang w:val="es-ES"/>
        </w:rPr>
        <w:t xml:space="preserve"> lo requerido por el Instituto de Auditores Internos, debería procederse a una evaluación de la calidad al menos una vez cada cinco años y, por consiguiente, la UIT encargó un Examen de Evaluación de la Calidad (</w:t>
      </w:r>
      <w:proofErr w:type="spellStart"/>
      <w:r w:rsidRPr="0036768D">
        <w:rPr>
          <w:i/>
          <w:iCs/>
          <w:lang w:val="es-ES"/>
        </w:rPr>
        <w:t>Quality</w:t>
      </w:r>
      <w:proofErr w:type="spellEnd"/>
      <w:r w:rsidRPr="0036768D">
        <w:rPr>
          <w:i/>
          <w:iCs/>
          <w:lang w:val="es-ES"/>
        </w:rPr>
        <w:t xml:space="preserve"> </w:t>
      </w:r>
      <w:proofErr w:type="spellStart"/>
      <w:r w:rsidRPr="0036768D">
        <w:rPr>
          <w:i/>
          <w:iCs/>
          <w:lang w:val="es-ES"/>
        </w:rPr>
        <w:t>Assessment</w:t>
      </w:r>
      <w:proofErr w:type="spellEnd"/>
      <w:r w:rsidRPr="0036768D">
        <w:rPr>
          <w:i/>
          <w:iCs/>
          <w:lang w:val="es-ES"/>
        </w:rPr>
        <w:t xml:space="preserve"> </w:t>
      </w:r>
      <w:proofErr w:type="spellStart"/>
      <w:r w:rsidRPr="0036768D">
        <w:rPr>
          <w:i/>
          <w:iCs/>
          <w:lang w:val="es-ES"/>
        </w:rPr>
        <w:t>Review</w:t>
      </w:r>
      <w:proofErr w:type="spellEnd"/>
      <w:r w:rsidRPr="0036768D">
        <w:rPr>
          <w:lang w:val="es-ES"/>
        </w:rPr>
        <w:t xml:space="preserve"> </w:t>
      </w:r>
      <w:r>
        <w:rPr>
          <w:lang w:val="es-ES"/>
        </w:rPr>
        <w:t xml:space="preserve">– </w:t>
      </w:r>
      <w:r w:rsidRPr="0036768D">
        <w:rPr>
          <w:lang w:val="es-ES"/>
        </w:rPr>
        <w:t>QAR)</w:t>
      </w:r>
      <w:r>
        <w:rPr>
          <w:lang w:val="es-ES"/>
        </w:rPr>
        <w:t xml:space="preserve"> que había de llevarse a cabo en febrero de 2020. Tras un ejercicio de licitación, la UIT contrató a un </w:t>
      </w:r>
      <w:r w:rsidR="002829BA">
        <w:rPr>
          <w:lang w:val="es-ES"/>
        </w:rPr>
        <w:t xml:space="preserve">Expresidente </w:t>
      </w:r>
      <w:r>
        <w:rPr>
          <w:lang w:val="es-ES"/>
        </w:rPr>
        <w:t xml:space="preserve">del IIA Mundial para que realizara el QAR. El asesor ha podido confirmar que la función de </w:t>
      </w:r>
      <w:r w:rsidR="002829BA">
        <w:rPr>
          <w:lang w:val="es-ES"/>
        </w:rPr>
        <w:t xml:space="preserve">Auditoría Interna </w:t>
      </w:r>
      <w:r>
        <w:rPr>
          <w:lang w:val="es-ES"/>
        </w:rPr>
        <w:t xml:space="preserve">de la UIT se ajusta en términos generales a las normas y el </w:t>
      </w:r>
      <w:r w:rsidR="002829BA">
        <w:rPr>
          <w:lang w:val="es-ES"/>
        </w:rPr>
        <w:t>Código Ético</w:t>
      </w:r>
      <w:r>
        <w:rPr>
          <w:lang w:val="es-ES"/>
        </w:rPr>
        <w:t>.</w:t>
      </w:r>
      <w:r w:rsidRPr="0036768D">
        <w:rPr>
          <w:lang w:val="es-ES"/>
        </w:rPr>
        <w:t xml:space="preserve"> </w:t>
      </w:r>
    </w:p>
    <w:p w14:paraId="24AAC967" w14:textId="0B93CAB2" w:rsidR="0080644C" w:rsidRDefault="00093F20" w:rsidP="00EB168B">
      <w:pPr>
        <w:spacing w:before="840"/>
        <w:jc w:val="center"/>
      </w:pPr>
      <w:r>
        <w:t>______________</w:t>
      </w:r>
    </w:p>
    <w:sectPr w:rsidR="0080644C" w:rsidSect="006710F6">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97ACC" w14:textId="77777777" w:rsidR="00621EAE" w:rsidRDefault="00621EAE">
      <w:r>
        <w:separator/>
      </w:r>
    </w:p>
  </w:endnote>
  <w:endnote w:type="continuationSeparator" w:id="0">
    <w:p w14:paraId="132E52EC" w14:textId="77777777" w:rsidR="00621EAE" w:rsidRDefault="0062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BFF8B" w14:textId="70EEB966" w:rsidR="00444FBE" w:rsidRPr="00EB168B" w:rsidRDefault="006A24C4" w:rsidP="00DA2F43">
    <w:pPr>
      <w:pStyle w:val="Footer"/>
      <w:rPr>
        <w:color w:val="D9D9D9" w:themeColor="background1" w:themeShade="D9"/>
        <w:lang w:val="fr-CH"/>
      </w:rPr>
    </w:pPr>
    <w:r w:rsidRPr="00EB168B">
      <w:rPr>
        <w:color w:val="D9D9D9" w:themeColor="background1" w:themeShade="D9"/>
      </w:rPr>
      <w:fldChar w:fldCharType="begin"/>
    </w:r>
    <w:r w:rsidRPr="00EB168B">
      <w:rPr>
        <w:color w:val="D9D9D9" w:themeColor="background1" w:themeShade="D9"/>
        <w:lang w:val="fr-CH"/>
      </w:rPr>
      <w:instrText xml:space="preserve"> FILENAME \p  \* MERGEFORMAT </w:instrText>
    </w:r>
    <w:r w:rsidRPr="00EB168B">
      <w:rPr>
        <w:color w:val="D9D9D9" w:themeColor="background1" w:themeShade="D9"/>
      </w:rPr>
      <w:fldChar w:fldCharType="separate"/>
    </w:r>
    <w:r w:rsidR="00DA2F43" w:rsidRPr="00EB168B">
      <w:rPr>
        <w:color w:val="D9D9D9" w:themeColor="background1" w:themeShade="D9"/>
        <w:lang w:val="fr-CH"/>
      </w:rPr>
      <w:t>P:\ESP\SG\CONSEIL\C20\000\044S.docx</w:t>
    </w:r>
    <w:r w:rsidRPr="00EB168B">
      <w:rPr>
        <w:color w:val="D9D9D9" w:themeColor="background1" w:themeShade="D9"/>
      </w:rPr>
      <w:fldChar w:fldCharType="end"/>
    </w:r>
    <w:r w:rsidR="00DA2F43" w:rsidRPr="00EB168B">
      <w:rPr>
        <w:color w:val="D9D9D9" w:themeColor="background1" w:themeShade="D9"/>
        <w:lang w:val="fr-CH"/>
      </w:rPr>
      <w:t xml:space="preserve"> (467354)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1C5A2"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189C3" w14:textId="77777777" w:rsidR="00621EAE" w:rsidRDefault="00621EAE">
      <w:r>
        <w:t>____________________</w:t>
      </w:r>
    </w:p>
  </w:footnote>
  <w:footnote w:type="continuationSeparator" w:id="0">
    <w:p w14:paraId="73E67A55" w14:textId="77777777" w:rsidR="00621EAE" w:rsidRDefault="00621EAE">
      <w:r>
        <w:continuationSeparator/>
      </w:r>
    </w:p>
  </w:footnote>
  <w:footnote w:id="1">
    <w:p w14:paraId="55790B8A" w14:textId="77777777" w:rsidR="00EE0904" w:rsidRPr="001E6C6F" w:rsidRDefault="00EE0904" w:rsidP="00EE0904">
      <w:pPr>
        <w:pStyle w:val="FootnoteText"/>
        <w:rPr>
          <w:szCs w:val="24"/>
        </w:rPr>
      </w:pPr>
      <w:r w:rsidRPr="0083332A">
        <w:rPr>
          <w:rStyle w:val="FootnoteReference"/>
        </w:rPr>
        <w:footnoteRef/>
      </w:r>
      <w:r w:rsidRPr="005A36AF">
        <w:tab/>
      </w:r>
      <w:r w:rsidRPr="00EB168B">
        <w:rPr>
          <w:sz w:val="20"/>
        </w:rPr>
        <w:t>Nota de servicio 13/09 promulgada por el Secretario General el 27 de junio de 2013.</w:t>
      </w:r>
    </w:p>
  </w:footnote>
  <w:footnote w:id="2">
    <w:p w14:paraId="1FBCA0F9" w14:textId="77777777" w:rsidR="00EE0904" w:rsidRPr="001E6C6F" w:rsidRDefault="00EE0904" w:rsidP="00EB168B">
      <w:pPr>
        <w:pStyle w:val="FootnoteText"/>
        <w:spacing w:before="40"/>
        <w:rPr>
          <w:szCs w:val="24"/>
        </w:rPr>
      </w:pPr>
      <w:r w:rsidRPr="005A36AF">
        <w:rPr>
          <w:rStyle w:val="FootnoteReference"/>
        </w:rPr>
        <w:footnoteRef/>
      </w:r>
      <w:r w:rsidRPr="005A36AF">
        <w:tab/>
      </w:r>
      <w:r w:rsidRPr="00EB168B">
        <w:rPr>
          <w:sz w:val="20"/>
        </w:rPr>
        <w:t xml:space="preserve">Instituto de Auditores Internos, </w:t>
      </w:r>
      <w:hyperlink r:id="rId1" w:history="1">
        <w:r w:rsidRPr="00EB168B">
          <w:rPr>
            <w:rStyle w:val="Hyperlink"/>
            <w:sz w:val="20"/>
          </w:rPr>
          <w:t>www.theiia.org</w:t>
        </w:r>
      </w:hyperlink>
      <w:r w:rsidRPr="00EB168B">
        <w:rPr>
          <w:sz w:val="20"/>
        </w:rPr>
        <w:t>.</w:t>
      </w:r>
    </w:p>
  </w:footnote>
  <w:footnote w:id="3">
    <w:p w14:paraId="22784341" w14:textId="77777777" w:rsidR="00EE0904" w:rsidRPr="005A36AF" w:rsidRDefault="00EE0904" w:rsidP="00EB168B">
      <w:pPr>
        <w:pStyle w:val="FootnoteText"/>
        <w:spacing w:before="40"/>
      </w:pPr>
      <w:r w:rsidRPr="005A36AF">
        <w:rPr>
          <w:rStyle w:val="FootnoteReference"/>
        </w:rPr>
        <w:footnoteRef/>
      </w:r>
      <w:r w:rsidRPr="005A36AF">
        <w:tab/>
      </w:r>
      <w:r w:rsidRPr="00EB168B">
        <w:rPr>
          <w:sz w:val="20"/>
        </w:rPr>
        <w:t>Nota de servicio 13/09, promulgada por el Secretario General el 27 de junio de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CEF80" w14:textId="12F91CCB" w:rsidR="00760F1C" w:rsidRDefault="000B7C15" w:rsidP="007657F0">
    <w:pPr>
      <w:pStyle w:val="Header"/>
    </w:pPr>
    <w:r>
      <w:fldChar w:fldCharType="begin"/>
    </w:r>
    <w:r>
      <w:instrText>PAGE</w:instrText>
    </w:r>
    <w:r>
      <w:fldChar w:fldCharType="separate"/>
    </w:r>
    <w:r w:rsidR="002829BA">
      <w:rPr>
        <w:noProof/>
      </w:rPr>
      <w:t>7</w:t>
    </w:r>
    <w:r>
      <w:rPr>
        <w:noProof/>
      </w:rPr>
      <w:fldChar w:fldCharType="end"/>
    </w:r>
  </w:p>
  <w:p w14:paraId="013CA8FE" w14:textId="77777777" w:rsidR="00760F1C" w:rsidRDefault="00760F1C" w:rsidP="00C2727F">
    <w:pPr>
      <w:pStyle w:val="Header"/>
    </w:pPr>
    <w:r>
      <w:t>C</w:t>
    </w:r>
    <w:r w:rsidR="007955DA">
      <w:t>20</w:t>
    </w:r>
    <w:r>
      <w:t>/</w:t>
    </w:r>
    <w:r w:rsidR="0080644C">
      <w:t>44</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D6F0B"/>
    <w:multiLevelType w:val="hybridMultilevel"/>
    <w:tmpl w:val="982C54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C314B"/>
    <w:multiLevelType w:val="hybridMultilevel"/>
    <w:tmpl w:val="A27E4584"/>
    <w:lvl w:ilvl="0" w:tplc="6A92C332">
      <w:start w:val="1"/>
      <w:numFmt w:val="decimal"/>
      <w:lvlText w:val="%1."/>
      <w:lvlJc w:val="left"/>
      <w:pPr>
        <w:ind w:left="502" w:hanging="360"/>
      </w:pPr>
      <w:rPr>
        <w:rFonts w:asciiTheme="minorHAnsi" w:hAnsiTheme="minorHAnsi"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s-ES" w:vendorID="64" w:dllVersion="6" w:nlCheck="1" w:checkStyle="0"/>
  <w:activeWritingStyle w:appName="MSWord" w:lang="es-ES_tradnl" w:vendorID="64" w:dllVersion="6" w:nlCheck="1" w:checkStyle="0"/>
  <w:activeWritingStyle w:appName="MSWord" w:lang="fr-CH"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AE"/>
    <w:rsid w:val="00093EEB"/>
    <w:rsid w:val="00093F20"/>
    <w:rsid w:val="000B0D00"/>
    <w:rsid w:val="000B7C15"/>
    <w:rsid w:val="000D1D0F"/>
    <w:rsid w:val="000F5290"/>
    <w:rsid w:val="0010165C"/>
    <w:rsid w:val="00146BFB"/>
    <w:rsid w:val="001C7E72"/>
    <w:rsid w:val="001F14A2"/>
    <w:rsid w:val="00201978"/>
    <w:rsid w:val="00274EFD"/>
    <w:rsid w:val="002801AA"/>
    <w:rsid w:val="002829BA"/>
    <w:rsid w:val="002C4676"/>
    <w:rsid w:val="002C70B0"/>
    <w:rsid w:val="002F3CC4"/>
    <w:rsid w:val="00444FBE"/>
    <w:rsid w:val="00513630"/>
    <w:rsid w:val="00560125"/>
    <w:rsid w:val="00562563"/>
    <w:rsid w:val="00585553"/>
    <w:rsid w:val="005B34D9"/>
    <w:rsid w:val="005D0CCF"/>
    <w:rsid w:val="005F3BCB"/>
    <w:rsid w:val="005F410F"/>
    <w:rsid w:val="0060149A"/>
    <w:rsid w:val="00601924"/>
    <w:rsid w:val="00621EAE"/>
    <w:rsid w:val="006447EA"/>
    <w:rsid w:val="0064731F"/>
    <w:rsid w:val="00664572"/>
    <w:rsid w:val="006710F6"/>
    <w:rsid w:val="006A24C4"/>
    <w:rsid w:val="006C1B56"/>
    <w:rsid w:val="006D4761"/>
    <w:rsid w:val="00726872"/>
    <w:rsid w:val="00760F1C"/>
    <w:rsid w:val="007657F0"/>
    <w:rsid w:val="0077252D"/>
    <w:rsid w:val="007955DA"/>
    <w:rsid w:val="007E5DD3"/>
    <w:rsid w:val="007F350B"/>
    <w:rsid w:val="0080644C"/>
    <w:rsid w:val="00820BE4"/>
    <w:rsid w:val="008451E8"/>
    <w:rsid w:val="0087456A"/>
    <w:rsid w:val="00913B9C"/>
    <w:rsid w:val="00956E77"/>
    <w:rsid w:val="009752E3"/>
    <w:rsid w:val="009A5083"/>
    <w:rsid w:val="009B4797"/>
    <w:rsid w:val="009F4811"/>
    <w:rsid w:val="00AA390C"/>
    <w:rsid w:val="00B0200A"/>
    <w:rsid w:val="00B574DB"/>
    <w:rsid w:val="00B826C2"/>
    <w:rsid w:val="00B8298E"/>
    <w:rsid w:val="00B870B4"/>
    <w:rsid w:val="00BA0A9F"/>
    <w:rsid w:val="00BD0723"/>
    <w:rsid w:val="00BD2518"/>
    <w:rsid w:val="00BF1D1C"/>
    <w:rsid w:val="00C20C59"/>
    <w:rsid w:val="00C2727F"/>
    <w:rsid w:val="00C55B1F"/>
    <w:rsid w:val="00C65928"/>
    <w:rsid w:val="00CF1A67"/>
    <w:rsid w:val="00D2750E"/>
    <w:rsid w:val="00D62446"/>
    <w:rsid w:val="00DA2F43"/>
    <w:rsid w:val="00DA4EA2"/>
    <w:rsid w:val="00DC3D3E"/>
    <w:rsid w:val="00DE2C90"/>
    <w:rsid w:val="00DE3B24"/>
    <w:rsid w:val="00E06947"/>
    <w:rsid w:val="00E3592D"/>
    <w:rsid w:val="00E92DE8"/>
    <w:rsid w:val="00EB1212"/>
    <w:rsid w:val="00EB168B"/>
    <w:rsid w:val="00ED65AB"/>
    <w:rsid w:val="00EE0904"/>
    <w:rsid w:val="00EF0E65"/>
    <w:rsid w:val="00F03A11"/>
    <w:rsid w:val="00F12850"/>
    <w:rsid w:val="00F33BF4"/>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97D9F9"/>
  <w15:docId w15:val="{A6B42FAD-44E7-4228-BEDD-1DC5986C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
    <w:basedOn w:val="DefaultParagraphFont"/>
    <w:uiPriority w:val="99"/>
    <w:rsid w:val="000B0D00"/>
    <w:rPr>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link w:val="FootnoteText"/>
    <w:rsid w:val="0080644C"/>
    <w:rPr>
      <w:rFonts w:ascii="Calibri" w:hAnsi="Calibri"/>
      <w:sz w:val="24"/>
      <w:lang w:val="es-ES_tradnl" w:eastAsia="en-US"/>
    </w:rPr>
  </w:style>
  <w:style w:type="paragraph" w:styleId="ListParagraph">
    <w:name w:val="List Paragraph"/>
    <w:aliases w:val="List Paragraph (numbered (a)),WB Para,List Paragraph1,Bullets,Lapis Bulleted List,Dot pt,F5 List Paragraph,No Spacing1,List Paragraph Char Char Char,Indicator Text,Numbered Para 1,Bullet 1,List Paragraph12,Bullet Points,MAIN CONTENT,L"/>
    <w:basedOn w:val="Normal"/>
    <w:link w:val="ListParagraphChar"/>
    <w:uiPriority w:val="34"/>
    <w:qFormat/>
    <w:rsid w:val="0080644C"/>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200" w:line="276" w:lineRule="auto"/>
      <w:ind w:left="720"/>
      <w:contextualSpacing/>
      <w:textAlignment w:val="auto"/>
    </w:pPr>
    <w:rPr>
      <w:rFonts w:ascii="Times New Roman" w:eastAsiaTheme="minorEastAsia" w:hAnsi="Times New Roman" w:cstheme="minorBidi"/>
      <w:sz w:val="22"/>
      <w:szCs w:val="22"/>
      <w:lang w:val="fr-CH" w:eastAsia="zh-CN"/>
    </w:rPr>
  </w:style>
  <w:style w:type="paragraph" w:customStyle="1" w:styleId="Default">
    <w:name w:val="Default"/>
    <w:rsid w:val="0080644C"/>
    <w:pPr>
      <w:autoSpaceDE w:val="0"/>
      <w:autoSpaceDN w:val="0"/>
      <w:adjustRightInd w:val="0"/>
    </w:pPr>
    <w:rPr>
      <w:rFonts w:ascii="Calibri" w:hAnsi="Calibri" w:cs="Calibri"/>
      <w:color w:val="000000"/>
      <w:sz w:val="24"/>
      <w:szCs w:val="24"/>
    </w:rPr>
  </w:style>
  <w:style w:type="character" w:customStyle="1" w:styleId="ListParagraphChar">
    <w:name w:val="List Paragraph Char"/>
    <w:aliases w:val="List Paragraph (numbered (a)) Char,WB Para Char,List Paragraph1 Char,Bullets Char,Lapis Bulleted List Char,Dot pt Char,F5 List Paragraph Char,No Spacing1 Char,List Paragraph Char Char Char Char,Indicator Text Char,Bullet 1 Char"/>
    <w:basedOn w:val="DefaultParagraphFont"/>
    <w:link w:val="ListParagraph"/>
    <w:uiPriority w:val="34"/>
    <w:locked/>
    <w:rsid w:val="0080644C"/>
    <w:rPr>
      <w:rFonts w:ascii="Times New Roman" w:eastAsiaTheme="minorEastAsia" w:hAnsi="Times New Roman" w:cstheme="minorBidi"/>
      <w:sz w:val="22"/>
      <w:szCs w:val="22"/>
      <w:lang w:val="fr-CH"/>
    </w:rPr>
  </w:style>
  <w:style w:type="paragraph" w:styleId="BalloonText">
    <w:name w:val="Balloon Text"/>
    <w:basedOn w:val="Normal"/>
    <w:link w:val="BalloonTextChar"/>
    <w:semiHidden/>
    <w:unhideWhenUsed/>
    <w:rsid w:val="0020197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1978"/>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en/council/Documents/Financial-Regulations/S-GEN-REG_RGTFIN-2018-PDF-S.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ii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C20.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blue\dfs\sgo\INT_AUDIT\7.%20Internal%20Audits\Previous%20Follow-up%20registers\Internal%20audits%20-%20Follow-up%20register%20October%2020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00" b="0" i="0" u="none" strike="noStrike" baseline="0">
                <a:solidFill>
                  <a:srgbClr val="000000"/>
                </a:solidFill>
                <a:latin typeface="Calibri"/>
                <a:ea typeface="Calibri"/>
                <a:cs typeface="Calibri"/>
              </a:defRPr>
            </a:pPr>
            <a:r>
              <a:rPr lang="en-US" sz="1400" b="0" i="0" u="none" strike="noStrike" baseline="0">
                <a:solidFill>
                  <a:srgbClr val="333333"/>
                </a:solidFill>
                <a:latin typeface="Calibri"/>
              </a:rPr>
              <a:t>Nivel de importancia de las recomendaciones </a:t>
            </a:r>
            <a:br>
              <a:rPr lang="en-US" sz="1400" b="0" i="0" u="none" strike="noStrike" baseline="0">
                <a:solidFill>
                  <a:srgbClr val="333333"/>
                </a:solidFill>
                <a:latin typeface="Calibri"/>
              </a:rPr>
            </a:br>
            <a:r>
              <a:rPr lang="en-US" sz="1400" b="0" i="0" u="none" strike="noStrike" baseline="0">
                <a:solidFill>
                  <a:srgbClr val="333333"/>
                </a:solidFill>
                <a:latin typeface="Calibri"/>
              </a:rPr>
              <a:t>en curso/tardías</a:t>
            </a:r>
          </a:p>
        </c:rich>
      </c:tx>
      <c:layout>
        <c:manualLayout>
          <c:xMode val="edge"/>
          <c:yMode val="edge"/>
          <c:x val="0.13287878787878787"/>
          <c:y val="2.4524184476940384E-2"/>
        </c:manualLayout>
      </c:layout>
      <c:overlay val="0"/>
      <c:spPr>
        <a:noFill/>
        <a:ln w="25400">
          <a:noFill/>
        </a:ln>
      </c:spPr>
    </c:title>
    <c:autoTitleDeleted val="0"/>
    <c:plotArea>
      <c:layout>
        <c:manualLayout>
          <c:layoutTarget val="inner"/>
          <c:xMode val="edge"/>
          <c:yMode val="edge"/>
          <c:x val="6.6580927384076991E-2"/>
          <c:y val="0.23694444444444446"/>
          <c:w val="0.90286351706036749"/>
          <c:h val="0.5358639545056868"/>
        </c:manualLayout>
      </c:layout>
      <c:barChart>
        <c:barDir val="col"/>
        <c:grouping val="clustered"/>
        <c:varyColors val="0"/>
        <c:ser>
          <c:idx val="0"/>
          <c:order val="0"/>
          <c:tx>
            <c:strRef>
              <c:f>'[Internal audits - Follow-up register October 2019.xls]Statistics'!$O$38</c:f>
              <c:strCache>
                <c:ptCount val="1"/>
                <c:pt idx="0">
                  <c:v>Critical</c:v>
                </c:pt>
              </c:strCache>
            </c:strRef>
          </c:tx>
          <c:spPr>
            <a:solidFill>
              <a:srgbClr val="FF0000"/>
            </a:solidFill>
            <a:ln w="25400">
              <a:noFill/>
            </a:ln>
          </c:spPr>
          <c:invertIfNegative val="0"/>
          <c:cat>
            <c:numRef>
              <c:f>'[Internal audits - Follow-up register October 2019.xls]Statistics'!$N$39:$N$47</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'[Internal audits - Follow-up register October 2019.xls]Statistics'!$O$39:$O$47</c:f>
              <c:numCache>
                <c:formatCode>General</c:formatCode>
                <c:ptCount val="9"/>
                <c:pt idx="4">
                  <c:v>0</c:v>
                </c:pt>
                <c:pt idx="7">
                  <c:v>0</c:v>
                </c:pt>
                <c:pt idx="8">
                  <c:v>2</c:v>
                </c:pt>
              </c:numCache>
            </c:numRef>
          </c:val>
          <c:extLst>
            <c:ext xmlns:c16="http://schemas.microsoft.com/office/drawing/2014/chart" uri="{C3380CC4-5D6E-409C-BE32-E72D297353CC}">
              <c16:uniqueId val="{00000000-9C38-4E19-9BCE-F8D4156F417D}"/>
            </c:ext>
          </c:extLst>
        </c:ser>
        <c:ser>
          <c:idx val="1"/>
          <c:order val="1"/>
          <c:tx>
            <c:strRef>
              <c:f>'[Internal audits - Follow-up register October 2019.xls]Statistics'!$P$38</c:f>
              <c:strCache>
                <c:ptCount val="1"/>
                <c:pt idx="0">
                  <c:v>High </c:v>
                </c:pt>
              </c:strCache>
            </c:strRef>
          </c:tx>
          <c:spPr>
            <a:solidFill>
              <a:srgbClr val="FFC000"/>
            </a:solidFill>
            <a:ln w="25400">
              <a:noFill/>
            </a:ln>
          </c:spPr>
          <c:invertIfNegative val="0"/>
          <c:cat>
            <c:numRef>
              <c:f>'[Internal audits - Follow-up register October 2019.xls]Statistics'!$N$39:$N$47</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'[Internal audits - Follow-up register October 2019.xls]Statistics'!$P$39:$P$47</c:f>
              <c:numCache>
                <c:formatCode>General</c:formatCode>
                <c:ptCount val="9"/>
                <c:pt idx="0">
                  <c:v>0</c:v>
                </c:pt>
                <c:pt idx="2">
                  <c:v>2</c:v>
                </c:pt>
                <c:pt idx="3">
                  <c:v>2</c:v>
                </c:pt>
                <c:pt idx="4">
                  <c:v>0</c:v>
                </c:pt>
                <c:pt idx="5">
                  <c:v>6</c:v>
                </c:pt>
                <c:pt idx="6">
                  <c:v>6</c:v>
                </c:pt>
                <c:pt idx="7">
                  <c:v>7</c:v>
                </c:pt>
                <c:pt idx="8">
                  <c:v>5</c:v>
                </c:pt>
              </c:numCache>
            </c:numRef>
          </c:val>
          <c:extLst>
            <c:ext xmlns:c16="http://schemas.microsoft.com/office/drawing/2014/chart" uri="{C3380CC4-5D6E-409C-BE32-E72D297353CC}">
              <c16:uniqueId val="{00000001-9C38-4E19-9BCE-F8D4156F417D}"/>
            </c:ext>
          </c:extLst>
        </c:ser>
        <c:ser>
          <c:idx val="2"/>
          <c:order val="2"/>
          <c:tx>
            <c:strRef>
              <c:f>'[Internal audits - Follow-up register October 2019.xls]Statistics'!$Q$38</c:f>
              <c:strCache>
                <c:ptCount val="1"/>
                <c:pt idx="0">
                  <c:v>Medium</c:v>
                </c:pt>
              </c:strCache>
            </c:strRef>
          </c:tx>
          <c:spPr>
            <a:solidFill>
              <a:srgbClr val="FFFF00"/>
            </a:solidFill>
            <a:ln w="25400">
              <a:noFill/>
            </a:ln>
          </c:spPr>
          <c:invertIfNegative val="0"/>
          <c:cat>
            <c:numRef>
              <c:f>'[Internal audits - Follow-up register October 2019.xls]Statistics'!$N$39:$N$47</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'[Internal audits - Follow-up register October 2019.xls]Statistics'!$Q$39:$Q$47</c:f>
              <c:numCache>
                <c:formatCode>General</c:formatCode>
                <c:ptCount val="9"/>
                <c:pt idx="0">
                  <c:v>2</c:v>
                </c:pt>
                <c:pt idx="2">
                  <c:v>3</c:v>
                </c:pt>
                <c:pt idx="3">
                  <c:v>0</c:v>
                </c:pt>
                <c:pt idx="4">
                  <c:v>1</c:v>
                </c:pt>
                <c:pt idx="5">
                  <c:v>2</c:v>
                </c:pt>
                <c:pt idx="6">
                  <c:v>7</c:v>
                </c:pt>
                <c:pt idx="7">
                  <c:v>7</c:v>
                </c:pt>
                <c:pt idx="8">
                  <c:v>2</c:v>
                </c:pt>
              </c:numCache>
            </c:numRef>
          </c:val>
          <c:extLst>
            <c:ext xmlns:c16="http://schemas.microsoft.com/office/drawing/2014/chart" uri="{C3380CC4-5D6E-409C-BE32-E72D297353CC}">
              <c16:uniqueId val="{00000002-9C38-4E19-9BCE-F8D4156F417D}"/>
            </c:ext>
          </c:extLst>
        </c:ser>
        <c:ser>
          <c:idx val="3"/>
          <c:order val="3"/>
          <c:tx>
            <c:strRef>
              <c:f>'[Internal audits - Follow-up register October 2019.xls]Statistics'!$R$38</c:f>
              <c:strCache>
                <c:ptCount val="1"/>
                <c:pt idx="0">
                  <c:v>Low</c:v>
                </c:pt>
              </c:strCache>
            </c:strRef>
          </c:tx>
          <c:spPr>
            <a:solidFill>
              <a:srgbClr val="00B050"/>
            </a:solidFill>
            <a:ln w="25400">
              <a:noFill/>
            </a:ln>
          </c:spPr>
          <c:invertIfNegative val="0"/>
          <c:cat>
            <c:numRef>
              <c:f>'[Internal audits - Follow-up register October 2019.xls]Statistics'!$N$39:$N$47</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'[Internal audits - Follow-up register October 2019.xls]Statistics'!$R$39:$R$47</c:f>
              <c:numCache>
                <c:formatCode>General</c:formatCode>
                <c:ptCount val="9"/>
                <c:pt idx="0">
                  <c:v>1</c:v>
                </c:pt>
                <c:pt idx="2">
                  <c:v>0</c:v>
                </c:pt>
                <c:pt idx="5">
                  <c:v>0</c:v>
                </c:pt>
                <c:pt idx="7">
                  <c:v>2</c:v>
                </c:pt>
              </c:numCache>
            </c:numRef>
          </c:val>
          <c:extLst>
            <c:ext xmlns:c16="http://schemas.microsoft.com/office/drawing/2014/chart" uri="{C3380CC4-5D6E-409C-BE32-E72D297353CC}">
              <c16:uniqueId val="{00000003-9C38-4E19-9BCE-F8D4156F417D}"/>
            </c:ext>
          </c:extLst>
        </c:ser>
        <c:dLbls>
          <c:showLegendKey val="0"/>
          <c:showVal val="0"/>
          <c:showCatName val="0"/>
          <c:showSerName val="0"/>
          <c:showPercent val="0"/>
          <c:showBubbleSize val="0"/>
        </c:dLbls>
        <c:gapWidth val="219"/>
        <c:overlap val="-27"/>
        <c:axId val="1855740511"/>
        <c:axId val="1"/>
      </c:barChart>
      <c:catAx>
        <c:axId val="1855740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1855740511"/>
        <c:crosses val="autoZero"/>
        <c:crossBetween val="between"/>
      </c:valAx>
      <c:spPr>
        <a:noFill/>
        <a:ln w="25400">
          <a:noFill/>
        </a:ln>
      </c:spPr>
    </c:plotArea>
    <c:legend>
      <c:legendPos val="r"/>
      <c:layout>
        <c:manualLayout>
          <c:xMode val="edge"/>
          <c:yMode val="edge"/>
          <c:x val="0.30370304943072268"/>
          <c:y val="0.8943957709511664"/>
          <c:w val="0.38852095608431991"/>
          <c:h val="7.2772540756349091E-2"/>
        </c:manualLayout>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0.34735</cdr:x>
      <cdr:y>0.90886</cdr:y>
    </cdr:from>
    <cdr:to>
      <cdr:x>0.42715</cdr:x>
      <cdr:y>0.96286</cdr:y>
    </cdr:to>
    <cdr:sp macro="" textlink="">
      <cdr:nvSpPr>
        <cdr:cNvPr id="2" name="Text Box 2"/>
        <cdr:cNvSpPr txBox="1">
          <a:spLocks xmlns:a="http://schemas.openxmlformats.org/drawingml/2006/main" noChangeArrowheads="1"/>
        </cdr:cNvSpPr>
      </cdr:nvSpPr>
      <cdr:spPr bwMode="auto">
        <a:xfrm xmlns:a="http://schemas.openxmlformats.org/drawingml/2006/main">
          <a:off x="1746885" y="2019935"/>
          <a:ext cx="401320" cy="12001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p xmlns:a="http://schemas.openxmlformats.org/drawingml/2006/main">
          <a:pPr hangingPunct="0">
            <a:spcBef>
              <a:spcPts val="600"/>
            </a:spcBef>
            <a:spcAft>
              <a:spcPts val="0"/>
            </a:spcAft>
          </a:pPr>
          <a:r>
            <a:rPr lang="es-ES" sz="500" i="1">
              <a:effectLst/>
              <a:latin typeface="Calibri" panose="020F0502020204030204" pitchFamily="34" charset="0"/>
              <a:ea typeface="Times New Roman" panose="02020603050405020304" pitchFamily="18" charset="0"/>
              <a:cs typeface="Calibri" panose="020F0502020204030204" pitchFamily="34" charset="0"/>
            </a:rPr>
            <a:t>Trascendental</a:t>
          </a:r>
          <a:endParaRPr lang="en-US" sz="5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0.44823</cdr:x>
      <cdr:y>0.91171</cdr:y>
    </cdr:from>
    <cdr:to>
      <cdr:x>0.50909</cdr:x>
      <cdr:y>0.96571</cdr:y>
    </cdr:to>
    <cdr:sp macro="" textlink="">
      <cdr:nvSpPr>
        <cdr:cNvPr id="3" name="Text Box 2"/>
        <cdr:cNvSpPr txBox="1">
          <a:spLocks xmlns:a="http://schemas.openxmlformats.org/drawingml/2006/main" noChangeArrowheads="1"/>
        </cdr:cNvSpPr>
      </cdr:nvSpPr>
      <cdr:spPr bwMode="auto">
        <a:xfrm xmlns:a="http://schemas.openxmlformats.org/drawingml/2006/main">
          <a:off x="2254250" y="2026285"/>
          <a:ext cx="306070" cy="12001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p xmlns:a="http://schemas.openxmlformats.org/drawingml/2006/main">
          <a:pPr hangingPunct="0">
            <a:spcBef>
              <a:spcPts val="600"/>
            </a:spcBef>
            <a:spcAft>
              <a:spcPts val="0"/>
            </a:spcAft>
          </a:pPr>
          <a:r>
            <a:rPr lang="es-ES" sz="500" i="1">
              <a:effectLst/>
              <a:latin typeface="Calibri" panose="020F0502020204030204" pitchFamily="34" charset="0"/>
              <a:ea typeface="Times New Roman" panose="02020603050405020304" pitchFamily="18" charset="0"/>
              <a:cs typeface="Calibri" panose="020F0502020204030204" pitchFamily="34" charset="0"/>
            </a:rPr>
            <a:t>Elevado</a:t>
          </a:r>
          <a:endParaRPr lang="en-US" sz="5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0.53169</cdr:x>
      <cdr:y>0.90886</cdr:y>
    </cdr:from>
    <cdr:to>
      <cdr:x>0.61149</cdr:x>
      <cdr:y>0.96286</cdr:y>
    </cdr:to>
    <cdr:sp macro="" textlink="">
      <cdr:nvSpPr>
        <cdr:cNvPr id="4" name="Text Box 2"/>
        <cdr:cNvSpPr txBox="1">
          <a:spLocks xmlns:a="http://schemas.openxmlformats.org/drawingml/2006/main" noChangeArrowheads="1"/>
        </cdr:cNvSpPr>
      </cdr:nvSpPr>
      <cdr:spPr bwMode="auto">
        <a:xfrm xmlns:a="http://schemas.openxmlformats.org/drawingml/2006/main">
          <a:off x="2673985" y="2019935"/>
          <a:ext cx="401320" cy="12001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p xmlns:a="http://schemas.openxmlformats.org/drawingml/2006/main">
          <a:pPr hangingPunct="0">
            <a:spcBef>
              <a:spcPts val="600"/>
            </a:spcBef>
            <a:spcAft>
              <a:spcPts val="0"/>
            </a:spcAft>
          </a:pPr>
          <a:r>
            <a:rPr lang="es-ES" sz="500" i="1">
              <a:effectLst/>
              <a:latin typeface="Calibri" panose="020F0502020204030204" pitchFamily="34" charset="0"/>
              <a:ea typeface="Times New Roman" panose="02020603050405020304" pitchFamily="18" charset="0"/>
              <a:cs typeface="Calibri" panose="020F0502020204030204" pitchFamily="34" charset="0"/>
            </a:rPr>
            <a:t>Medio</a:t>
          </a:r>
          <a:endParaRPr lang="en-US"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0.64242</cdr:x>
      <cdr:y>0.90886</cdr:y>
    </cdr:from>
    <cdr:to>
      <cdr:x>0.72222</cdr:x>
      <cdr:y>0.96286</cdr:y>
    </cdr:to>
    <cdr:sp macro="" textlink="">
      <cdr:nvSpPr>
        <cdr:cNvPr id="5" name="Text Box 2"/>
        <cdr:cNvSpPr txBox="1">
          <a:spLocks xmlns:a="http://schemas.openxmlformats.org/drawingml/2006/main" noChangeArrowheads="1"/>
        </cdr:cNvSpPr>
      </cdr:nvSpPr>
      <cdr:spPr bwMode="auto">
        <a:xfrm xmlns:a="http://schemas.openxmlformats.org/drawingml/2006/main">
          <a:off x="3230880" y="2019935"/>
          <a:ext cx="401320" cy="12001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p xmlns:a="http://schemas.openxmlformats.org/drawingml/2006/main">
          <a:pPr hangingPunct="0">
            <a:spcBef>
              <a:spcPts val="600"/>
            </a:spcBef>
            <a:spcAft>
              <a:spcPts val="0"/>
            </a:spcAft>
          </a:pPr>
          <a:r>
            <a:rPr lang="es-ES" sz="500" i="1">
              <a:effectLst/>
              <a:latin typeface="Calibri" panose="020F0502020204030204" pitchFamily="34" charset="0"/>
              <a:ea typeface="Times New Roman" panose="02020603050405020304" pitchFamily="18" charset="0"/>
              <a:cs typeface="Calibri" panose="020F0502020204030204" pitchFamily="34" charset="0"/>
            </a:rPr>
            <a:t>Bajo</a:t>
          </a:r>
          <a:endParaRPr lang="en-US" sz="12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8F4433E584047A097BE66491F0F20" ma:contentTypeVersion="10" ma:contentTypeDescription="Create a new document." ma:contentTypeScope="" ma:versionID="fa8afc5d86603c1925ed271018c9909a">
  <xsd:schema xmlns:xsd="http://www.w3.org/2001/XMLSchema" xmlns:xs="http://www.w3.org/2001/XMLSchema" xmlns:p="http://schemas.microsoft.com/office/2006/metadata/properties" xmlns:ns3="8480b3bf-ff93-433f-9495-f8457f78f22f" targetNamespace="http://schemas.microsoft.com/office/2006/metadata/properties" ma:root="true" ma:fieldsID="945714bf9aca0f2ad10803486a386f4a" ns3:_="">
    <xsd:import namespace="8480b3bf-ff93-433f-9495-f8457f78f2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b3bf-ff93-433f-9495-f8457f78f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6351C-4D3D-435D-AABD-C5E705444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b3bf-ff93-433f-9495-f8457f78f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C848F-7D98-4785-AF60-2C1E90D793AB}">
  <ds:schemaRefs>
    <ds:schemaRef ds:uri="http://schemas.microsoft.com/sharepoint/v3/contenttype/forms"/>
  </ds:schemaRefs>
</ds:datastoreItem>
</file>

<file path=customXml/itemProps3.xml><?xml version="1.0" encoding="utf-8"?>
<ds:datastoreItem xmlns:ds="http://schemas.openxmlformats.org/officeDocument/2006/customXml" ds:itemID="{C4F7E4C6-E788-44A2-8A98-4112401220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PS_C20.dotx</Template>
  <TotalTime>1</TotalTime>
  <Pages>7</Pages>
  <Words>2487</Words>
  <Characters>12981</Characters>
  <Application>Microsoft Office Word</Application>
  <DocSecurity>4</DocSecurity>
  <Lines>108</Lines>
  <Paragraphs>30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15438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Auditor interno sobre actividades de auditoría interna</dc:title>
  <dc:subject>Consejo 2020</dc:subject>
  <dc:creator>Spanish</dc:creator>
  <cp:keywords>C2020, C20</cp:keywords>
  <dc:description/>
  <cp:lastModifiedBy>Brouard, Ricarda</cp:lastModifiedBy>
  <cp:revision>2</cp:revision>
  <cp:lastPrinted>2006-03-24T09:51:00Z</cp:lastPrinted>
  <dcterms:created xsi:type="dcterms:W3CDTF">2020-05-07T12:57:00Z</dcterms:created>
  <dcterms:modified xsi:type="dcterms:W3CDTF">2020-05-07T12:57:00Z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ContentTypeId">
    <vt:lpwstr>0x010100B638F4433E584047A097BE66491F0F20</vt:lpwstr>
  </property>
</Properties>
</file>