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12E2E" w14:paraId="645200FF" w14:textId="77777777">
        <w:trPr>
          <w:cantSplit/>
        </w:trPr>
        <w:tc>
          <w:tcPr>
            <w:tcW w:w="6911" w:type="dxa"/>
          </w:tcPr>
          <w:p w14:paraId="5B0BA874" w14:textId="77777777" w:rsidR="00BC7BC0" w:rsidRPr="00C12E2E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12E2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C12E2E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C12E2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C12E2E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C12E2E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C12E2E">
              <w:rPr>
                <w:b/>
                <w:bCs/>
                <w:szCs w:val="22"/>
                <w:lang w:val="ru-RU"/>
              </w:rPr>
              <w:t>9</w:t>
            </w:r>
            <w:r w:rsidR="005B3DEC" w:rsidRPr="00C12E2E">
              <w:rPr>
                <w:b/>
                <w:bCs/>
                <w:szCs w:val="22"/>
                <w:lang w:val="ru-RU"/>
              </w:rPr>
              <w:t>–</w:t>
            </w:r>
            <w:r w:rsidR="00442515" w:rsidRPr="00C12E2E">
              <w:rPr>
                <w:b/>
                <w:bCs/>
                <w:szCs w:val="22"/>
                <w:lang w:val="ru-RU"/>
              </w:rPr>
              <w:t>19</w:t>
            </w:r>
            <w:r w:rsidR="005B3DEC" w:rsidRPr="00C12E2E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C12E2E">
              <w:rPr>
                <w:b/>
                <w:bCs/>
                <w:lang w:val="ru-RU"/>
              </w:rPr>
              <w:t xml:space="preserve"> </w:t>
            </w:r>
            <w:r w:rsidR="00225368" w:rsidRPr="00C12E2E">
              <w:rPr>
                <w:b/>
                <w:bCs/>
                <w:lang w:val="ru-RU"/>
              </w:rPr>
              <w:t>20</w:t>
            </w:r>
            <w:r w:rsidR="00442515" w:rsidRPr="00C12E2E">
              <w:rPr>
                <w:b/>
                <w:bCs/>
                <w:lang w:val="ru-RU"/>
              </w:rPr>
              <w:t>20</w:t>
            </w:r>
            <w:r w:rsidR="00225368" w:rsidRPr="00C12E2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4A5955" w14:textId="77777777" w:rsidR="00BC7BC0" w:rsidRPr="00C12E2E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12E2E">
              <w:rPr>
                <w:noProof/>
                <w:lang w:val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12E2E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C12E2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C12E2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12E2E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C12E2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C12E2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12E2E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28DFF8C0" w:rsidR="00BC7BC0" w:rsidRPr="00C12E2E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12E2E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C12E2E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80C48" w:rsidRPr="00C12E2E">
              <w:rPr>
                <w:b/>
                <w:bCs/>
                <w:caps/>
                <w:szCs w:val="22"/>
                <w:lang w:val="ru-RU"/>
              </w:rPr>
              <w:t>ADM 18</w:t>
            </w:r>
          </w:p>
        </w:tc>
        <w:tc>
          <w:tcPr>
            <w:tcW w:w="3120" w:type="dxa"/>
          </w:tcPr>
          <w:p w14:paraId="667A31B9" w14:textId="7BF09E62" w:rsidR="00BC7BC0" w:rsidRPr="00C12E2E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12E2E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C12E2E">
              <w:rPr>
                <w:b/>
                <w:bCs/>
                <w:szCs w:val="22"/>
                <w:lang w:val="ru-RU"/>
              </w:rPr>
              <w:t>20</w:t>
            </w:r>
            <w:r w:rsidRPr="00C12E2E">
              <w:rPr>
                <w:b/>
                <w:bCs/>
                <w:szCs w:val="22"/>
                <w:lang w:val="ru-RU"/>
              </w:rPr>
              <w:t>/</w:t>
            </w:r>
            <w:r w:rsidR="00191301" w:rsidRPr="00C12E2E">
              <w:rPr>
                <w:b/>
                <w:bCs/>
                <w:szCs w:val="22"/>
                <w:lang w:val="ru-RU"/>
              </w:rPr>
              <w:t>44</w:t>
            </w:r>
            <w:r w:rsidRPr="00C12E2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12E2E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C12E2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2CE43B2E" w:rsidR="00BC7BC0" w:rsidRPr="00C12E2E" w:rsidRDefault="00080C48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12E2E">
              <w:rPr>
                <w:b/>
                <w:bCs/>
                <w:szCs w:val="22"/>
                <w:lang w:val="ru-RU"/>
              </w:rPr>
              <w:t xml:space="preserve">27 апреля </w:t>
            </w:r>
            <w:r w:rsidR="00BC7BC0" w:rsidRPr="00C12E2E">
              <w:rPr>
                <w:b/>
                <w:bCs/>
                <w:szCs w:val="22"/>
                <w:lang w:val="ru-RU"/>
              </w:rPr>
              <w:t>20</w:t>
            </w:r>
            <w:r w:rsidR="00442515" w:rsidRPr="00C12E2E">
              <w:rPr>
                <w:b/>
                <w:bCs/>
                <w:szCs w:val="22"/>
                <w:lang w:val="ru-RU"/>
              </w:rPr>
              <w:t>20</w:t>
            </w:r>
            <w:r w:rsidR="00BC7BC0" w:rsidRPr="00C12E2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12E2E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C12E2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C12E2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12E2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12E2E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2276E8F7" w:rsidR="00BC7BC0" w:rsidRPr="00C12E2E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C12E2E">
              <w:rPr>
                <w:lang w:val="ru-RU"/>
              </w:rPr>
              <w:t>Отчет Генерального секретаря</w:t>
            </w:r>
          </w:p>
        </w:tc>
      </w:tr>
      <w:tr w:rsidR="00BC7BC0" w:rsidRPr="00C12E2E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16B49B99" w:rsidR="00BC7BC0" w:rsidRPr="00C12E2E" w:rsidRDefault="00080C48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C12E2E">
              <w:rPr>
                <w:lang w:val="ru-RU"/>
              </w:rPr>
              <w:t>ОТЧЕТ ВНУТРЕННЕГО АУДИТОРА О ДЕЯТЕЛЬНОСТИ ПО ВНУТРЕННЕМУ АУДИТУ</w:t>
            </w:r>
          </w:p>
        </w:tc>
      </w:tr>
      <w:bookmarkEnd w:id="2"/>
    </w:tbl>
    <w:p w14:paraId="4B6F74DD" w14:textId="77777777" w:rsidR="002D2F57" w:rsidRPr="00C12E2E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26526C" w14:paraId="2FF89862" w14:textId="77777777" w:rsidTr="00080C48">
        <w:trPr>
          <w:trHeight w:val="3006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C12E2E" w:rsidRDefault="002D2F57">
            <w:pPr>
              <w:pStyle w:val="Headingb"/>
              <w:rPr>
                <w:szCs w:val="22"/>
                <w:lang w:val="ru-RU"/>
              </w:rPr>
            </w:pPr>
            <w:r w:rsidRPr="00C12E2E">
              <w:rPr>
                <w:szCs w:val="22"/>
                <w:lang w:val="ru-RU"/>
              </w:rPr>
              <w:t>Резюме</w:t>
            </w:r>
          </w:p>
          <w:p w14:paraId="1E17E567" w14:textId="37DCD687" w:rsidR="00080C48" w:rsidRPr="00C12E2E" w:rsidRDefault="00080C48" w:rsidP="00080C48">
            <w:pPr>
              <w:rPr>
                <w:szCs w:val="22"/>
                <w:lang w:val="ru-RU"/>
              </w:rPr>
            </w:pPr>
            <w:r w:rsidRPr="00C12E2E">
              <w:rPr>
                <w:szCs w:val="22"/>
                <w:lang w:val="ru-RU"/>
              </w:rPr>
              <w:t>В настоящем отчете охватывается деятельность по внутреннему аудиту с мая 2019 года по апрель 2020 года.</w:t>
            </w:r>
          </w:p>
          <w:p w14:paraId="08D54458" w14:textId="77777777" w:rsidR="002D2F57" w:rsidRPr="00C12E2E" w:rsidRDefault="002D2F57" w:rsidP="00E55121">
            <w:pPr>
              <w:pStyle w:val="Headingb"/>
              <w:rPr>
                <w:lang w:val="ru-RU"/>
              </w:rPr>
            </w:pPr>
            <w:r w:rsidRPr="00C12E2E">
              <w:rPr>
                <w:lang w:val="ru-RU"/>
              </w:rPr>
              <w:t xml:space="preserve">Необходимые </w:t>
            </w:r>
            <w:r w:rsidR="00F5225B" w:rsidRPr="00C12E2E">
              <w:rPr>
                <w:lang w:val="ru-RU"/>
              </w:rPr>
              <w:t>действия</w:t>
            </w:r>
          </w:p>
          <w:p w14:paraId="78AB9C76" w14:textId="1D3AF491" w:rsidR="002D2F57" w:rsidRPr="00C12E2E" w:rsidRDefault="00080C48">
            <w:pPr>
              <w:rPr>
                <w:szCs w:val="22"/>
                <w:lang w:val="ru-RU"/>
              </w:rPr>
            </w:pPr>
            <w:r w:rsidRPr="00C12E2E">
              <w:rPr>
                <w:szCs w:val="22"/>
                <w:lang w:val="ru-RU"/>
              </w:rPr>
              <w:t xml:space="preserve">Настоящий отчет направляется Совету </w:t>
            </w:r>
            <w:r w:rsidRPr="00C12E2E">
              <w:rPr>
                <w:b/>
                <w:bCs/>
                <w:szCs w:val="22"/>
                <w:lang w:val="ru-RU"/>
              </w:rPr>
              <w:t>для рассмотрения</w:t>
            </w:r>
            <w:r w:rsidRPr="00C12E2E">
              <w:rPr>
                <w:szCs w:val="22"/>
                <w:lang w:val="ru-RU"/>
              </w:rPr>
              <w:t>.</w:t>
            </w:r>
          </w:p>
          <w:p w14:paraId="6A9E596B" w14:textId="77777777" w:rsidR="002D2F57" w:rsidRPr="00C12E2E" w:rsidRDefault="002D2F57" w:rsidP="00080C48">
            <w:pPr>
              <w:spacing w:after="120"/>
              <w:jc w:val="center"/>
              <w:rPr>
                <w:caps/>
                <w:szCs w:val="22"/>
                <w:lang w:val="ru-RU"/>
              </w:rPr>
            </w:pPr>
            <w:r w:rsidRPr="00C12E2E">
              <w:rPr>
                <w:caps/>
                <w:szCs w:val="22"/>
                <w:lang w:val="ru-RU"/>
              </w:rPr>
              <w:t>____________</w:t>
            </w:r>
          </w:p>
          <w:p w14:paraId="57D95621" w14:textId="77777777" w:rsidR="002D2F57" w:rsidRPr="00C12E2E" w:rsidRDefault="002D2F57">
            <w:pPr>
              <w:pStyle w:val="Headingb"/>
              <w:rPr>
                <w:szCs w:val="22"/>
                <w:lang w:val="ru-RU"/>
              </w:rPr>
            </w:pPr>
            <w:r w:rsidRPr="00C12E2E">
              <w:rPr>
                <w:szCs w:val="22"/>
                <w:lang w:val="ru-RU"/>
              </w:rPr>
              <w:t>Справочные материалы</w:t>
            </w:r>
          </w:p>
          <w:p w14:paraId="47CA1E48" w14:textId="4E3FCAEC" w:rsidR="002D2F57" w:rsidRPr="00C12E2E" w:rsidRDefault="008B091D" w:rsidP="00A90A2E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 w:rsidRPr="0026526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6526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6526C">
              <w:rPr>
                <w:lang w:val="ru-RU"/>
              </w:rPr>
              <w:instrText>://</w:instrText>
            </w:r>
            <w:r>
              <w:instrText>www</w:instrText>
            </w:r>
            <w:r w:rsidRPr="0026526C">
              <w:rPr>
                <w:lang w:val="ru-RU"/>
              </w:rPr>
              <w:instrText>.</w:instrText>
            </w:r>
            <w:r>
              <w:instrText>itu</w:instrText>
            </w:r>
            <w:r w:rsidRPr="0026526C">
              <w:rPr>
                <w:lang w:val="ru-RU"/>
              </w:rPr>
              <w:instrText>.</w:instrText>
            </w:r>
            <w:r>
              <w:instrText>int</w:instrText>
            </w:r>
            <w:r w:rsidRPr="0026526C">
              <w:rPr>
                <w:lang w:val="ru-RU"/>
              </w:rPr>
              <w:instrText>/</w:instrText>
            </w:r>
            <w:r>
              <w:instrText>en</w:instrText>
            </w:r>
            <w:r w:rsidRPr="0026526C">
              <w:rPr>
                <w:lang w:val="ru-RU"/>
              </w:rPr>
              <w:instrText>/</w:instrText>
            </w:r>
            <w:r>
              <w:instrText>council</w:instrText>
            </w:r>
            <w:r w:rsidRPr="0026526C">
              <w:rPr>
                <w:lang w:val="ru-RU"/>
              </w:rPr>
              <w:instrText>/</w:instrText>
            </w:r>
            <w:r>
              <w:instrText>Documents</w:instrText>
            </w:r>
            <w:r w:rsidRPr="0026526C">
              <w:rPr>
                <w:lang w:val="ru-RU"/>
              </w:rPr>
              <w:instrText>/</w:instrText>
            </w:r>
            <w:r>
              <w:instrText>Financial</w:instrText>
            </w:r>
            <w:r w:rsidRPr="0026526C">
              <w:rPr>
                <w:lang w:val="ru-RU"/>
              </w:rPr>
              <w:instrText>-</w:instrText>
            </w:r>
            <w:r>
              <w:instrText>Regulations</w:instrText>
            </w:r>
            <w:r w:rsidRPr="0026526C">
              <w:rPr>
                <w:lang w:val="ru-RU"/>
              </w:rPr>
              <w:instrText>/</w:instrText>
            </w:r>
            <w:r>
              <w:instrText>S</w:instrText>
            </w:r>
            <w:r w:rsidRPr="0026526C">
              <w:rPr>
                <w:lang w:val="ru-RU"/>
              </w:rPr>
              <w:instrText>-</w:instrText>
            </w:r>
            <w:r>
              <w:instrText>GEN</w:instrText>
            </w:r>
            <w:r w:rsidRPr="0026526C">
              <w:rPr>
                <w:lang w:val="ru-RU"/>
              </w:rPr>
              <w:instrText>-</w:instrText>
            </w:r>
            <w:r>
              <w:instrText>REG</w:instrText>
            </w:r>
            <w:r w:rsidRPr="0026526C">
              <w:rPr>
                <w:lang w:val="ru-RU"/>
              </w:rPr>
              <w:instrText>_</w:instrText>
            </w:r>
            <w:r>
              <w:instrText>RGTFIN</w:instrText>
            </w:r>
            <w:r w:rsidRPr="0026526C">
              <w:rPr>
                <w:lang w:val="ru-RU"/>
              </w:rPr>
              <w:instrText>-2018-</w:instrText>
            </w:r>
            <w:r>
              <w:instrText>PDF</w:instrText>
            </w:r>
            <w:r w:rsidRPr="0026526C">
              <w:rPr>
                <w:lang w:val="ru-RU"/>
              </w:rPr>
              <w:instrText>-</w:instrText>
            </w:r>
            <w:r>
              <w:instrText>R</w:instrText>
            </w:r>
            <w:r w:rsidRPr="0026526C">
              <w:rPr>
                <w:lang w:val="ru-RU"/>
              </w:rPr>
              <w:instrText>.</w:instrText>
            </w:r>
            <w:r>
              <w:instrText>pdf</w:instrText>
            </w:r>
            <w:r w:rsidRPr="0026526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80C48" w:rsidRPr="00C12E2E">
              <w:rPr>
                <w:rStyle w:val="Hyperlink"/>
                <w:i/>
                <w:iCs/>
                <w:szCs w:val="22"/>
                <w:lang w:val="ru-RU"/>
              </w:rPr>
              <w:t>Финансовый регламент и Финансовые правила МСЭ (2018 г.), Статья 29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</w:p>
        </w:tc>
      </w:tr>
    </w:tbl>
    <w:p w14:paraId="22EA9419" w14:textId="1C3B232D" w:rsidR="00A90A2E" w:rsidRPr="00C12E2E" w:rsidRDefault="00A90A2E" w:rsidP="00483E27">
      <w:pPr>
        <w:rPr>
          <w:lang w:val="ru-RU"/>
        </w:rPr>
      </w:pPr>
      <w:r w:rsidRPr="00C12E2E">
        <w:rPr>
          <w:lang w:val="ru-RU"/>
        </w:rPr>
        <w:br w:type="page"/>
      </w:r>
    </w:p>
    <w:p w14:paraId="7FEA09E8" w14:textId="77777777" w:rsidR="00080C48" w:rsidRPr="00C12E2E" w:rsidRDefault="00080C48" w:rsidP="00080C48">
      <w:pPr>
        <w:pStyle w:val="Headingb"/>
        <w:rPr>
          <w:lang w:val="ru-RU"/>
        </w:rPr>
      </w:pPr>
      <w:r w:rsidRPr="00C12E2E">
        <w:rPr>
          <w:lang w:val="ru-RU"/>
        </w:rPr>
        <w:lastRenderedPageBreak/>
        <w:t>Введение</w:t>
      </w:r>
    </w:p>
    <w:p w14:paraId="508AF819" w14:textId="125D2C0F" w:rsidR="00080C48" w:rsidRPr="00C12E2E" w:rsidRDefault="00080C48" w:rsidP="00080C48">
      <w:pPr>
        <w:rPr>
          <w:lang w:val="ru-RU"/>
        </w:rPr>
      </w:pPr>
      <w:r w:rsidRPr="00C12E2E">
        <w:rPr>
          <w:lang w:val="ru-RU"/>
        </w:rPr>
        <w:t>1</w:t>
      </w:r>
      <w:r w:rsidRPr="00C12E2E">
        <w:rPr>
          <w:lang w:val="ru-RU"/>
        </w:rPr>
        <w:tab/>
        <w:t>Настоящий отчет направляется Совету МСЭ и подготовлен согласно Статье 29 Финансового регламента (2010 г.). В соответствии с Уставом Службы внутреннего аудита МСЭ</w:t>
      </w:r>
      <w:r w:rsidRPr="00C12E2E">
        <w:rPr>
          <w:rStyle w:val="FootnoteReference"/>
          <w:lang w:val="ru-RU"/>
        </w:rPr>
        <w:footnoteReference w:id="1"/>
      </w:r>
      <w:r w:rsidRPr="00C12E2E">
        <w:rPr>
          <w:position w:val="6"/>
          <w:sz w:val="16"/>
          <w:lang w:val="ru-RU"/>
        </w:rPr>
        <w:t xml:space="preserve"> </w:t>
      </w:r>
      <w:r w:rsidRPr="00C12E2E">
        <w:rPr>
          <w:lang w:val="ru-RU"/>
        </w:rPr>
        <w:t>настоящий отчет передается Генеральному секретарю и представляется Совету для рассмотрения. Нынешний отчет охватывает деятельность за период с мая 2019 года по апрель 2020 года</w:t>
      </w:r>
      <w:r w:rsidRPr="00C12E2E">
        <w:rPr>
          <w:color w:val="000000" w:themeColor="text1"/>
          <w:lang w:val="ru-RU"/>
        </w:rPr>
        <w:t>.</w:t>
      </w:r>
    </w:p>
    <w:p w14:paraId="7E5CC9CB" w14:textId="636B3895" w:rsidR="00080C48" w:rsidRPr="00C12E2E" w:rsidRDefault="00080C48" w:rsidP="00080C48">
      <w:pPr>
        <w:rPr>
          <w:lang w:val="ru-RU"/>
        </w:rPr>
      </w:pPr>
      <w:r w:rsidRPr="00C12E2E">
        <w:rPr>
          <w:lang w:val="ru-RU"/>
        </w:rPr>
        <w:t>2</w:t>
      </w:r>
      <w:r w:rsidRPr="00C12E2E">
        <w:rPr>
          <w:lang w:val="ru-RU"/>
        </w:rPr>
        <w:tab/>
        <w:t>На протяжении всего отчетного периода подразделение внутреннего аудита состояло из трех сотрудников категории специалистов: одного сотрудника категории P.5 (руководитель подразделения), одного сотрудника категории P.3 (Внутренний аудитор) и одного сотрудника категории P.2 (младший Внутренний аудитор). Кроме того, в подразделении работал один сотрудник категории общего обслуживания (помощник Аудитора) на условиях полного рабочего дня. Таким образом, в настоящее время в подразделении имеются три должности категории специалистов и одна должность категории общего обслуживания.</w:t>
      </w:r>
    </w:p>
    <w:p w14:paraId="48B67478" w14:textId="77777777" w:rsidR="00080C48" w:rsidRPr="00C12E2E" w:rsidRDefault="00080C48" w:rsidP="00080C48">
      <w:pPr>
        <w:rPr>
          <w:lang w:val="ru-RU"/>
        </w:rPr>
      </w:pPr>
      <w:r w:rsidRPr="00C12E2E">
        <w:rPr>
          <w:lang w:val="ru-RU"/>
        </w:rPr>
        <w:t>3</w:t>
      </w:r>
      <w:r w:rsidRPr="00C12E2E">
        <w:rPr>
          <w:lang w:val="ru-RU"/>
        </w:rPr>
        <w:tab/>
        <w:t>Служба внутреннего аудита (IA) подтверждает, что проводит свои аудиторские проверки в соответствии с Международными стандартами профессиональной практики внутреннего аудита и Кодексом этики, установленным Институтом внутренних аудиторов</w:t>
      </w:r>
      <w:r w:rsidRPr="00C12E2E">
        <w:rPr>
          <w:rStyle w:val="FootnoteReference"/>
          <w:lang w:val="ru-RU"/>
        </w:rPr>
        <w:footnoteReference w:id="2"/>
      </w:r>
      <w:r w:rsidRPr="00C12E2E">
        <w:rPr>
          <w:lang w:val="ru-RU"/>
        </w:rPr>
        <w:t xml:space="preserve"> (IIA), а также положениями Устава Службы внутреннего аудита МСЭ</w:t>
      </w:r>
      <w:r w:rsidRPr="00C12E2E">
        <w:rPr>
          <w:rStyle w:val="FootnoteReference"/>
          <w:lang w:val="ru-RU"/>
        </w:rPr>
        <w:footnoteReference w:id="3"/>
      </w:r>
      <w:r w:rsidRPr="00C12E2E">
        <w:rPr>
          <w:lang w:val="ru-RU"/>
        </w:rPr>
        <w:t>. Кроме того, Служба IA подтверждает, что что за отчетный период ее сотрудники не имели управленческих полномочий и не несли ответственности в связи с какой-либо деятельностью, в отношении которой проводилась аудиторская проверка, и не выполняли учетных или оперативных функций в МСЭ.</w:t>
      </w:r>
    </w:p>
    <w:p w14:paraId="1A9F0606" w14:textId="77777777" w:rsidR="00080C48" w:rsidRPr="00C12E2E" w:rsidRDefault="00080C48" w:rsidP="00080C48">
      <w:pPr>
        <w:pStyle w:val="Headingb"/>
        <w:rPr>
          <w:lang w:val="ru-RU"/>
        </w:rPr>
      </w:pPr>
      <w:r w:rsidRPr="00C12E2E">
        <w:rPr>
          <w:lang w:val="ru-RU"/>
        </w:rPr>
        <w:t>Направленность и сфера охвата деятельности по внутреннему аудиту</w:t>
      </w:r>
    </w:p>
    <w:p w14:paraId="61B6D345" w14:textId="0C90D0F9" w:rsidR="00080C48" w:rsidRPr="00C12E2E" w:rsidRDefault="00080C48" w:rsidP="00080C48">
      <w:pPr>
        <w:rPr>
          <w:lang w:val="ru-RU"/>
        </w:rPr>
      </w:pPr>
      <w:r w:rsidRPr="00C12E2E">
        <w:rPr>
          <w:lang w:val="ru-RU"/>
        </w:rPr>
        <w:t>4</w:t>
      </w:r>
      <w:r w:rsidRPr="00C12E2E">
        <w:rPr>
          <w:lang w:val="ru-RU"/>
        </w:rPr>
        <w:tab/>
        <w:t xml:space="preserve">В соответствии с Уставом Службы IA план по IA на 2019 год был рассмотрен на 22-м собрании </w:t>
      </w:r>
      <w:r w:rsidRPr="00C12E2E">
        <w:rPr>
          <w:color w:val="000000"/>
          <w:lang w:val="ru-RU"/>
        </w:rPr>
        <w:t xml:space="preserve">Независимого консультативного комитета по управлению </w:t>
      </w:r>
      <w:r w:rsidRPr="00C12E2E">
        <w:rPr>
          <w:lang w:val="ru-RU"/>
        </w:rPr>
        <w:t xml:space="preserve">(IMAC) и утвержден Генеральным секретарем 26 марта 2019 года. </w:t>
      </w:r>
      <w:r w:rsidR="00CB1006" w:rsidRPr="00C12E2E">
        <w:rPr>
          <w:lang w:val="ru-RU"/>
        </w:rPr>
        <w:t>Что касается плана по AI на 2020 год, то он еще не был выработан, поскольку Служба AI активно занималась работой по расследованию, которая продолжается в 2020</w:t>
      </w:r>
      <w:r w:rsidR="00C12E2E" w:rsidRPr="00C12E2E">
        <w:rPr>
          <w:lang w:val="ru-RU"/>
        </w:rPr>
        <w:t> </w:t>
      </w:r>
      <w:r w:rsidR="00CB1006" w:rsidRPr="00C12E2E">
        <w:rPr>
          <w:lang w:val="ru-RU"/>
        </w:rPr>
        <w:t xml:space="preserve">году и будет продолжаться до тех пор, пока не будет учреждена должность специалиста по расследованиям и не будет нанят соответствующий сотрудник. Служба AI ведет работу по расследованию, опираясь на Устав Службы внутреннего аудита, в котором </w:t>
      </w:r>
      <w:r w:rsidRPr="00C12E2E">
        <w:rPr>
          <w:lang w:val="ru-RU"/>
        </w:rPr>
        <w:t xml:space="preserve">также говорится, что </w:t>
      </w:r>
      <w:r w:rsidRPr="00C12E2E">
        <w:rPr>
          <w:i/>
          <w:iCs/>
          <w:color w:val="000000"/>
          <w:lang w:val="ru-RU"/>
        </w:rPr>
        <w:t xml:space="preserve">Служба внутреннего аудита </w:t>
      </w:r>
      <w:r w:rsidRPr="00C12E2E">
        <w:rPr>
          <w:i/>
          <w:iCs/>
          <w:lang w:val="ru-RU"/>
        </w:rPr>
        <w:t>расследует утверждения или предположения о мошенничестве или ненадлежащем управлении, а также что Служба внутреннего аудита может оказывать в рамках МСЭ консультационные услуги</w:t>
      </w:r>
      <w:r w:rsidRPr="00C12E2E">
        <w:rPr>
          <w:lang w:val="ru-RU"/>
        </w:rPr>
        <w:t>.</w:t>
      </w:r>
    </w:p>
    <w:p w14:paraId="3DD3D5A8" w14:textId="2AAD96EE" w:rsidR="00080C48" w:rsidRPr="00C12E2E" w:rsidRDefault="00080C48" w:rsidP="00080C48">
      <w:pPr>
        <w:rPr>
          <w:sz w:val="24"/>
          <w:szCs w:val="24"/>
          <w:lang w:val="ru-RU"/>
        </w:rPr>
      </w:pPr>
      <w:r w:rsidRPr="00C12E2E">
        <w:rPr>
          <w:lang w:val="ru-RU"/>
        </w:rPr>
        <w:t>5</w:t>
      </w:r>
      <w:r w:rsidRPr="00C12E2E">
        <w:rPr>
          <w:lang w:val="ru-RU"/>
        </w:rPr>
        <w:tab/>
        <w:t>Служба IA систематически направляет копии отчетов о внутреннем аудите Внешнему аудитору МСЭ и IMAC. В соответствии с положением 29.5 Финансового регламента МСЭ заключительные отчеты о внутреннем аудите могут быть предоставлены Государствам-Членам или их уполномоченным представителям. С октября 2015 года существует упрощенный механизм доступа к отчетам о внутреннем аудите. В течение отчетного периода через этот онлайновый механизм не было получено запросов на доступ к отчетам о внутреннем аудите.</w:t>
      </w:r>
    </w:p>
    <w:p w14:paraId="02B874D6" w14:textId="77777777" w:rsidR="00080C48" w:rsidRPr="00C12E2E" w:rsidRDefault="00080C48" w:rsidP="00080C48">
      <w:pPr>
        <w:pStyle w:val="Headingb"/>
        <w:rPr>
          <w:lang w:val="ru-RU"/>
        </w:rPr>
      </w:pPr>
      <w:r w:rsidRPr="00C12E2E">
        <w:rPr>
          <w:lang w:val="ru-RU"/>
        </w:rPr>
        <w:t>Задания по подтверждению достоверности информации и полученные выводы</w:t>
      </w:r>
    </w:p>
    <w:p w14:paraId="7966F14F" w14:textId="77777777" w:rsidR="00080C48" w:rsidRPr="00C12E2E" w:rsidRDefault="00080C48" w:rsidP="00080C48">
      <w:pPr>
        <w:rPr>
          <w:lang w:val="ru-RU"/>
        </w:rPr>
      </w:pPr>
      <w:r w:rsidRPr="00C12E2E">
        <w:rPr>
          <w:lang w:val="ru-RU"/>
        </w:rPr>
        <w:t>6</w:t>
      </w:r>
      <w:r w:rsidRPr="00C12E2E">
        <w:rPr>
          <w:lang w:val="ru-RU"/>
        </w:rPr>
        <w:tab/>
        <w:t xml:space="preserve">Цели заданий по подтверждению достоверности информации заключались в оценке: i) аспектов руководства проверенными операциями Союза; </w:t>
      </w:r>
      <w:proofErr w:type="spellStart"/>
      <w:r w:rsidRPr="00C12E2E">
        <w:rPr>
          <w:lang w:val="ru-RU"/>
        </w:rPr>
        <w:t>ii</w:t>
      </w:r>
      <w:proofErr w:type="spellEnd"/>
      <w:r w:rsidRPr="00C12E2E">
        <w:rPr>
          <w:lang w:val="ru-RU"/>
        </w:rPr>
        <w:t xml:space="preserve">) практики управления рисками; и </w:t>
      </w:r>
      <w:proofErr w:type="spellStart"/>
      <w:r w:rsidRPr="00C12E2E">
        <w:rPr>
          <w:lang w:val="ru-RU"/>
        </w:rPr>
        <w:t>iii</w:t>
      </w:r>
      <w:proofErr w:type="spellEnd"/>
      <w:r w:rsidRPr="00C12E2E">
        <w:rPr>
          <w:lang w:val="ru-RU"/>
        </w:rPr>
        <w:t>) эффективности мер (внутреннего) контроля. Приоритет рекомендаций, вытекающих из аудиторской проверки, устанавливается в зависимости от воздействия и вероятности нарушений (высокий, средний, низкий приоритеты).</w:t>
      </w:r>
    </w:p>
    <w:p w14:paraId="7D444D0C" w14:textId="77031735" w:rsidR="00080C48" w:rsidRPr="00C12E2E" w:rsidRDefault="00080C48" w:rsidP="00080C48">
      <w:pPr>
        <w:rPr>
          <w:lang w:val="ru-RU"/>
        </w:rPr>
      </w:pPr>
      <w:r w:rsidRPr="00C12E2E">
        <w:rPr>
          <w:lang w:val="ru-RU"/>
        </w:rPr>
        <w:lastRenderedPageBreak/>
        <w:t>На основе различных заданий по подтверждению достоверности информации</w:t>
      </w:r>
      <w:r w:rsidR="00CB1006" w:rsidRPr="00C12E2E">
        <w:rPr>
          <w:lang w:val="ru-RU"/>
        </w:rPr>
        <w:t>, выполненных в прошлом,</w:t>
      </w:r>
      <w:r w:rsidRPr="00C12E2E">
        <w:rPr>
          <w:lang w:val="ru-RU"/>
        </w:rPr>
        <w:t xml:space="preserve"> Служба IA пришла к выводу о том, что необходимо улучшить рассматрива</w:t>
      </w:r>
      <w:r w:rsidR="00CB1006" w:rsidRPr="00C12E2E">
        <w:rPr>
          <w:lang w:val="ru-RU"/>
        </w:rPr>
        <w:t xml:space="preserve">емое </w:t>
      </w:r>
      <w:r w:rsidRPr="00C12E2E">
        <w:rPr>
          <w:lang w:val="ru-RU"/>
        </w:rPr>
        <w:t>руководство и управление рисками и повысить эффективность мер контроля в различных областях, где проводилась аудиторская проверка. Улучшения в этих областях позволили бы Службе IA предоставить Генеральному секретарю достаточные гарантии наличия надлежащего руководства, управления рисками, а также эффективности мер контроля. Рекомендации для руководства выполняются при поддержке Генерального секретаря, и это будет способствовать дальнейшему укреплению возможностей МСЭ по выполнению им своего мандата.</w:t>
      </w:r>
    </w:p>
    <w:p w14:paraId="404CC51D" w14:textId="77777777" w:rsidR="00080C48" w:rsidRPr="00C12E2E" w:rsidRDefault="00080C48" w:rsidP="00080C48">
      <w:pPr>
        <w:rPr>
          <w:lang w:val="ru-RU"/>
        </w:rPr>
      </w:pPr>
      <w:r w:rsidRPr="00C12E2E">
        <w:rPr>
          <w:lang w:val="ru-RU"/>
        </w:rPr>
        <w:t>7</w:t>
      </w:r>
      <w:r w:rsidRPr="00C12E2E">
        <w:rPr>
          <w:lang w:val="ru-RU"/>
        </w:rPr>
        <w:tab/>
        <w:t>Служба IA в случаях, когда это требуется, следит за выполнением рекомендованных мер.</w:t>
      </w:r>
    </w:p>
    <w:p w14:paraId="5C32B7D5" w14:textId="0FA8013A" w:rsidR="00080C48" w:rsidRPr="00C12E2E" w:rsidRDefault="00080C48" w:rsidP="00080C48">
      <w:pPr>
        <w:keepNext/>
        <w:rPr>
          <w:lang w:val="ru-RU"/>
        </w:rPr>
      </w:pPr>
      <w:r w:rsidRPr="00C12E2E">
        <w:rPr>
          <w:i/>
          <w:iCs/>
          <w:lang w:val="ru-RU"/>
        </w:rPr>
        <w:t>Был</w:t>
      </w:r>
      <w:r w:rsidR="00CB1006" w:rsidRPr="00C12E2E">
        <w:rPr>
          <w:i/>
          <w:iCs/>
          <w:lang w:val="ru-RU"/>
        </w:rPr>
        <w:t>о</w:t>
      </w:r>
      <w:r w:rsidRPr="00C12E2E">
        <w:rPr>
          <w:i/>
          <w:iCs/>
          <w:lang w:val="ru-RU"/>
        </w:rPr>
        <w:t xml:space="preserve"> выполнен</w:t>
      </w:r>
      <w:r w:rsidR="00CB1006" w:rsidRPr="00C12E2E">
        <w:rPr>
          <w:i/>
          <w:iCs/>
          <w:lang w:val="ru-RU"/>
        </w:rPr>
        <w:t>о</w:t>
      </w:r>
      <w:r w:rsidRPr="00C12E2E">
        <w:rPr>
          <w:i/>
          <w:iCs/>
          <w:lang w:val="ru-RU"/>
        </w:rPr>
        <w:t xml:space="preserve"> следующ</w:t>
      </w:r>
      <w:r w:rsidR="00CB1006" w:rsidRPr="00C12E2E">
        <w:rPr>
          <w:i/>
          <w:iCs/>
          <w:lang w:val="ru-RU"/>
        </w:rPr>
        <w:t>е</w:t>
      </w:r>
      <w:r w:rsidRPr="00C12E2E">
        <w:rPr>
          <w:i/>
          <w:iCs/>
          <w:lang w:val="ru-RU"/>
        </w:rPr>
        <w:t>е задани</w:t>
      </w:r>
      <w:r w:rsidR="00CB1006" w:rsidRPr="00C12E2E">
        <w:rPr>
          <w:i/>
          <w:iCs/>
          <w:lang w:val="ru-RU"/>
        </w:rPr>
        <w:t>е</w:t>
      </w:r>
      <w:r w:rsidRPr="00C12E2E">
        <w:rPr>
          <w:i/>
          <w:iCs/>
          <w:lang w:val="ru-RU"/>
        </w:rPr>
        <w:t xml:space="preserve"> по подтверждению достоверности информации</w:t>
      </w:r>
      <w:r w:rsidRPr="00C12E2E">
        <w:rPr>
          <w:lang w:val="ru-RU"/>
        </w:rPr>
        <w:t>:</w:t>
      </w:r>
    </w:p>
    <w:p w14:paraId="20C35F77" w14:textId="25C80A16" w:rsidR="00080C48" w:rsidRPr="00C12E2E" w:rsidRDefault="00080C48" w:rsidP="0042702E">
      <w:pPr>
        <w:pStyle w:val="enumlev1"/>
        <w:rPr>
          <w:b/>
          <w:lang w:val="ru-RU"/>
        </w:rPr>
      </w:pPr>
      <w:r w:rsidRPr="00C12E2E">
        <w:rPr>
          <w:b/>
          <w:lang w:val="ru-RU"/>
        </w:rPr>
        <w:t>A)</w:t>
      </w:r>
      <w:r w:rsidRPr="00C12E2E">
        <w:rPr>
          <w:b/>
          <w:lang w:val="ru-RU"/>
        </w:rPr>
        <w:tab/>
      </w:r>
      <w:r w:rsidR="00CB1006" w:rsidRPr="00C12E2E">
        <w:rPr>
          <w:b/>
          <w:i/>
          <w:lang w:val="ru-RU"/>
        </w:rPr>
        <w:t>Проверка деятельности региональных/зональных отделений – проекты, региональные инициативы и меры</w:t>
      </w:r>
    </w:p>
    <w:p w14:paraId="02322017" w14:textId="520F7260" w:rsidR="00080C48" w:rsidRPr="00C12E2E" w:rsidRDefault="00080C48" w:rsidP="0042702E">
      <w:pPr>
        <w:rPr>
          <w:highlight w:val="lightGray"/>
          <w:lang w:val="ru-RU"/>
        </w:rPr>
      </w:pPr>
      <w:r w:rsidRPr="00C12E2E">
        <w:rPr>
          <w:lang w:val="ru-RU"/>
        </w:rPr>
        <w:t>8</w:t>
      </w:r>
      <w:r w:rsidRPr="00C12E2E">
        <w:rPr>
          <w:lang w:val="ru-RU"/>
        </w:rPr>
        <w:tab/>
      </w:r>
      <w:r w:rsidR="00CB1006" w:rsidRPr="00C12E2E">
        <w:rPr>
          <w:lang w:val="ru-RU"/>
        </w:rPr>
        <w:t xml:space="preserve">Служба IA провела аудиторскую проверку деятельности региональных/зональных отделений за период </w:t>
      </w:r>
      <w:r w:rsidRPr="00C12E2E">
        <w:rPr>
          <w:lang w:val="ru-RU"/>
        </w:rPr>
        <w:t xml:space="preserve">с января 2008 года по март 2019 года. </w:t>
      </w:r>
      <w:r w:rsidR="00CB1006" w:rsidRPr="00C12E2E">
        <w:rPr>
          <w:lang w:val="ru-RU"/>
        </w:rPr>
        <w:t>В рамках этой проверки был проведен выборочный обзор проектов, инициатив и мер, осуществляемых региональными/зональными отделениями БРЭ, а также некоторых глобальных проектов, имеющих значение для регионов</w:t>
      </w:r>
      <w:r w:rsidRPr="00C12E2E">
        <w:rPr>
          <w:lang w:val="ru-RU"/>
        </w:rPr>
        <w:t>.</w:t>
      </w:r>
    </w:p>
    <w:p w14:paraId="5805CD3F" w14:textId="0128B936" w:rsidR="00080C48" w:rsidRPr="00C12E2E" w:rsidRDefault="00080C48" w:rsidP="00080C48">
      <w:pPr>
        <w:rPr>
          <w:lang w:val="ru-RU"/>
        </w:rPr>
      </w:pPr>
      <w:r w:rsidRPr="00C12E2E">
        <w:rPr>
          <w:lang w:val="ru-RU"/>
        </w:rPr>
        <w:t>9</w:t>
      </w:r>
      <w:r w:rsidRPr="00C12E2E">
        <w:rPr>
          <w:lang w:val="ru-RU"/>
        </w:rPr>
        <w:tab/>
      </w:r>
      <w:r w:rsidRPr="00C12E2E">
        <w:rPr>
          <w:lang w:val="ru-RU" w:eastAsia="zh-CN"/>
        </w:rPr>
        <w:t xml:space="preserve">Служба IA </w:t>
      </w:r>
      <w:proofErr w:type="gramStart"/>
      <w:r w:rsidRPr="00C12E2E">
        <w:rPr>
          <w:lang w:val="ru-RU" w:eastAsia="zh-CN"/>
        </w:rPr>
        <w:t>сочла</w:t>
      </w:r>
      <w:proofErr w:type="gramEnd"/>
      <w:r w:rsidRPr="00C12E2E">
        <w:rPr>
          <w:lang w:val="ru-RU" w:eastAsia="zh-CN"/>
        </w:rPr>
        <w:t xml:space="preserve"> </w:t>
      </w:r>
      <w:r w:rsidR="00CB1006" w:rsidRPr="00C12E2E">
        <w:rPr>
          <w:lang w:val="ru-RU" w:eastAsia="zh-CN"/>
        </w:rPr>
        <w:t>принципиально важными (подпункт</w:t>
      </w:r>
      <w:r w:rsidRPr="00C12E2E">
        <w:rPr>
          <w:lang w:val="ru-RU" w:eastAsia="zh-CN"/>
        </w:rPr>
        <w:t xml:space="preserve"> a) ниже) и высокоприоритетными </w:t>
      </w:r>
      <w:r w:rsidR="00CB1006" w:rsidRPr="00C12E2E">
        <w:rPr>
          <w:lang w:val="ru-RU" w:eastAsia="zh-CN"/>
        </w:rPr>
        <w:t xml:space="preserve">подпункт </w:t>
      </w:r>
      <w:r w:rsidRPr="00C12E2E">
        <w:rPr>
          <w:lang w:val="ru-RU" w:eastAsia="zh-CN"/>
        </w:rPr>
        <w:t>b) ниже) следующи</w:t>
      </w:r>
      <w:r w:rsidR="00CB1006" w:rsidRPr="00C12E2E">
        <w:rPr>
          <w:lang w:val="ru-RU" w:eastAsia="zh-CN"/>
        </w:rPr>
        <w:t>е</w:t>
      </w:r>
      <w:r w:rsidRPr="00C12E2E">
        <w:rPr>
          <w:lang w:val="ru-RU" w:eastAsia="zh-CN"/>
        </w:rPr>
        <w:t xml:space="preserve"> вопрос</w:t>
      </w:r>
      <w:r w:rsidR="00CB1006" w:rsidRPr="00C12E2E">
        <w:rPr>
          <w:lang w:val="ru-RU" w:eastAsia="zh-CN"/>
        </w:rPr>
        <w:t>ы</w:t>
      </w:r>
      <w:r w:rsidRPr="00C12E2E">
        <w:rPr>
          <w:lang w:val="ru-RU" w:eastAsia="zh-CN"/>
        </w:rPr>
        <w:t>:</w:t>
      </w:r>
    </w:p>
    <w:p w14:paraId="2D463BDD" w14:textId="072AE948" w:rsidR="00080C48" w:rsidRPr="00C12E2E" w:rsidRDefault="00080C48" w:rsidP="00080C48">
      <w:pPr>
        <w:pStyle w:val="enumlev1"/>
        <w:rPr>
          <w:lang w:val="ru-RU"/>
        </w:rPr>
      </w:pPr>
      <w:r w:rsidRPr="00C12E2E">
        <w:rPr>
          <w:lang w:val="ru-RU"/>
        </w:rPr>
        <w:t>a)</w:t>
      </w:r>
      <w:r w:rsidRPr="00C12E2E">
        <w:rPr>
          <w:lang w:val="ru-RU"/>
        </w:rPr>
        <w:tab/>
      </w:r>
      <w:r w:rsidR="00CB1006" w:rsidRPr="00C12E2E">
        <w:rPr>
          <w:lang w:val="ru-RU"/>
        </w:rPr>
        <w:t>было установлено, что руководящие указания по управлению проектами устарели и отмечаются существенные недочеты на этапе планирования проектов. Отсутствует ясность в том, что касается подотчетности, функций и обязанностей на уровне руководителей проектов, координаторов проектов (PRJ) и директоров региональных отделений. Было рекомендовано после доработки новых руководящих указаний по управлению проектами пересмотреть и более четко определить обязанности, задачи и подотчетность вышеупомянутых категорий сотрудников. Такой пересмотр будет затрагивать структуру управления проектами в тесной увязке с управлением, ориентированным на результаты, и системой подотчетности МСЭ. Кроме того, отмечается недостаточность мер по управлению рисками и неэффективность контроля в вопросах найма и привлечения экспертов (по контрактам SSA). Было рекомендовано в срочном порядке рассмотреть внедрение необходимых процедур и видов практики, для того чтобы Союз мог надлежащим образом организовать набор кадров и управление контрактами SSA</w:t>
      </w:r>
      <w:r w:rsidRPr="00C12E2E">
        <w:rPr>
          <w:lang w:val="ru-RU"/>
        </w:rPr>
        <w:t xml:space="preserve">. </w:t>
      </w:r>
    </w:p>
    <w:p w14:paraId="7A73676C" w14:textId="5247FB62" w:rsidR="00080C48" w:rsidRPr="00C12E2E" w:rsidRDefault="00080C48" w:rsidP="00080C48">
      <w:pPr>
        <w:pStyle w:val="enumlev1"/>
        <w:rPr>
          <w:lang w:val="ru-RU"/>
        </w:rPr>
      </w:pPr>
      <w:r w:rsidRPr="00C12E2E">
        <w:rPr>
          <w:lang w:val="ru-RU"/>
        </w:rPr>
        <w:t>b)</w:t>
      </w:r>
      <w:r w:rsidRPr="00C12E2E">
        <w:rPr>
          <w:lang w:val="ru-RU"/>
        </w:rPr>
        <w:tab/>
      </w:r>
      <w:r w:rsidR="00CB1006" w:rsidRPr="00C12E2E">
        <w:rPr>
          <w:lang w:val="ru-RU"/>
        </w:rPr>
        <w:t xml:space="preserve">по итогам выборочной проверки, проведенной в отношении двух крупных проектов, были выявлены особенно серьезные недочеты на уровне планирования, организации, осуществления, мониторинга, привлечения экспертов и закупочной деятельности. Было рекомендовано принять конкретные планы и дорожную карту по продолжению реализации/завершению этих двух проектов. Меры по управлению рисками в отношении всех проектов, а также мероприятия в рамках оперативного плана были признаны недостаточными. Было рекомендовано разработать общие процедуры, инструменты и стандарты БРЭ для управления рисками на уровне проектов и для проведения регулярных бюджетных мероприятий. Информационно-коммуникационные инструменты БРЭ были признаны неэффективными, и было рекомендовано определить такие инструменты, чтобы усилить поддержку БРЭ, включая укрепление сбора информации, мониторинга и отчетности по проектам, инициативам и регулярным бюджетным мероприятиям. Что касается мероприятий БРЭ в регионах, то было установлено, что ведется недостаточный мониторинг и существует высокий риск нерационального и неэффективного использования ресурсов. Было рекомендовано осуществлять специальные меры предшествующего и последующего контроля в отношении организации мероприятий (семинаров-практикумов, семинаров и конференций). Также было рекомендовано провести оценку действующих систем и мер </w:t>
      </w:r>
      <w:r w:rsidR="00CB1006" w:rsidRPr="00C12E2E">
        <w:rPr>
          <w:lang w:val="ru-RU"/>
        </w:rPr>
        <w:lastRenderedPageBreak/>
        <w:t xml:space="preserve">контроля, связанных с мониторингом проектов, с тем чтобы: i) определить возможные усовершенствования на уровне обмена информацией и </w:t>
      </w:r>
      <w:proofErr w:type="spellStart"/>
      <w:r w:rsidR="00CB1006" w:rsidRPr="00C12E2E">
        <w:rPr>
          <w:lang w:val="ru-RU"/>
        </w:rPr>
        <w:t>ii</w:t>
      </w:r>
      <w:proofErr w:type="spellEnd"/>
      <w:r w:rsidR="00CB1006" w:rsidRPr="00C12E2E">
        <w:rPr>
          <w:lang w:val="ru-RU"/>
        </w:rPr>
        <w:t>) принять необходимые меры в отношении руководителей проектов, которые не представляют надлежащую и своевременную отчетность о реализации проектов</w:t>
      </w:r>
      <w:r w:rsidRPr="00C12E2E">
        <w:rPr>
          <w:lang w:val="ru-RU"/>
        </w:rPr>
        <w:t>.</w:t>
      </w:r>
    </w:p>
    <w:p w14:paraId="385387C8" w14:textId="00D1F216" w:rsidR="00080C48" w:rsidRPr="00C12E2E" w:rsidRDefault="00080C48" w:rsidP="00080C48">
      <w:pPr>
        <w:rPr>
          <w:lang w:val="ru-RU"/>
        </w:rPr>
      </w:pPr>
      <w:r w:rsidRPr="00C12E2E">
        <w:rPr>
          <w:lang w:val="ru-RU"/>
        </w:rPr>
        <w:t>10</w:t>
      </w:r>
      <w:r w:rsidRPr="00C12E2E">
        <w:rPr>
          <w:lang w:val="ru-RU"/>
        </w:rPr>
        <w:tab/>
      </w:r>
      <w:r w:rsidR="00CB1006" w:rsidRPr="00C12E2E">
        <w:rPr>
          <w:lang w:val="ru-RU"/>
        </w:rPr>
        <w:t>Директор БРЭ и руководитель HRMD согласны со всеми представленными рекомендациями и привержены их скорейшему выполнению. Кроме того, отмечается, что на сегодняшний день проводится оценка ИТ и планируется полная переработка инструментов БРЭ, включая создание информационных панелей в режиме реального времени. Уже проведены или находятся в процессе осуществления некоторые мероприятия по выполнению рекомендаций</w:t>
      </w:r>
      <w:r w:rsidRPr="00C12E2E">
        <w:rPr>
          <w:lang w:val="ru-RU"/>
        </w:rPr>
        <w:t>.</w:t>
      </w:r>
    </w:p>
    <w:p w14:paraId="4BFA99BF" w14:textId="77777777" w:rsidR="00080C48" w:rsidRPr="00C12E2E" w:rsidRDefault="00080C48" w:rsidP="00080C48">
      <w:pPr>
        <w:pStyle w:val="Headingb"/>
        <w:rPr>
          <w:highlight w:val="lightGray"/>
          <w:lang w:val="ru-RU"/>
        </w:rPr>
      </w:pPr>
      <w:r w:rsidRPr="00C12E2E">
        <w:rPr>
          <w:lang w:val="ru-RU"/>
        </w:rPr>
        <w:t>Расследования подразделения внутреннего аудита</w:t>
      </w:r>
    </w:p>
    <w:p w14:paraId="4E972348" w14:textId="77AEB95C" w:rsidR="00D70687" w:rsidRPr="00C12E2E" w:rsidRDefault="00D70687" w:rsidP="00D70687">
      <w:pPr>
        <w:rPr>
          <w:lang w:val="ru-RU"/>
        </w:rPr>
      </w:pPr>
      <w:r w:rsidRPr="00C12E2E">
        <w:rPr>
          <w:lang w:val="ru-RU"/>
        </w:rPr>
        <w:t>11</w:t>
      </w:r>
      <w:r w:rsidRPr="00C12E2E">
        <w:rPr>
          <w:lang w:val="ru-RU"/>
        </w:rPr>
        <w:tab/>
      </w:r>
      <w:r w:rsidR="00754197" w:rsidRPr="00C12E2E">
        <w:rPr>
          <w:lang w:val="ru-RU"/>
        </w:rPr>
        <w:t>Служба IA в своем следственном качестве провела два расследования и продолжает работу по еще шести расследованиям. Служба IA также оказывала всеобъемлющую поддержку внешним специалистам в проведении двух расследований</w:t>
      </w:r>
      <w:r w:rsidRPr="00C12E2E">
        <w:rPr>
          <w:lang w:val="ru-RU"/>
        </w:rPr>
        <w:t>.</w:t>
      </w:r>
    </w:p>
    <w:p w14:paraId="17316BEF" w14:textId="7770D284" w:rsidR="00D70687" w:rsidRPr="00C12E2E" w:rsidRDefault="00D70687" w:rsidP="00D70687">
      <w:pPr>
        <w:rPr>
          <w:lang w:val="ru-RU"/>
        </w:rPr>
      </w:pPr>
      <w:r w:rsidRPr="00C12E2E">
        <w:rPr>
          <w:lang w:val="ru-RU"/>
        </w:rPr>
        <w:t>12</w:t>
      </w:r>
      <w:r w:rsidRPr="00C12E2E">
        <w:rPr>
          <w:lang w:val="ru-RU"/>
        </w:rPr>
        <w:tab/>
      </w:r>
      <w:r w:rsidR="00754197" w:rsidRPr="00C12E2E">
        <w:rPr>
          <w:lang w:val="ru-RU"/>
        </w:rPr>
        <w:t>Служба IA завершила два расследования</w:t>
      </w:r>
      <w:r w:rsidRPr="00C12E2E">
        <w:rPr>
          <w:lang w:val="ru-RU"/>
        </w:rPr>
        <w:t xml:space="preserve">: </w:t>
      </w:r>
    </w:p>
    <w:p w14:paraId="5E065D14" w14:textId="09E510EA" w:rsidR="00D70687" w:rsidRPr="00C12E2E" w:rsidRDefault="00D70687" w:rsidP="00D70687">
      <w:pPr>
        <w:pStyle w:val="enumlev1"/>
        <w:rPr>
          <w:lang w:val="ru-RU"/>
        </w:rPr>
      </w:pPr>
      <w:r w:rsidRPr="00C12E2E">
        <w:rPr>
          <w:lang w:val="ru-RU"/>
        </w:rPr>
        <w:t>a)</w:t>
      </w:r>
      <w:r w:rsidRPr="00C12E2E">
        <w:rPr>
          <w:lang w:val="ru-RU"/>
        </w:rPr>
        <w:tab/>
      </w:r>
      <w:r w:rsidR="00754197" w:rsidRPr="00C12E2E">
        <w:rPr>
          <w:lang w:val="ru-RU"/>
        </w:rPr>
        <w:t xml:space="preserve">официальное расследование в отношении жалобы по поводу: i) предполагаемого ненадлежащего обращения, которому подвергся заявитель со стороны двух его бывших руководителей; </w:t>
      </w:r>
      <w:proofErr w:type="spellStart"/>
      <w:r w:rsidR="00754197" w:rsidRPr="00C12E2E">
        <w:rPr>
          <w:lang w:val="ru-RU"/>
        </w:rPr>
        <w:t>ii</w:t>
      </w:r>
      <w:proofErr w:type="spellEnd"/>
      <w:r w:rsidR="00754197" w:rsidRPr="00C12E2E">
        <w:rPr>
          <w:lang w:val="ru-RU"/>
        </w:rPr>
        <w:t xml:space="preserve">) предполагаемого нарушения политики по противодействию мошенничеству со стороны двух бывших руководителей; и </w:t>
      </w:r>
      <w:proofErr w:type="spellStart"/>
      <w:r w:rsidR="00754197" w:rsidRPr="00C12E2E">
        <w:rPr>
          <w:lang w:val="ru-RU"/>
        </w:rPr>
        <w:t>iii</w:t>
      </w:r>
      <w:proofErr w:type="spellEnd"/>
      <w:r w:rsidR="00754197" w:rsidRPr="00C12E2E">
        <w:rPr>
          <w:lang w:val="ru-RU"/>
        </w:rPr>
        <w:t>) мести за сообщение заявителем о неправомерном поведении одного из его руководителей. МСЭ поручил внешнему специалисту провести расследование при поддержке сотрудников Службы IA в отношении предполагаемого ненадлежащего обращения, которому подвергся заявитель со стороны двух его бывших руководителей (расследование было полностью завершено в октябре 2019 года; Генеральному секретарю МСЭ был представлен отчет о его результатах); и</w:t>
      </w:r>
    </w:p>
    <w:p w14:paraId="352DBD61" w14:textId="32009322" w:rsidR="00D70687" w:rsidRPr="00C12E2E" w:rsidRDefault="00D70687" w:rsidP="00D70687">
      <w:pPr>
        <w:pStyle w:val="enumlev1"/>
        <w:rPr>
          <w:lang w:val="ru-RU"/>
        </w:rPr>
      </w:pPr>
      <w:r w:rsidRPr="00C12E2E">
        <w:rPr>
          <w:lang w:val="ru-RU"/>
        </w:rPr>
        <w:t>b)</w:t>
      </w:r>
      <w:r w:rsidRPr="00C12E2E">
        <w:rPr>
          <w:lang w:val="ru-RU"/>
        </w:rPr>
        <w:tab/>
      </w:r>
      <w:r w:rsidR="00754197" w:rsidRPr="00C12E2E">
        <w:rPr>
          <w:lang w:val="ru-RU"/>
        </w:rPr>
        <w:t>официальное расследование в отношении жалобы по поводу предполагаемого наличия у одного из сотрудников постоянного доступа к потенциально секретной и конфиденциальной информации, хотя занимаемая им должность не предполагает подобных полномочий (расследование было завершено в декабре 2019 года; Генеральному секретарю МСЭ был представлен отчет о его результатах)</w:t>
      </w:r>
      <w:r w:rsidRPr="00C12E2E">
        <w:rPr>
          <w:lang w:val="ru-RU"/>
        </w:rPr>
        <w:t>.</w:t>
      </w:r>
    </w:p>
    <w:p w14:paraId="36C70868" w14:textId="54EF5C4D" w:rsidR="00D70687" w:rsidRPr="00C12E2E" w:rsidRDefault="00D70687" w:rsidP="00D70687">
      <w:pPr>
        <w:rPr>
          <w:lang w:val="ru-RU"/>
        </w:rPr>
      </w:pPr>
      <w:r w:rsidRPr="00C12E2E">
        <w:rPr>
          <w:lang w:val="ru-RU"/>
        </w:rPr>
        <w:t>13</w:t>
      </w:r>
      <w:r w:rsidRPr="00C12E2E">
        <w:rPr>
          <w:lang w:val="ru-RU"/>
        </w:rPr>
        <w:tab/>
      </w:r>
      <w:r w:rsidR="00754197" w:rsidRPr="00C12E2E">
        <w:rPr>
          <w:lang w:val="ru-RU"/>
        </w:rPr>
        <w:t>Служба IA ведет еще шесть расследований: три расследования в связи с жалобами по поводу предполагаемой несанкционированной внеслужебной деятельности, осуществляемой тремя разными сотрудниками; расследование в отношении жалобы по поводу предполагаемого мошенничества при получении сотрудником пособий и/или надбавок; расследование в связи с жалобой в отношении нескольких сотрудников, которые предположительно побуждали к предоставлению потенциально секретной/конфиденциальной информации внешним сторонам, были свидетелями таких действий и/или активно участвовали в них; и расследование, связанное с жалобой в отношении предполагаемого уничтожения и/или сокрытия сотрудником архивов МСЭ</w:t>
      </w:r>
      <w:r w:rsidRPr="00C12E2E">
        <w:rPr>
          <w:lang w:val="ru-RU"/>
        </w:rPr>
        <w:t xml:space="preserve">. </w:t>
      </w:r>
    </w:p>
    <w:p w14:paraId="0C9A5347" w14:textId="0E8E7882" w:rsidR="00D70687" w:rsidRPr="00C12E2E" w:rsidRDefault="00D70687" w:rsidP="00D70687">
      <w:pPr>
        <w:rPr>
          <w:lang w:val="ru-RU"/>
        </w:rPr>
      </w:pPr>
      <w:r w:rsidRPr="00C12E2E">
        <w:rPr>
          <w:lang w:val="ru-RU"/>
        </w:rPr>
        <w:t>14</w:t>
      </w:r>
      <w:r w:rsidRPr="00C12E2E">
        <w:rPr>
          <w:lang w:val="ru-RU"/>
        </w:rPr>
        <w:tab/>
      </w:r>
      <w:r w:rsidR="00754197" w:rsidRPr="00C12E2E">
        <w:rPr>
          <w:lang w:val="ru-RU"/>
        </w:rPr>
        <w:t>Была оказана всеобъемлющая поддержка внешнему специалисту по расследованиям, который был нанят для проведения</w:t>
      </w:r>
      <w:r w:rsidRPr="00C12E2E">
        <w:rPr>
          <w:lang w:val="ru-RU"/>
        </w:rPr>
        <w:t xml:space="preserve">: </w:t>
      </w:r>
    </w:p>
    <w:p w14:paraId="177987F0" w14:textId="36FC149A" w:rsidR="00D70687" w:rsidRPr="00C12E2E" w:rsidRDefault="00D70687" w:rsidP="00D70687">
      <w:pPr>
        <w:pStyle w:val="enumlev1"/>
        <w:rPr>
          <w:lang w:val="ru-RU"/>
        </w:rPr>
      </w:pPr>
      <w:r w:rsidRPr="00C12E2E">
        <w:rPr>
          <w:lang w:val="ru-RU"/>
        </w:rPr>
        <w:t>a)</w:t>
      </w:r>
      <w:r w:rsidRPr="00C12E2E">
        <w:rPr>
          <w:lang w:val="ru-RU"/>
        </w:rPr>
        <w:tab/>
      </w:r>
      <w:r w:rsidR="00754197" w:rsidRPr="00C12E2E">
        <w:rPr>
          <w:lang w:val="ru-RU"/>
        </w:rPr>
        <w:t>дальнейшего расследования с целью установить, имелись ли системные или индивидуальные недостатки и/или халатное исполнение управленческих обязанностей при осуществлении контроля и надзора за деятельностью в региональном отделении, где в 2018 году был выявлен случай крупного мошенничества (завершено в январе 2020 года); поддержка также была оказана другому специалисту по расследованиям, который был нанят для проведения</w:t>
      </w:r>
      <w:r w:rsidRPr="00C12E2E">
        <w:rPr>
          <w:lang w:val="ru-RU"/>
        </w:rPr>
        <w:t>:</w:t>
      </w:r>
    </w:p>
    <w:p w14:paraId="2C60BE0F" w14:textId="3297F029" w:rsidR="00D70687" w:rsidRPr="00C12E2E" w:rsidRDefault="00D70687" w:rsidP="00D70687">
      <w:pPr>
        <w:pStyle w:val="enumlev1"/>
        <w:rPr>
          <w:lang w:val="ru-RU"/>
        </w:rPr>
      </w:pPr>
      <w:r w:rsidRPr="00C12E2E">
        <w:rPr>
          <w:lang w:val="ru-RU"/>
        </w:rPr>
        <w:t>b)</w:t>
      </w:r>
      <w:r w:rsidRPr="00C12E2E">
        <w:rPr>
          <w:lang w:val="ru-RU"/>
        </w:rPr>
        <w:tab/>
      </w:r>
      <w:r w:rsidR="00754197" w:rsidRPr="00C12E2E">
        <w:rPr>
          <w:lang w:val="ru-RU"/>
        </w:rPr>
        <w:t>официального расследования в отношении предполагаемого ненадлежащего поведения сотрудника МСЭ по отношению к другим сотрудникам (расследование продолжается</w:t>
      </w:r>
      <w:r w:rsidRPr="00C12E2E">
        <w:rPr>
          <w:lang w:val="ru-RU"/>
        </w:rPr>
        <w:t>).</w:t>
      </w:r>
    </w:p>
    <w:p w14:paraId="1D3805F7" w14:textId="77777777" w:rsidR="00080C48" w:rsidRPr="00C12E2E" w:rsidRDefault="00080C48" w:rsidP="00080C48">
      <w:pPr>
        <w:pStyle w:val="Headingb"/>
        <w:rPr>
          <w:lang w:val="ru-RU"/>
        </w:rPr>
      </w:pPr>
      <w:r w:rsidRPr="00C12E2E">
        <w:rPr>
          <w:lang w:val="ru-RU"/>
        </w:rPr>
        <w:lastRenderedPageBreak/>
        <w:t>Консультационные услуги, предоставляемые подразделением внутреннего аудита</w:t>
      </w:r>
    </w:p>
    <w:p w14:paraId="09498CA1" w14:textId="3ACE525E" w:rsidR="00080C48" w:rsidRPr="00C12E2E" w:rsidRDefault="00E5563F" w:rsidP="008B7D4F">
      <w:pPr>
        <w:pStyle w:val="enumlev1"/>
        <w:rPr>
          <w:b/>
          <w:i/>
          <w:highlight w:val="lightGray"/>
          <w:lang w:val="ru-RU"/>
        </w:rPr>
      </w:pPr>
      <w:r w:rsidRPr="00C12E2E">
        <w:rPr>
          <w:b/>
          <w:i/>
          <w:lang w:val="ru-RU"/>
        </w:rPr>
        <w:tab/>
      </w:r>
      <w:r w:rsidR="00080C48" w:rsidRPr="00C12E2E">
        <w:rPr>
          <w:b/>
          <w:i/>
          <w:lang w:val="ru-RU"/>
        </w:rPr>
        <w:t>Процесс отбора Внешнего аудитора МСЭ</w:t>
      </w:r>
    </w:p>
    <w:p w14:paraId="7CE50708" w14:textId="4184A109" w:rsidR="00080C48" w:rsidRPr="00C12E2E" w:rsidRDefault="00082FD2" w:rsidP="00080C48">
      <w:pPr>
        <w:rPr>
          <w:lang w:val="ru-RU"/>
        </w:rPr>
      </w:pPr>
      <w:r w:rsidRPr="00C12E2E">
        <w:rPr>
          <w:lang w:val="ru-RU"/>
        </w:rPr>
        <w:t>15</w:t>
      </w:r>
      <w:r w:rsidR="00080C48" w:rsidRPr="00C12E2E">
        <w:rPr>
          <w:lang w:val="ru-RU"/>
        </w:rPr>
        <w:tab/>
        <w:t>По рекомендации IMAC, Генеральный секретарь обратился к Службе IA с просьбой провести от имени Секретариата процесс выбора нового Внешнего аудитора. Совет на своей сессии в 2018 году назначил лиц, рекомендованных шестью региональными организациями электросвязи, членами Комитета по оценке, которые должны представить Совету 2019 года отчет о результатах своей работы. При поддержке Секретариата МСЭ Комитет по оценке выполнил работу по проведению тендера в целях определения высшего ревизионного органа (SAI) одного из Государств</w:t>
      </w:r>
      <w:r w:rsidRPr="00C12E2E">
        <w:rPr>
          <w:lang w:val="ru-RU"/>
        </w:rPr>
        <w:t> </w:t>
      </w:r>
      <w:r w:rsidR="00080C48" w:rsidRPr="00C12E2E">
        <w:rPr>
          <w:lang w:val="ru-RU"/>
        </w:rPr>
        <w:t>− Членов МСЭ, наилучшим образом отвечающего критериям, изложенным в объявлении о принятии предложений (</w:t>
      </w:r>
      <w:proofErr w:type="spellStart"/>
      <w:r w:rsidR="00080C48" w:rsidRPr="00C12E2E">
        <w:rPr>
          <w:lang w:val="ru-RU"/>
        </w:rPr>
        <w:t>RfP</w:t>
      </w:r>
      <w:proofErr w:type="spellEnd"/>
      <w:r w:rsidR="00080C48" w:rsidRPr="00C12E2E">
        <w:rPr>
          <w:lang w:val="ru-RU"/>
        </w:rPr>
        <w:t>) для аудиторской проверки счетов Союза.</w:t>
      </w:r>
    </w:p>
    <w:p w14:paraId="794BC898" w14:textId="1822AE63" w:rsidR="00080C48" w:rsidRPr="00C12E2E" w:rsidRDefault="00082FD2" w:rsidP="00080C48">
      <w:pPr>
        <w:rPr>
          <w:lang w:val="ru-RU"/>
        </w:rPr>
      </w:pPr>
      <w:r w:rsidRPr="00C12E2E">
        <w:rPr>
          <w:lang w:val="ru-RU"/>
        </w:rPr>
        <w:t>16</w:t>
      </w:r>
      <w:r w:rsidR="00080C48" w:rsidRPr="00C12E2E">
        <w:rPr>
          <w:lang w:val="ru-RU"/>
        </w:rPr>
        <w:tab/>
        <w:t xml:space="preserve">В течение всего процесса </w:t>
      </w:r>
      <w:r w:rsidR="00080C48" w:rsidRPr="00C12E2E">
        <w:rPr>
          <w:color w:val="000000"/>
          <w:lang w:val="ru-RU"/>
        </w:rPr>
        <w:t>Служба IA</w:t>
      </w:r>
      <w:r w:rsidR="00080C48" w:rsidRPr="00C12E2E">
        <w:rPr>
          <w:lang w:val="ru-RU"/>
        </w:rPr>
        <w:t xml:space="preserve"> продолжала оказывать помощь членам Комитета по оценке в их работе и, в случае необходимости, предоставляла руководящие указания по процедурным и техническим вопросам аудита. Отчет о работе Комитета по оценке представлен на рассмотрение Совету в отдельном документе.</w:t>
      </w:r>
    </w:p>
    <w:p w14:paraId="628E0025" w14:textId="016F1440" w:rsidR="00082FD2" w:rsidRPr="00C12E2E" w:rsidRDefault="00E5563F" w:rsidP="008B7D4F">
      <w:pPr>
        <w:pStyle w:val="enumlev1"/>
        <w:rPr>
          <w:b/>
          <w:i/>
          <w:lang w:val="ru-RU"/>
        </w:rPr>
      </w:pPr>
      <w:r w:rsidRPr="00C12E2E">
        <w:rPr>
          <w:b/>
          <w:i/>
          <w:lang w:val="ru-RU"/>
        </w:rPr>
        <w:tab/>
      </w:r>
      <w:r w:rsidR="00754197" w:rsidRPr="00C12E2E">
        <w:rPr>
          <w:b/>
          <w:i/>
          <w:lang w:val="ru-RU"/>
        </w:rPr>
        <w:t xml:space="preserve">Процесс отбора для проведения судебно-бухгалтерской экспертизы </w:t>
      </w:r>
      <w:r w:rsidR="00082FD2" w:rsidRPr="00C12E2E">
        <w:rPr>
          <w:b/>
          <w:i/>
          <w:lang w:val="ru-RU"/>
        </w:rPr>
        <w:t>(Решение 613 Совета)</w:t>
      </w:r>
    </w:p>
    <w:p w14:paraId="7CA86BF2" w14:textId="7379D93C" w:rsidR="00082FD2" w:rsidRPr="00C12E2E" w:rsidRDefault="00082FD2" w:rsidP="00082FD2">
      <w:pPr>
        <w:rPr>
          <w:lang w:val="ru-RU"/>
        </w:rPr>
      </w:pPr>
      <w:r w:rsidRPr="00C12E2E">
        <w:rPr>
          <w:rFonts w:cstheme="minorHAnsi"/>
          <w:color w:val="000000"/>
          <w:lang w:val="ru-RU"/>
        </w:rPr>
        <w:t>17</w:t>
      </w:r>
      <w:r w:rsidRPr="00C12E2E">
        <w:rPr>
          <w:rFonts w:cstheme="minorHAnsi"/>
          <w:color w:val="000000"/>
          <w:lang w:val="ru-RU"/>
        </w:rPr>
        <w:tab/>
      </w:r>
      <w:r w:rsidR="00754197" w:rsidRPr="00C12E2E">
        <w:rPr>
          <w:lang w:val="ru-RU"/>
        </w:rPr>
        <w:t>На сессии Совета 2019 года было принято Решение 613, согласно которому Генеральному секретарю было поручено провести судебно-бухгалтерскую экспертизу. Служба IA совместно с Отделом закупок разработали документ "Выражение заинтересованности" (EOI) и при содействии консультанта подготовили объявление о принятии предложений (RFP). Прием предложений завершился 15 апреля 2020 года; сегодня идет процесс отбора компании для проведения судебно-бухгалтерской экспертизы</w:t>
      </w:r>
      <w:r w:rsidRPr="00C12E2E">
        <w:rPr>
          <w:lang w:val="ru-RU"/>
        </w:rPr>
        <w:t xml:space="preserve">. </w:t>
      </w:r>
    </w:p>
    <w:p w14:paraId="6B5B77D0" w14:textId="77777777" w:rsidR="00080C48" w:rsidRPr="00C12E2E" w:rsidRDefault="00080C48" w:rsidP="00080C48">
      <w:pPr>
        <w:pStyle w:val="Headingb"/>
        <w:rPr>
          <w:lang w:val="ru-RU"/>
        </w:rPr>
      </w:pPr>
      <w:r w:rsidRPr="00C12E2E">
        <w:rPr>
          <w:lang w:val="ru-RU"/>
        </w:rPr>
        <w:t>Последующие меры в связи с рекомендациями по итогам внутреннего аудита</w:t>
      </w:r>
    </w:p>
    <w:p w14:paraId="2F10457F" w14:textId="68BFDA0E" w:rsidR="00080C48" w:rsidRPr="00C12E2E" w:rsidRDefault="00080C48" w:rsidP="00080C48">
      <w:pPr>
        <w:spacing w:after="120"/>
        <w:rPr>
          <w:rFonts w:cstheme="majorBidi"/>
          <w:lang w:val="ru-RU"/>
        </w:rPr>
      </w:pPr>
      <w:r w:rsidRPr="00C12E2E">
        <w:rPr>
          <w:lang w:val="ru-RU"/>
        </w:rPr>
        <w:t>1</w:t>
      </w:r>
      <w:r w:rsidR="006F0449" w:rsidRPr="00C12E2E">
        <w:rPr>
          <w:lang w:val="ru-RU"/>
        </w:rPr>
        <w:t>8</w:t>
      </w:r>
      <w:r w:rsidRPr="00C12E2E">
        <w:rPr>
          <w:lang w:val="ru-RU"/>
        </w:rPr>
        <w:tab/>
        <w:t xml:space="preserve">На протяжении отчетного периода Служба </w:t>
      </w:r>
      <w:r w:rsidR="00754197" w:rsidRPr="00C12E2E">
        <w:rPr>
          <w:lang w:val="ru-RU"/>
        </w:rPr>
        <w:t>IA</w:t>
      </w:r>
      <w:r w:rsidRPr="00C12E2E">
        <w:rPr>
          <w:lang w:val="ru-RU"/>
        </w:rPr>
        <w:t xml:space="preserve"> продолжала отслеживать последующие меры, принятые в связи с рекомендациями, содержащимися в предыдущих отчетах об аудите</w:t>
      </w:r>
      <w:r w:rsidRPr="00C12E2E">
        <w:rPr>
          <w:rFonts w:cstheme="majorBidi"/>
          <w:lang w:val="ru-RU"/>
        </w:rPr>
        <w:t xml:space="preserve">. </w:t>
      </w:r>
      <w:r w:rsidRPr="00C12E2E">
        <w:rPr>
          <w:lang w:val="ru-RU"/>
        </w:rPr>
        <w:t xml:space="preserve">За последние 12 месяцев отмечен дальнейший прогресс, и ниже представлены статистические данные по выполнению рекомендаций (по состоянию на 15 </w:t>
      </w:r>
      <w:r w:rsidR="006F0449" w:rsidRPr="00C12E2E">
        <w:rPr>
          <w:lang w:val="ru-RU"/>
        </w:rPr>
        <w:t>октября</w:t>
      </w:r>
      <w:r w:rsidRPr="00C12E2E">
        <w:rPr>
          <w:lang w:val="ru-RU"/>
        </w:rPr>
        <w:t xml:space="preserve"> 2019 г.</w:t>
      </w:r>
      <w:r w:rsidRPr="00C12E2E">
        <w:rPr>
          <w:rFonts w:cstheme="majorBidi"/>
          <w:lang w:val="ru-RU"/>
        </w:rPr>
        <w:t>):</w:t>
      </w:r>
    </w:p>
    <w:tbl>
      <w:tblPr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1847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952"/>
      </w:tblGrid>
      <w:tr w:rsidR="00623DB1" w:rsidRPr="00C12E2E" w14:paraId="675D75A4" w14:textId="77777777" w:rsidTr="00C12E2E">
        <w:trPr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E46F85F" w14:textId="77777777" w:rsidR="00080C48" w:rsidRPr="00C12E2E" w:rsidRDefault="00080C48" w:rsidP="00C12E2E">
            <w:pPr>
              <w:pStyle w:val="Tablehead"/>
              <w:rPr>
                <w:lang w:val="ru-RU"/>
              </w:rPr>
            </w:pPr>
            <w:r w:rsidRPr="00C12E2E">
              <w:rPr>
                <w:lang w:val="ru-RU"/>
              </w:rPr>
              <w:t>Год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3B3292F" w14:textId="77777777" w:rsidR="00080C48" w:rsidRPr="00C12E2E" w:rsidRDefault="00080C48" w:rsidP="00C12E2E">
            <w:pPr>
              <w:pStyle w:val="Tablehead"/>
              <w:rPr>
                <w:lang w:val="ru-RU"/>
              </w:rPr>
            </w:pPr>
            <w:r w:rsidRPr="00C12E2E">
              <w:rPr>
                <w:lang w:val="ru-RU"/>
              </w:rPr>
              <w:t>2011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B3FAD4B" w14:textId="77777777" w:rsidR="00080C48" w:rsidRPr="00C12E2E" w:rsidRDefault="00080C48" w:rsidP="00C12E2E">
            <w:pPr>
              <w:pStyle w:val="Tablehead"/>
              <w:rPr>
                <w:lang w:val="ru-RU"/>
              </w:rPr>
            </w:pPr>
            <w:r w:rsidRPr="00C12E2E">
              <w:rPr>
                <w:lang w:val="ru-RU"/>
              </w:rPr>
              <w:t>2012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4E7D915" w14:textId="77777777" w:rsidR="00080C48" w:rsidRPr="00C12E2E" w:rsidRDefault="00080C48" w:rsidP="00C12E2E">
            <w:pPr>
              <w:pStyle w:val="Tablehead"/>
              <w:rPr>
                <w:lang w:val="ru-RU"/>
              </w:rPr>
            </w:pPr>
            <w:r w:rsidRPr="00C12E2E">
              <w:rPr>
                <w:lang w:val="ru-RU"/>
              </w:rPr>
              <w:t>2013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D7FD55F" w14:textId="77777777" w:rsidR="00080C48" w:rsidRPr="00C12E2E" w:rsidRDefault="00080C48" w:rsidP="00C12E2E">
            <w:pPr>
              <w:pStyle w:val="Tablehead"/>
              <w:rPr>
                <w:lang w:val="ru-RU"/>
              </w:rPr>
            </w:pPr>
            <w:r w:rsidRPr="00C12E2E">
              <w:rPr>
                <w:lang w:val="ru-RU"/>
              </w:rPr>
              <w:t>2014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C294FB6" w14:textId="77777777" w:rsidR="00080C48" w:rsidRPr="00C12E2E" w:rsidRDefault="00080C48" w:rsidP="00C12E2E">
            <w:pPr>
              <w:pStyle w:val="Tablehead"/>
              <w:rPr>
                <w:lang w:val="ru-RU"/>
              </w:rPr>
            </w:pPr>
            <w:r w:rsidRPr="00C12E2E">
              <w:rPr>
                <w:lang w:val="ru-RU"/>
              </w:rPr>
              <w:t>2015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7E3EDC8" w14:textId="77777777" w:rsidR="00080C48" w:rsidRPr="00C12E2E" w:rsidRDefault="00080C48" w:rsidP="00C12E2E">
            <w:pPr>
              <w:pStyle w:val="Tablehead"/>
              <w:rPr>
                <w:lang w:val="ru-RU"/>
              </w:rPr>
            </w:pPr>
            <w:r w:rsidRPr="00C12E2E">
              <w:rPr>
                <w:lang w:val="ru-RU"/>
              </w:rPr>
              <w:t>2016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E25E473" w14:textId="77777777" w:rsidR="00080C48" w:rsidRPr="00C12E2E" w:rsidRDefault="00080C48" w:rsidP="00C12E2E">
            <w:pPr>
              <w:pStyle w:val="Tablehead"/>
              <w:rPr>
                <w:color w:val="FFFFFF" w:themeColor="background1"/>
                <w:lang w:val="ru-RU"/>
              </w:rPr>
            </w:pPr>
            <w:r w:rsidRPr="00C12E2E">
              <w:rPr>
                <w:color w:val="FFFFFF" w:themeColor="background1"/>
                <w:lang w:val="ru-RU"/>
              </w:rPr>
              <w:t>2017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6EBA04F6" w14:textId="77777777" w:rsidR="00080C48" w:rsidRPr="00C12E2E" w:rsidRDefault="00080C48" w:rsidP="00C12E2E">
            <w:pPr>
              <w:pStyle w:val="Tablehead"/>
              <w:rPr>
                <w:lang w:val="ru-RU"/>
              </w:rPr>
            </w:pPr>
            <w:r w:rsidRPr="00C12E2E">
              <w:rPr>
                <w:lang w:val="ru-RU"/>
              </w:rPr>
              <w:t>2018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715D54DD" w14:textId="77777777" w:rsidR="00080C48" w:rsidRPr="00C12E2E" w:rsidRDefault="00080C48" w:rsidP="00C12E2E">
            <w:pPr>
              <w:pStyle w:val="Tablehead"/>
              <w:rPr>
                <w:lang w:val="ru-RU"/>
              </w:rPr>
            </w:pPr>
            <w:r w:rsidRPr="00C12E2E">
              <w:rPr>
                <w:lang w:val="ru-RU"/>
              </w:rPr>
              <w:t>2019</w:t>
            </w:r>
            <w:r w:rsidRPr="00C12E2E">
              <w:rPr>
                <w:rStyle w:val="FootnoteReference"/>
                <w:lang w:val="ru-RU"/>
              </w:rPr>
              <w:t>*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48D9A19" w14:textId="77777777" w:rsidR="00080C48" w:rsidRPr="00C12E2E" w:rsidRDefault="00080C48" w:rsidP="00C12E2E">
            <w:pPr>
              <w:pStyle w:val="Tablehead"/>
              <w:rPr>
                <w:lang w:val="ru-RU"/>
              </w:rPr>
            </w:pPr>
            <w:r w:rsidRPr="00C12E2E">
              <w:rPr>
                <w:lang w:val="ru-RU"/>
              </w:rPr>
              <w:t>Итого</w:t>
            </w:r>
          </w:p>
        </w:tc>
      </w:tr>
      <w:tr w:rsidR="006F0449" w:rsidRPr="00C12E2E" w14:paraId="3E02017F" w14:textId="77777777" w:rsidTr="00623DB1">
        <w:trPr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6F623" w14:textId="77777777" w:rsidR="006F0449" w:rsidRPr="00C12E2E" w:rsidRDefault="006F0449" w:rsidP="00AC1AD9">
            <w:pPr>
              <w:pStyle w:val="Tabletext"/>
              <w:rPr>
                <w:lang w:val="ru-RU"/>
              </w:rPr>
            </w:pPr>
            <w:r w:rsidRPr="00C12E2E">
              <w:rPr>
                <w:lang w:val="ru-RU"/>
              </w:rPr>
              <w:t>Количество отчетов об аудите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6338" w14:textId="6D55A947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589F" w14:textId="0A4BEA0E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A8C093" w14:textId="1D5EC5DF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7F0A80F" w14:textId="57D9CAFC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66C2D6C" w14:textId="594D109E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F17909B" w14:textId="7C836CE3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35444" w14:textId="58F54B75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472E5" w14:textId="555C9F3E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88BE4" w14:textId="5D560243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2EB755C" w14:textId="47A19E07" w:rsidR="006F0449" w:rsidRPr="00C12E2E" w:rsidRDefault="006F0449" w:rsidP="00AC1AD9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C12E2E">
              <w:rPr>
                <w:rFonts w:cs="Calibri"/>
                <w:b/>
                <w:bCs/>
                <w:lang w:val="ru-RU"/>
              </w:rPr>
              <w:t>32</w:t>
            </w:r>
          </w:p>
        </w:tc>
      </w:tr>
      <w:tr w:rsidR="006F0449" w:rsidRPr="00C12E2E" w14:paraId="28F80AC4" w14:textId="77777777" w:rsidTr="00623DB1">
        <w:trPr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02C04" w14:textId="77777777" w:rsidR="006F0449" w:rsidRPr="00C12E2E" w:rsidRDefault="006F0449" w:rsidP="00AC1AD9">
            <w:pPr>
              <w:pStyle w:val="Tabletext"/>
              <w:rPr>
                <w:lang w:val="ru-RU"/>
              </w:rPr>
            </w:pPr>
            <w:r w:rsidRPr="00C12E2E">
              <w:rPr>
                <w:lang w:val="ru-RU"/>
              </w:rPr>
              <w:t>Количество рекомендаций − всего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58F37" w14:textId="1E385CA5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17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EAE6" w14:textId="5928B3FA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−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7630F" w14:textId="013AA219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113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56FE056" w14:textId="416945AA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55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FFE0B53" w14:textId="7EA26784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34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0053EF3" w14:textId="376A39AD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22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DB47" w14:textId="01336C1B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4F4F4" w14:textId="2CC6FB83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26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61D63" w14:textId="68AB90CD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B925C9F" w14:textId="18DF075E" w:rsidR="006F0449" w:rsidRPr="00C12E2E" w:rsidRDefault="006F0449" w:rsidP="00AC1AD9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C12E2E">
              <w:rPr>
                <w:rFonts w:cs="Calibri"/>
                <w:b/>
                <w:bCs/>
                <w:lang w:val="ru-RU"/>
              </w:rPr>
              <w:t>312</w:t>
            </w:r>
          </w:p>
        </w:tc>
      </w:tr>
      <w:tr w:rsidR="006F0449" w:rsidRPr="00C12E2E" w14:paraId="53B4DAF0" w14:textId="77777777" w:rsidTr="00623DB1">
        <w:trPr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439" w14:textId="77777777" w:rsidR="006F0449" w:rsidRPr="00C12E2E" w:rsidRDefault="006F0449" w:rsidP="00AC1AD9">
            <w:pPr>
              <w:pStyle w:val="Tabletext"/>
              <w:rPr>
                <w:lang w:val="ru-RU"/>
              </w:rPr>
            </w:pPr>
            <w:r w:rsidRPr="00C12E2E">
              <w:rPr>
                <w:lang w:val="ru-RU"/>
              </w:rPr>
              <w:tab/>
              <w:t>Выполняемые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F7726F" w14:textId="3F2A58BF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E0376" w14:textId="48E472FE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−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079884" w14:textId="230BDE7D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F72C0D6" w14:textId="19631DE1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05CDD7B" w14:textId="0A7E0A9F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5A9AEBF" w14:textId="206A2CFC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1A0FD" w14:textId="244C945E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9EE50" w14:textId="28E4A54E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16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85C31" w14:textId="66A65BEE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9657135" w14:textId="172194F4" w:rsidR="006F0449" w:rsidRPr="00C12E2E" w:rsidRDefault="006F0449" w:rsidP="00AC1AD9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C12E2E">
              <w:rPr>
                <w:rFonts w:cs="Calibri"/>
                <w:b/>
                <w:bCs/>
                <w:lang w:val="ru-RU"/>
              </w:rPr>
              <w:t>54</w:t>
            </w:r>
          </w:p>
        </w:tc>
      </w:tr>
      <w:tr w:rsidR="006F0449" w:rsidRPr="00C12E2E" w14:paraId="5C2A4D98" w14:textId="77777777" w:rsidTr="00623DB1">
        <w:trPr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1D7A" w14:textId="77777777" w:rsidR="006F0449" w:rsidRPr="00C12E2E" w:rsidRDefault="006F0449" w:rsidP="00AC1AD9">
            <w:pPr>
              <w:pStyle w:val="Tabletext"/>
              <w:rPr>
                <w:lang w:val="ru-RU"/>
              </w:rPr>
            </w:pPr>
            <w:r w:rsidRPr="00C12E2E">
              <w:rPr>
                <w:lang w:val="ru-RU"/>
              </w:rPr>
              <w:tab/>
              <w:t>Просроченные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B7A791" w14:textId="7E5BFFCC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1BC5" w14:textId="5F745408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−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A5A51" w14:textId="51EF28A4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1F791BE" w14:textId="5EF6ED8C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19F0854" w14:textId="4204091F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D0F6457" w14:textId="2FDECE5E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9581D" w14:textId="119FB967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629C6" w14:textId="3798624F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D7795" w14:textId="6C004BE2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D616346" w14:textId="626C1F7A" w:rsidR="006F0449" w:rsidRPr="00C12E2E" w:rsidRDefault="006F0449" w:rsidP="00AC1AD9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C12E2E">
              <w:rPr>
                <w:rFonts w:cs="Calibri"/>
                <w:b/>
                <w:bCs/>
                <w:lang w:val="ru-RU"/>
              </w:rPr>
              <w:t>3</w:t>
            </w:r>
          </w:p>
        </w:tc>
      </w:tr>
      <w:tr w:rsidR="006F0449" w:rsidRPr="00C12E2E" w14:paraId="45DA8B44" w14:textId="77777777" w:rsidTr="00623DB1">
        <w:trPr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F9FE7" w14:textId="77777777" w:rsidR="006F0449" w:rsidRPr="00C12E2E" w:rsidRDefault="006F0449" w:rsidP="00AC1AD9">
            <w:pPr>
              <w:pStyle w:val="Tabletext"/>
              <w:rPr>
                <w:lang w:val="ru-RU"/>
              </w:rPr>
            </w:pPr>
            <w:r w:rsidRPr="00C12E2E">
              <w:rPr>
                <w:lang w:val="ru-RU"/>
              </w:rPr>
              <w:tab/>
              <w:t>Выполненные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D63908" w14:textId="69006741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14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D91F" w14:textId="4E25DB15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−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D465B6" w14:textId="681DD400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108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E4EBCB9" w14:textId="5B5B0314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53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DAAFB98" w14:textId="4D91F280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33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382CFC3" w14:textId="73110957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14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921A3" w14:textId="6FA03D92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17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C5416" w14:textId="71670AB0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C315" w14:textId="1911FD7F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6B2D677" w14:textId="6236B8D7" w:rsidR="006F0449" w:rsidRPr="00C12E2E" w:rsidRDefault="006F0449" w:rsidP="00AC1AD9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C12E2E">
              <w:rPr>
                <w:rFonts w:cs="Calibri"/>
                <w:b/>
                <w:bCs/>
                <w:lang w:val="ru-RU"/>
              </w:rPr>
              <w:t>255</w:t>
            </w:r>
          </w:p>
        </w:tc>
      </w:tr>
      <w:tr w:rsidR="006F0449" w:rsidRPr="00C12E2E" w14:paraId="5143A91F" w14:textId="77777777" w:rsidTr="00623DB1">
        <w:trPr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C1D893D" w14:textId="77777777" w:rsidR="006F0449" w:rsidRPr="00C12E2E" w:rsidRDefault="006F0449" w:rsidP="00AC1AD9">
            <w:pPr>
              <w:pStyle w:val="Tabletext"/>
              <w:rPr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4426EBAF" w14:textId="42F20ABB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2C829A" w14:textId="77777777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A9B023E" w14:textId="6468E794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07B1FC7D" w14:textId="1201A6CE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22FF378" w14:textId="5F2E65BB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49C14F1" w14:textId="6448FD68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DC2CEE" w14:textId="493A7FE3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B475F6" w14:textId="42EAEAB2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1E2D7F" w14:textId="5A928AFD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0D6B" w14:textId="77777777" w:rsidR="006F0449" w:rsidRPr="00C12E2E" w:rsidRDefault="006F0449" w:rsidP="00AC1AD9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</w:p>
        </w:tc>
      </w:tr>
      <w:tr w:rsidR="006F0449" w:rsidRPr="00C12E2E" w14:paraId="6ECBDDD0" w14:textId="77777777" w:rsidTr="00623DB1">
        <w:trPr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EFA4" w14:textId="77777777" w:rsidR="006F0449" w:rsidRPr="00C12E2E" w:rsidRDefault="006F0449" w:rsidP="00AC1AD9">
            <w:pPr>
              <w:pStyle w:val="Tabletext"/>
              <w:rPr>
                <w:lang w:val="ru-RU"/>
              </w:rPr>
            </w:pPr>
            <w:r w:rsidRPr="00C12E2E">
              <w:rPr>
                <w:lang w:val="ru-RU"/>
              </w:rPr>
              <w:t>% выполняемых рекомендаций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3733" w14:textId="7B4AD2BF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0%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8A73" w14:textId="0BACFCE9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−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3F56" w14:textId="5EA822FB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4%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8CE6" w14:textId="7352E8EC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4%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3869" w14:textId="4EBEA70F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3%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DA5A" w14:textId="031BD813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36%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4901A" w14:textId="5E3CFA69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43%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91462" w14:textId="645F801C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62%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FAC65" w14:textId="3EC2AD94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60%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6B592C2" w14:textId="4D89E6D3" w:rsidR="006F0449" w:rsidRPr="00C12E2E" w:rsidRDefault="006F0449" w:rsidP="00AC1AD9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C12E2E">
              <w:rPr>
                <w:rFonts w:cs="Calibri"/>
                <w:b/>
                <w:bCs/>
                <w:lang w:val="ru-RU"/>
              </w:rPr>
              <w:t>17%</w:t>
            </w:r>
          </w:p>
        </w:tc>
      </w:tr>
      <w:tr w:rsidR="006F0449" w:rsidRPr="00C12E2E" w14:paraId="7FB8EA9E" w14:textId="77777777" w:rsidTr="00623DB1">
        <w:trPr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5D64" w14:textId="77777777" w:rsidR="006F0449" w:rsidRPr="00C12E2E" w:rsidRDefault="006F0449" w:rsidP="00AC1AD9">
            <w:pPr>
              <w:pStyle w:val="Tabletext"/>
              <w:rPr>
                <w:lang w:val="ru-RU"/>
              </w:rPr>
            </w:pPr>
            <w:r w:rsidRPr="00C12E2E">
              <w:rPr>
                <w:lang w:val="ru-RU"/>
              </w:rPr>
              <w:t>% просроченных рекомендаций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7D4C" w14:textId="3E69013F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18%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C0BF" w14:textId="24339608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−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64E0F" w14:textId="06D6B776" w:rsidR="006F0449" w:rsidRPr="00C12E2E" w:rsidRDefault="006F0449" w:rsidP="00AC1AD9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C12E2E">
              <w:rPr>
                <w:rFonts w:cs="Calibri"/>
                <w:lang w:val="ru-RU"/>
              </w:rPr>
              <w:t>0%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D53DD" w14:textId="7648DDDD" w:rsidR="006F0449" w:rsidRPr="00C12E2E" w:rsidRDefault="006F0449" w:rsidP="00AC1AD9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C12E2E">
              <w:rPr>
                <w:rFonts w:cs="Calibri"/>
                <w:lang w:val="ru-RU"/>
              </w:rPr>
              <w:t>0%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2AE4" w14:textId="647469BC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0%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2BFE" w14:textId="61093447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0%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58DD6" w14:textId="39275F9C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0%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F070F" w14:textId="368BB904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0%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EACC1" w14:textId="2945A406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0%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1164DF0" w14:textId="6FB23E49" w:rsidR="006F0449" w:rsidRPr="00C12E2E" w:rsidRDefault="006F0449" w:rsidP="00AC1AD9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C12E2E">
              <w:rPr>
                <w:rFonts w:cs="Calibri"/>
                <w:b/>
                <w:bCs/>
                <w:lang w:val="ru-RU"/>
              </w:rPr>
              <w:t>1%</w:t>
            </w:r>
          </w:p>
        </w:tc>
      </w:tr>
      <w:tr w:rsidR="006F0449" w:rsidRPr="00C12E2E" w14:paraId="3FE77EE7" w14:textId="77777777" w:rsidTr="00623DB1">
        <w:trPr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DA81B" w14:textId="77777777" w:rsidR="006F0449" w:rsidRPr="00C12E2E" w:rsidRDefault="006F0449" w:rsidP="00AC1AD9">
            <w:pPr>
              <w:pStyle w:val="Tabletext"/>
              <w:rPr>
                <w:lang w:val="ru-RU"/>
              </w:rPr>
            </w:pPr>
            <w:r w:rsidRPr="00C12E2E">
              <w:rPr>
                <w:lang w:val="ru-RU"/>
              </w:rPr>
              <w:t>% выполненных рекомендаций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05A0" w14:textId="240C7AFF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82%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A1AC" w14:textId="38D27AD8" w:rsidR="006F0449" w:rsidRPr="00C12E2E" w:rsidRDefault="006F0449" w:rsidP="00AC1AD9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C12E2E">
              <w:rPr>
                <w:rFonts w:cs="Calibri"/>
                <w:lang w:val="ru-RU"/>
              </w:rPr>
              <w:t>−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EF17" w14:textId="15F8ECE6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96%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3A9E" w14:textId="09A4F0C6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96%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AEF8" w14:textId="17B59EC5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97%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2567" w14:textId="2D989FF1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64%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BAEE" w14:textId="533CB91D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57%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7267C" w14:textId="5B968232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38%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C3DB5" w14:textId="380DB140" w:rsidR="006F0449" w:rsidRPr="00C12E2E" w:rsidRDefault="006F0449" w:rsidP="00AC1AD9">
            <w:pPr>
              <w:pStyle w:val="Tabletext"/>
              <w:jc w:val="center"/>
              <w:rPr>
                <w:rFonts w:cs="Calibri"/>
                <w:color w:val="000000"/>
                <w:lang w:val="ru-RU"/>
              </w:rPr>
            </w:pPr>
            <w:r w:rsidRPr="00C12E2E">
              <w:rPr>
                <w:rFonts w:cs="Calibri"/>
                <w:lang w:val="ru-RU"/>
              </w:rPr>
              <w:t>40%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54840B8" w14:textId="0055AC1C" w:rsidR="006F0449" w:rsidRPr="00C12E2E" w:rsidRDefault="006F0449" w:rsidP="00AC1AD9">
            <w:pPr>
              <w:pStyle w:val="Tabletext"/>
              <w:jc w:val="center"/>
              <w:rPr>
                <w:rFonts w:cs="Calibri"/>
                <w:b/>
                <w:bCs/>
                <w:lang w:val="ru-RU"/>
              </w:rPr>
            </w:pPr>
            <w:r w:rsidRPr="00C12E2E">
              <w:rPr>
                <w:rFonts w:cs="Calibri"/>
                <w:b/>
                <w:bCs/>
                <w:lang w:val="ru-RU"/>
              </w:rPr>
              <w:t>82%</w:t>
            </w:r>
          </w:p>
        </w:tc>
      </w:tr>
      <w:tr w:rsidR="006F0449" w:rsidRPr="00C12E2E" w14:paraId="1CBA9A15" w14:textId="77777777" w:rsidTr="00623DB1">
        <w:trPr>
          <w:jc w:val="center"/>
        </w:trPr>
        <w:tc>
          <w:tcPr>
            <w:tcW w:w="9648" w:type="dxa"/>
            <w:gridSpan w:val="11"/>
            <w:tcBorders>
              <w:top w:val="single" w:sz="4" w:space="0" w:color="auto"/>
            </w:tcBorders>
            <w:shd w:val="clear" w:color="auto" w:fill="auto"/>
            <w:noWrap/>
          </w:tcPr>
          <w:p w14:paraId="2EFC3644" w14:textId="24C310E4" w:rsidR="006F0449" w:rsidRPr="00C12E2E" w:rsidRDefault="006F0449" w:rsidP="00E5563F">
            <w:pPr>
              <w:pStyle w:val="Tablelegend"/>
              <w:rPr>
                <w:b/>
                <w:bCs/>
                <w:lang w:val="ru-RU"/>
              </w:rPr>
            </w:pPr>
            <w:r w:rsidRPr="00C12E2E">
              <w:rPr>
                <w:position w:val="6"/>
                <w:sz w:val="16"/>
                <w:lang w:val="ru-RU"/>
              </w:rPr>
              <w:t>*</w:t>
            </w:r>
            <w:r w:rsidRPr="00C12E2E">
              <w:rPr>
                <w:b/>
                <w:bCs/>
                <w:lang w:val="ru-RU"/>
              </w:rPr>
              <w:tab/>
            </w:r>
            <w:r w:rsidRPr="00C12E2E">
              <w:rPr>
                <w:lang w:val="ru-RU"/>
              </w:rPr>
              <w:t>На настоящее время</w:t>
            </w:r>
            <w:r w:rsidR="00062D0C" w:rsidRPr="00C12E2E">
              <w:rPr>
                <w:lang w:val="ru-RU"/>
              </w:rPr>
              <w:t>.</w:t>
            </w:r>
          </w:p>
        </w:tc>
      </w:tr>
    </w:tbl>
    <w:p w14:paraId="3DB5E721" w14:textId="65EB1428" w:rsidR="00080C48" w:rsidRPr="00C12E2E" w:rsidRDefault="00062D0C" w:rsidP="00080C48">
      <w:pPr>
        <w:keepNext/>
        <w:keepLines/>
        <w:spacing w:before="320"/>
        <w:rPr>
          <w:lang w:val="ru-RU"/>
        </w:rPr>
      </w:pPr>
      <w:r w:rsidRPr="00C12E2E">
        <w:rPr>
          <w:lang w:val="ru-RU"/>
        </w:rPr>
        <w:lastRenderedPageBreak/>
        <w:t>19</w:t>
      </w:r>
      <w:r w:rsidR="00080C48" w:rsidRPr="00C12E2E">
        <w:rPr>
          <w:lang w:val="ru-RU"/>
        </w:rPr>
        <w:tab/>
      </w:r>
      <w:r w:rsidR="00754197" w:rsidRPr="00C12E2E">
        <w:rPr>
          <w:lang w:val="ru-RU"/>
        </w:rPr>
        <w:t xml:space="preserve">Обзор </w:t>
      </w:r>
      <w:r w:rsidR="00080C48" w:rsidRPr="00C12E2E">
        <w:rPr>
          <w:lang w:val="ru-RU"/>
        </w:rPr>
        <w:t>степеней важности выполняемых рекомендаций:</w:t>
      </w:r>
    </w:p>
    <w:p w14:paraId="5EB248AF" w14:textId="35FC6D09" w:rsidR="00082B74" w:rsidRPr="00C12E2E" w:rsidRDefault="00082B74" w:rsidP="00080C48">
      <w:pPr>
        <w:jc w:val="center"/>
        <w:rPr>
          <w:lang w:val="ru-RU"/>
        </w:rPr>
      </w:pPr>
      <w:r w:rsidRPr="00C12E2E">
        <w:rPr>
          <w:noProof/>
          <w:lang w:val="ru-RU"/>
        </w:rPr>
        <w:drawing>
          <wp:inline distT="0" distB="0" distL="0" distR="0" wp14:anchorId="2FEFC12C" wp14:editId="3B3342C3">
            <wp:extent cx="5029200" cy="2222500"/>
            <wp:effectExtent l="0" t="0" r="0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B87A72F" w14:textId="0A409157" w:rsidR="00080C48" w:rsidRPr="00C12E2E" w:rsidRDefault="00080C48" w:rsidP="00080C48">
      <w:pPr>
        <w:spacing w:before="240"/>
        <w:rPr>
          <w:lang w:val="ru-RU"/>
        </w:rPr>
      </w:pPr>
      <w:r w:rsidRPr="00C12E2E">
        <w:rPr>
          <w:lang w:val="ru-RU"/>
        </w:rPr>
        <w:t>2</w:t>
      </w:r>
      <w:r w:rsidR="00082B74" w:rsidRPr="00C12E2E">
        <w:rPr>
          <w:lang w:val="ru-RU"/>
        </w:rPr>
        <w:t>0</w:t>
      </w:r>
      <w:r w:rsidRPr="00C12E2E">
        <w:rPr>
          <w:lang w:val="ru-RU"/>
        </w:rPr>
        <w:tab/>
        <w:t xml:space="preserve">Важнейшие рекомендации 2019 года связаны с письмом руководства, опубликованным Службой IA, по итогам расследования случая мошенничества (см. пункт о </w:t>
      </w:r>
      <w:r w:rsidRPr="00C12E2E">
        <w:rPr>
          <w:i/>
          <w:iCs/>
          <w:lang w:val="ru-RU"/>
        </w:rPr>
        <w:t>расследованиях</w:t>
      </w:r>
      <w:r w:rsidRPr="00C12E2E">
        <w:rPr>
          <w:lang w:val="ru-RU"/>
        </w:rPr>
        <w:t xml:space="preserve">, выше). Они касаются главным образом необходимости усиления мер контроля закупочной деятельности, процедур надзора и контроля в отношении найма внешних экспертов (по специальным соглашениям об услугах) региональными/зональными отделениями. В 2018 году важнейшая рекомендация касалась необходимости издания руководства по закупкам (которое усилит контроль в этой сфере). Что касается ранее вынесенных рекомендаций, то руководство регулярно информировало Службу IA (и IMAC) о ходе работы. </w:t>
      </w:r>
    </w:p>
    <w:p w14:paraId="0E2576F7" w14:textId="77777777" w:rsidR="00080C48" w:rsidRPr="00C12E2E" w:rsidRDefault="00080C48" w:rsidP="00080C48">
      <w:pPr>
        <w:pStyle w:val="Headingb"/>
        <w:rPr>
          <w:szCs w:val="22"/>
          <w:lang w:val="ru-RU"/>
        </w:rPr>
      </w:pPr>
      <w:r w:rsidRPr="00C12E2E">
        <w:rPr>
          <w:lang w:val="ru-RU"/>
        </w:rPr>
        <w:t>Аспекты, связанные с методикой аудита</w:t>
      </w:r>
    </w:p>
    <w:p w14:paraId="4E51A0BF" w14:textId="08E6CB3A" w:rsidR="00080C48" w:rsidRPr="00C12E2E" w:rsidRDefault="00082B74" w:rsidP="00080C48">
      <w:pPr>
        <w:rPr>
          <w:lang w:val="ru-RU"/>
        </w:rPr>
      </w:pPr>
      <w:r w:rsidRPr="00C12E2E">
        <w:rPr>
          <w:lang w:val="ru-RU"/>
        </w:rPr>
        <w:t>21</w:t>
      </w:r>
      <w:r w:rsidRPr="00C12E2E">
        <w:rPr>
          <w:lang w:val="ru-RU"/>
        </w:rPr>
        <w:tab/>
      </w:r>
      <w:r w:rsidR="00754197" w:rsidRPr="00C12E2E">
        <w:rPr>
          <w:lang w:val="ru-RU"/>
        </w:rPr>
        <w:t>Согласно предписанию Института внутренних аудиторов оценку качества следует проводить не менее одного раза в пять лет, поэтому МСЭ принял решение провести в феврале 2020 года обзорный анализ качества (QAR). После проведения тендера МСЭ нанял бывшего председателя Глобального института внутренних аудиторов для проведения QAR. Специалист по оценке подтвердил, что внутренний аудит МСЭ в целом соответствует стандартам и кодексу этики</w:t>
      </w:r>
      <w:r w:rsidRPr="00C12E2E">
        <w:rPr>
          <w:lang w:val="ru-RU"/>
        </w:rPr>
        <w:t>.</w:t>
      </w:r>
    </w:p>
    <w:p w14:paraId="2C909003" w14:textId="77777777" w:rsidR="00080C48" w:rsidRPr="00C12E2E" w:rsidRDefault="00080C48" w:rsidP="00080C48">
      <w:pPr>
        <w:spacing w:before="720"/>
        <w:jc w:val="center"/>
        <w:rPr>
          <w:lang w:val="ru-RU"/>
        </w:rPr>
      </w:pPr>
      <w:r w:rsidRPr="00C12E2E">
        <w:rPr>
          <w:lang w:val="ru-RU"/>
        </w:rPr>
        <w:t>_______________</w:t>
      </w:r>
    </w:p>
    <w:sectPr w:rsidR="00080C48" w:rsidRPr="00C12E2E" w:rsidSect="00CF629C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90C28" w14:textId="77777777" w:rsidR="00FC304F" w:rsidRDefault="00FC304F">
      <w:r>
        <w:separator/>
      </w:r>
    </w:p>
  </w:endnote>
  <w:endnote w:type="continuationSeparator" w:id="0">
    <w:p w14:paraId="6A6CA68B" w14:textId="77777777" w:rsidR="00FC304F" w:rsidRDefault="00FC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48BF42EE" w:rsidR="000E568E" w:rsidRPr="008B091D" w:rsidRDefault="00707304" w:rsidP="009B0BAE">
    <w:pPr>
      <w:pStyle w:val="Footer"/>
      <w:rPr>
        <w:color w:val="D9D9D9" w:themeColor="background1" w:themeShade="D9"/>
        <w:sz w:val="18"/>
        <w:szCs w:val="18"/>
      </w:rPr>
    </w:pPr>
    <w:r w:rsidRPr="008B091D">
      <w:rPr>
        <w:color w:val="D9D9D9" w:themeColor="background1" w:themeShade="D9"/>
      </w:rPr>
      <w:fldChar w:fldCharType="begin"/>
    </w:r>
    <w:r w:rsidRPr="008B091D">
      <w:rPr>
        <w:color w:val="D9D9D9" w:themeColor="background1" w:themeShade="D9"/>
      </w:rPr>
      <w:instrText xml:space="preserve"> FILENAME \p  \* MERGEFORMAT </w:instrText>
    </w:r>
    <w:r w:rsidRPr="008B091D">
      <w:rPr>
        <w:color w:val="D9D9D9" w:themeColor="background1" w:themeShade="D9"/>
      </w:rPr>
      <w:fldChar w:fldCharType="separate"/>
    </w:r>
    <w:r w:rsidR="00483E27" w:rsidRPr="008B091D">
      <w:rPr>
        <w:color w:val="D9D9D9" w:themeColor="background1" w:themeShade="D9"/>
      </w:rPr>
      <w:t>P:\RUS\SG\CONSEIL\C20\000\044R.docx</w:t>
    </w:r>
    <w:r w:rsidRPr="008B091D">
      <w:rPr>
        <w:color w:val="D9D9D9" w:themeColor="background1" w:themeShade="D9"/>
        <w:lang w:val="en-US"/>
      </w:rPr>
      <w:fldChar w:fldCharType="end"/>
    </w:r>
    <w:r w:rsidR="000E568E" w:rsidRPr="008B091D">
      <w:rPr>
        <w:color w:val="D9D9D9" w:themeColor="background1" w:themeShade="D9"/>
      </w:rPr>
      <w:t xml:space="preserve"> (</w:t>
    </w:r>
    <w:r w:rsidR="00080C48" w:rsidRPr="008B091D">
      <w:rPr>
        <w:color w:val="D9D9D9" w:themeColor="background1" w:themeShade="D9"/>
      </w:rPr>
      <w:t>467354</w:t>
    </w:r>
    <w:r w:rsidR="000E568E" w:rsidRPr="008B091D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2A61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C9DA8C0" w14:textId="6C777DA0" w:rsidR="000E568E" w:rsidRPr="008B091D" w:rsidRDefault="005B3DEC">
    <w:pPr>
      <w:pStyle w:val="Footer"/>
      <w:rPr>
        <w:color w:val="D9D9D9" w:themeColor="background1" w:themeShade="D9"/>
      </w:rPr>
    </w:pPr>
    <w:r w:rsidRPr="008B091D">
      <w:rPr>
        <w:color w:val="D9D9D9" w:themeColor="background1" w:themeShade="D9"/>
        <w:lang w:val="en-US"/>
      </w:rPr>
      <w:fldChar w:fldCharType="begin"/>
    </w:r>
    <w:r w:rsidRPr="008B091D">
      <w:rPr>
        <w:color w:val="D9D9D9" w:themeColor="background1" w:themeShade="D9"/>
      </w:rPr>
      <w:instrText xml:space="preserve"> FILENAME \p  \* MERGEFORMAT </w:instrText>
    </w:r>
    <w:r w:rsidRPr="008B091D">
      <w:rPr>
        <w:color w:val="D9D9D9" w:themeColor="background1" w:themeShade="D9"/>
        <w:lang w:val="en-US"/>
      </w:rPr>
      <w:fldChar w:fldCharType="separate"/>
    </w:r>
    <w:r w:rsidR="00483E27" w:rsidRPr="008B091D">
      <w:rPr>
        <w:color w:val="D9D9D9" w:themeColor="background1" w:themeShade="D9"/>
      </w:rPr>
      <w:t>P:\RUS\SG\CONSEIL\C20\000\044R.docx</w:t>
    </w:r>
    <w:r w:rsidRPr="008B091D">
      <w:rPr>
        <w:color w:val="D9D9D9" w:themeColor="background1" w:themeShade="D9"/>
        <w:lang w:val="en-US"/>
      </w:rPr>
      <w:fldChar w:fldCharType="end"/>
    </w:r>
    <w:r w:rsidR="000E568E" w:rsidRPr="008B091D">
      <w:rPr>
        <w:color w:val="D9D9D9" w:themeColor="background1" w:themeShade="D9"/>
      </w:rPr>
      <w:t xml:space="preserve"> (</w:t>
    </w:r>
    <w:r w:rsidR="00080C48" w:rsidRPr="008B091D">
      <w:rPr>
        <w:color w:val="D9D9D9" w:themeColor="background1" w:themeShade="D9"/>
      </w:rPr>
      <w:t>467354</w:t>
    </w:r>
    <w:r w:rsidR="000E568E" w:rsidRPr="008B091D">
      <w:rPr>
        <w:color w:val="D9D9D9" w:themeColor="background1" w:themeShade="D9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49082" w14:textId="77777777" w:rsidR="00FC304F" w:rsidRDefault="00FC304F">
      <w:r>
        <w:t>____________________</w:t>
      </w:r>
    </w:p>
  </w:footnote>
  <w:footnote w:type="continuationSeparator" w:id="0">
    <w:p w14:paraId="2D2CEB30" w14:textId="77777777" w:rsidR="00FC304F" w:rsidRDefault="00FC304F">
      <w:r>
        <w:continuationSeparator/>
      </w:r>
    </w:p>
  </w:footnote>
  <w:footnote w:id="1">
    <w:p w14:paraId="19D900CC" w14:textId="77777777" w:rsidR="00080C48" w:rsidRPr="009D213E" w:rsidRDefault="00080C48" w:rsidP="00080C48">
      <w:pPr>
        <w:pStyle w:val="FootnoteText"/>
        <w:spacing w:before="40"/>
        <w:rPr>
          <w:lang w:val="ru-RU"/>
        </w:rPr>
      </w:pPr>
      <w:r w:rsidRPr="00E25A17">
        <w:rPr>
          <w:rStyle w:val="FootnoteReference"/>
        </w:rPr>
        <w:footnoteRef/>
      </w:r>
      <w:r w:rsidRPr="009D213E">
        <w:rPr>
          <w:sz w:val="18"/>
          <w:szCs w:val="18"/>
          <w:lang w:val="ru-RU"/>
        </w:rPr>
        <w:tab/>
      </w:r>
      <w:r w:rsidRPr="009D213E">
        <w:rPr>
          <w:lang w:val="ru-RU"/>
        </w:rPr>
        <w:t xml:space="preserve">Служебный приказ № 13/09, </w:t>
      </w:r>
      <w:r>
        <w:rPr>
          <w:lang w:val="ru-RU"/>
        </w:rPr>
        <w:t>изданн</w:t>
      </w:r>
      <w:r w:rsidRPr="009D213E">
        <w:rPr>
          <w:lang w:val="ru-RU"/>
        </w:rPr>
        <w:t>ый Генеральным секретарем 27 июня 2013 года.</w:t>
      </w:r>
    </w:p>
  </w:footnote>
  <w:footnote w:id="2">
    <w:p w14:paraId="350042AA" w14:textId="77777777" w:rsidR="00080C48" w:rsidRPr="009D213E" w:rsidRDefault="00080C48" w:rsidP="00080C48">
      <w:pPr>
        <w:pStyle w:val="FootnoteText"/>
        <w:rPr>
          <w:lang w:val="ru-RU"/>
        </w:rPr>
      </w:pPr>
      <w:r w:rsidRPr="00E25A17">
        <w:rPr>
          <w:rStyle w:val="FootnoteReference"/>
        </w:rPr>
        <w:footnoteRef/>
      </w:r>
      <w:r w:rsidRPr="009D213E">
        <w:rPr>
          <w:lang w:val="ru-RU"/>
        </w:rPr>
        <w:tab/>
        <w:t xml:space="preserve">Институт внутренних аудиторов, </w:t>
      </w:r>
      <w:r w:rsidR="008B091D">
        <w:fldChar w:fldCharType="begin"/>
      </w:r>
      <w:r w:rsidR="008B091D" w:rsidRPr="0026526C">
        <w:rPr>
          <w:lang w:val="ru-RU"/>
        </w:rPr>
        <w:instrText xml:space="preserve"> </w:instrText>
      </w:r>
      <w:r w:rsidR="008B091D">
        <w:instrText>HYPERLINK</w:instrText>
      </w:r>
      <w:r w:rsidR="008B091D" w:rsidRPr="0026526C">
        <w:rPr>
          <w:lang w:val="ru-RU"/>
        </w:rPr>
        <w:instrText xml:space="preserve"> "</w:instrText>
      </w:r>
      <w:r w:rsidR="008B091D">
        <w:instrText>http</w:instrText>
      </w:r>
      <w:r w:rsidR="008B091D" w:rsidRPr="0026526C">
        <w:rPr>
          <w:lang w:val="ru-RU"/>
        </w:rPr>
        <w:instrText>://</w:instrText>
      </w:r>
      <w:r w:rsidR="008B091D">
        <w:instrText>www</w:instrText>
      </w:r>
      <w:r w:rsidR="008B091D" w:rsidRPr="0026526C">
        <w:rPr>
          <w:lang w:val="ru-RU"/>
        </w:rPr>
        <w:instrText>.</w:instrText>
      </w:r>
      <w:r w:rsidR="008B091D">
        <w:instrText>theiia</w:instrText>
      </w:r>
      <w:r w:rsidR="008B091D" w:rsidRPr="0026526C">
        <w:rPr>
          <w:lang w:val="ru-RU"/>
        </w:rPr>
        <w:instrText>.</w:instrText>
      </w:r>
      <w:r w:rsidR="008B091D">
        <w:instrText>org</w:instrText>
      </w:r>
      <w:r w:rsidR="008B091D" w:rsidRPr="0026526C">
        <w:rPr>
          <w:lang w:val="ru-RU"/>
        </w:rPr>
        <w:instrText xml:space="preserve">" </w:instrText>
      </w:r>
      <w:r w:rsidR="008B091D">
        <w:fldChar w:fldCharType="separate"/>
      </w:r>
      <w:r w:rsidRPr="00E25A17">
        <w:rPr>
          <w:rStyle w:val="Hyperlink"/>
        </w:rPr>
        <w:t>www</w:t>
      </w:r>
      <w:r w:rsidRPr="009D213E">
        <w:rPr>
          <w:rStyle w:val="Hyperlink"/>
          <w:lang w:val="ru-RU"/>
        </w:rPr>
        <w:t>.</w:t>
      </w:r>
      <w:proofErr w:type="spellStart"/>
      <w:r w:rsidRPr="00E25A17">
        <w:rPr>
          <w:rStyle w:val="Hyperlink"/>
        </w:rPr>
        <w:t>theiia</w:t>
      </w:r>
      <w:proofErr w:type="spellEnd"/>
      <w:r w:rsidRPr="009D213E">
        <w:rPr>
          <w:rStyle w:val="Hyperlink"/>
          <w:lang w:val="ru-RU"/>
        </w:rPr>
        <w:t>.</w:t>
      </w:r>
      <w:r w:rsidRPr="00E25A17">
        <w:rPr>
          <w:rStyle w:val="Hyperlink"/>
        </w:rPr>
        <w:t>org</w:t>
      </w:r>
      <w:r w:rsidR="008B091D">
        <w:rPr>
          <w:rStyle w:val="Hyperlink"/>
        </w:rPr>
        <w:fldChar w:fldCharType="end"/>
      </w:r>
      <w:r w:rsidRPr="009D213E">
        <w:rPr>
          <w:rStyle w:val="Hyperlink"/>
          <w:color w:val="auto"/>
          <w:u w:val="none"/>
          <w:lang w:val="ru-RU"/>
        </w:rPr>
        <w:t>.</w:t>
      </w:r>
    </w:p>
  </w:footnote>
  <w:footnote w:id="3">
    <w:p w14:paraId="660A4235" w14:textId="77777777" w:rsidR="00080C48" w:rsidRPr="009D213E" w:rsidRDefault="00080C48" w:rsidP="00080C48">
      <w:pPr>
        <w:pStyle w:val="FootnoteText"/>
        <w:rPr>
          <w:lang w:val="ru-RU"/>
        </w:rPr>
      </w:pPr>
      <w:r w:rsidRPr="00E25A17">
        <w:rPr>
          <w:rStyle w:val="FootnoteReference"/>
        </w:rPr>
        <w:footnoteRef/>
      </w:r>
      <w:r w:rsidRPr="009D213E">
        <w:rPr>
          <w:lang w:val="ru-RU"/>
        </w:rPr>
        <w:tab/>
        <w:t xml:space="preserve">Служебный приказ № 13/09, </w:t>
      </w:r>
      <w:r>
        <w:rPr>
          <w:lang w:val="ru-RU"/>
        </w:rPr>
        <w:t>изданн</w:t>
      </w:r>
      <w:r w:rsidRPr="009D213E">
        <w:rPr>
          <w:lang w:val="ru-RU"/>
        </w:rPr>
        <w:t>ый Генеральным секретарем 27 июня 2013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64539039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23DB1">
      <w:rPr>
        <w:noProof/>
      </w:rPr>
      <w:t>6</w:t>
    </w:r>
    <w:r>
      <w:rPr>
        <w:noProof/>
      </w:rPr>
      <w:fldChar w:fldCharType="end"/>
    </w:r>
  </w:p>
  <w:p w14:paraId="471A9E69" w14:textId="233FDEBD" w:rsidR="000E568E" w:rsidRDefault="000E568E" w:rsidP="005B3DEC">
    <w:pPr>
      <w:pStyle w:val="Header"/>
      <w:spacing w:after="480"/>
    </w:pPr>
    <w:r>
      <w:t>C</w:t>
    </w:r>
    <w:r w:rsidR="00442515">
      <w:t>20</w:t>
    </w:r>
    <w:r>
      <w:t>/</w:t>
    </w:r>
    <w:r w:rsidR="00080C48">
      <w:rPr>
        <w:lang w:val="ru-RU"/>
      </w:rPr>
      <w:t>44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8D6F0B"/>
    <w:multiLevelType w:val="hybridMultilevel"/>
    <w:tmpl w:val="982C54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C314B"/>
    <w:multiLevelType w:val="hybridMultilevel"/>
    <w:tmpl w:val="A27E4584"/>
    <w:lvl w:ilvl="0" w:tplc="6A92C33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2183E"/>
    <w:rsid w:val="000569B4"/>
    <w:rsid w:val="00062D0C"/>
    <w:rsid w:val="00080C48"/>
    <w:rsid w:val="00080E82"/>
    <w:rsid w:val="00082B74"/>
    <w:rsid w:val="00082FD2"/>
    <w:rsid w:val="000E568E"/>
    <w:rsid w:val="0014734F"/>
    <w:rsid w:val="0015710D"/>
    <w:rsid w:val="00163A32"/>
    <w:rsid w:val="00191301"/>
    <w:rsid w:val="00192B41"/>
    <w:rsid w:val="001B7B09"/>
    <w:rsid w:val="001E6719"/>
    <w:rsid w:val="00225368"/>
    <w:rsid w:val="00227FF0"/>
    <w:rsid w:val="0026526C"/>
    <w:rsid w:val="00291EB6"/>
    <w:rsid w:val="002D2F57"/>
    <w:rsid w:val="002D48C5"/>
    <w:rsid w:val="00344DD4"/>
    <w:rsid w:val="003F099E"/>
    <w:rsid w:val="003F235E"/>
    <w:rsid w:val="004023E0"/>
    <w:rsid w:val="00403DD8"/>
    <w:rsid w:val="0042702E"/>
    <w:rsid w:val="00442515"/>
    <w:rsid w:val="0045686C"/>
    <w:rsid w:val="00483E27"/>
    <w:rsid w:val="004918C4"/>
    <w:rsid w:val="00497703"/>
    <w:rsid w:val="004A0374"/>
    <w:rsid w:val="004A45B5"/>
    <w:rsid w:val="004D0129"/>
    <w:rsid w:val="005A64D5"/>
    <w:rsid w:val="005B3DEC"/>
    <w:rsid w:val="00601994"/>
    <w:rsid w:val="00623DB1"/>
    <w:rsid w:val="00646DC6"/>
    <w:rsid w:val="006E2D42"/>
    <w:rsid w:val="006F0449"/>
    <w:rsid w:val="00703676"/>
    <w:rsid w:val="00707304"/>
    <w:rsid w:val="00732269"/>
    <w:rsid w:val="00754197"/>
    <w:rsid w:val="00785ABD"/>
    <w:rsid w:val="007A2DD4"/>
    <w:rsid w:val="007D38B5"/>
    <w:rsid w:val="007E7EA0"/>
    <w:rsid w:val="00807255"/>
    <w:rsid w:val="0081023E"/>
    <w:rsid w:val="008173AA"/>
    <w:rsid w:val="00825B31"/>
    <w:rsid w:val="00840A14"/>
    <w:rsid w:val="008B091D"/>
    <w:rsid w:val="008B62B4"/>
    <w:rsid w:val="008B7D4F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90A2E"/>
    <w:rsid w:val="00AB5FCD"/>
    <w:rsid w:val="00AC1AD9"/>
    <w:rsid w:val="00AD1E22"/>
    <w:rsid w:val="00AE2C85"/>
    <w:rsid w:val="00B12A37"/>
    <w:rsid w:val="00B63EF2"/>
    <w:rsid w:val="00BA7D89"/>
    <w:rsid w:val="00BC0D39"/>
    <w:rsid w:val="00BC7BC0"/>
    <w:rsid w:val="00BD57B7"/>
    <w:rsid w:val="00BE63E2"/>
    <w:rsid w:val="00C12E2E"/>
    <w:rsid w:val="00CB1006"/>
    <w:rsid w:val="00CD2009"/>
    <w:rsid w:val="00CF629C"/>
    <w:rsid w:val="00D70687"/>
    <w:rsid w:val="00D92EEA"/>
    <w:rsid w:val="00DA5D4E"/>
    <w:rsid w:val="00DC01F5"/>
    <w:rsid w:val="00E176BA"/>
    <w:rsid w:val="00E423EC"/>
    <w:rsid w:val="00E55121"/>
    <w:rsid w:val="00E5563F"/>
    <w:rsid w:val="00EB4FCB"/>
    <w:rsid w:val="00EC6BC5"/>
    <w:rsid w:val="00F35898"/>
    <w:rsid w:val="00F5225B"/>
    <w:rsid w:val="00FC304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0C48"/>
    <w:rPr>
      <w:color w:val="605E5C"/>
      <w:shd w:val="clear" w:color="auto" w:fill="E1DFDD"/>
    </w:rPr>
  </w:style>
  <w:style w:type="paragraph" w:styleId="ListParagraph">
    <w:name w:val="List Paragraph"/>
    <w:aliases w:val="List Paragraph (numbered (a)),WB Para,List Paragraph1,Bullets,Lapis Bulleted List,Dot pt,F5 List Paragraph,No Spacing1,List Paragraph Char Char Char,Indicator Text,Numbered Para 1,Bullet 1,List Paragraph12,Bullet Points,MAIN CONTENT,L"/>
    <w:basedOn w:val="Normal"/>
    <w:link w:val="ListParagraphChar"/>
    <w:uiPriority w:val="34"/>
    <w:qFormat/>
    <w:rsid w:val="00082F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082FD2"/>
    <w:rPr>
      <w:rFonts w:ascii="Calibri" w:hAnsi="Calibri"/>
      <w:lang w:val="en-GB" w:eastAsia="en-US"/>
    </w:rPr>
  </w:style>
  <w:style w:type="character" w:customStyle="1" w:styleId="ListParagraphChar">
    <w:name w:val="List Paragraph Char"/>
    <w:aliases w:val="List Paragraph (numbered (a)) Char,WB Para Char,List Paragraph1 Char,Bullets Char,Lapis Bulleted List Char,Dot pt Char,F5 List Paragraph Char,No Spacing1 Char,List Paragraph Char Char Char Char,Indicator Text Char,Bullet 1 Char"/>
    <w:basedOn w:val="DefaultParagraphFont"/>
    <w:link w:val="ListParagraph"/>
    <w:uiPriority w:val="34"/>
    <w:locked/>
    <w:rsid w:val="00082FD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20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blue\dfs\sgo\INT_AUDIT\7.%20Internal%20Audits\Previous%20Follow-up%20registers\Internal%20audits%20-%20Follow-up%20register%20October%2020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00" b="0" i="0" u="none" strike="noStrike" baseline="0">
                <a:solidFill>
                  <a:srgbClr val="333333"/>
                </a:solidFill>
                <a:latin typeface="Calibri"/>
              </a:rPr>
              <a:t>Приоритет выполняемых/просроченных рекомендаций</a:t>
            </a:r>
            <a:endParaRPr lang="en-US" sz="1200" b="0" i="0" u="none" strike="noStrike" baseline="0">
              <a:solidFill>
                <a:srgbClr val="333333"/>
              </a:solidFill>
              <a:latin typeface="Calibri"/>
            </a:endParaRPr>
          </a:p>
        </c:rich>
      </c:tx>
      <c:layout>
        <c:manualLayout>
          <c:xMode val="edge"/>
          <c:yMode val="edge"/>
          <c:x val="0.11267676767676768"/>
          <c:y val="6.452418447694038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6580927384076991E-2"/>
          <c:y val="0.23694444444444446"/>
          <c:w val="0.90286351706036749"/>
          <c:h val="0.53586395450568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'[Internal audits - Follow-up register October 2019.xls]Statistics'!$O$38</c:f>
              <c:strCache>
                <c:ptCount val="1"/>
                <c:pt idx="0">
                  <c:v>Critical</c:v>
                </c:pt>
              </c:strCache>
            </c:strRef>
          </c:tx>
          <c:spPr>
            <a:solidFill>
              <a:srgbClr val="FF0000"/>
            </a:solidFill>
            <a:ln w="25400">
              <a:noFill/>
            </a:ln>
          </c:spPr>
          <c:invertIfNegative val="0"/>
          <c:cat>
            <c:numRef>
              <c:f>'[Internal audits - Follow-up register October 2019.xls]Statistics'!$N$39:$N$47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'[Internal audits - Follow-up register October 2019.xls]Statistics'!$O$39:$O$47</c:f>
              <c:numCache>
                <c:formatCode>General</c:formatCode>
                <c:ptCount val="9"/>
                <c:pt idx="4">
                  <c:v>0</c:v>
                </c:pt>
                <c:pt idx="7">
                  <c:v>0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EC-4494-95F6-A9352BCD6D98}"/>
            </c:ext>
          </c:extLst>
        </c:ser>
        <c:ser>
          <c:idx val="1"/>
          <c:order val="1"/>
          <c:tx>
            <c:strRef>
              <c:f>'[Internal audits - Follow-up register October 2019.xls]Statistics'!$P$38</c:f>
              <c:strCache>
                <c:ptCount val="1"/>
                <c:pt idx="0">
                  <c:v>High </c:v>
                </c:pt>
              </c:strCache>
            </c:strRef>
          </c:tx>
          <c:spPr>
            <a:solidFill>
              <a:srgbClr val="FFC000"/>
            </a:solidFill>
            <a:ln w="25400">
              <a:noFill/>
            </a:ln>
          </c:spPr>
          <c:invertIfNegative val="0"/>
          <c:cat>
            <c:numRef>
              <c:f>'[Internal audits - Follow-up register October 2019.xls]Statistics'!$N$39:$N$47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'[Internal audits - Follow-up register October 2019.xls]Statistics'!$P$39:$P$47</c:f>
              <c:numCache>
                <c:formatCode>General</c:formatCode>
                <c:ptCount val="9"/>
                <c:pt idx="0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6</c:v>
                </c:pt>
                <c:pt idx="6">
                  <c:v>6</c:v>
                </c:pt>
                <c:pt idx="7">
                  <c:v>7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EC-4494-95F6-A9352BCD6D98}"/>
            </c:ext>
          </c:extLst>
        </c:ser>
        <c:ser>
          <c:idx val="2"/>
          <c:order val="2"/>
          <c:tx>
            <c:strRef>
              <c:f>'[Internal audits - Follow-up register October 2019.xls]Statistics'!$Q$38</c:f>
              <c:strCache>
                <c:ptCount val="1"/>
                <c:pt idx="0">
                  <c:v>Medium</c:v>
                </c:pt>
              </c:strCache>
            </c:strRef>
          </c:tx>
          <c:spPr>
            <a:solidFill>
              <a:srgbClr val="FFFF00"/>
            </a:solidFill>
            <a:ln w="25400">
              <a:noFill/>
            </a:ln>
          </c:spPr>
          <c:invertIfNegative val="0"/>
          <c:cat>
            <c:numRef>
              <c:f>'[Internal audits - Follow-up register October 2019.xls]Statistics'!$N$39:$N$47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'[Internal audits - Follow-up register October 2019.xls]Statistics'!$Q$39:$Q$47</c:f>
              <c:numCache>
                <c:formatCode>General</c:formatCode>
                <c:ptCount val="9"/>
                <c:pt idx="0">
                  <c:v>2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7</c:v>
                </c:pt>
                <c:pt idx="7">
                  <c:v>7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EC-4494-95F6-A9352BCD6D98}"/>
            </c:ext>
          </c:extLst>
        </c:ser>
        <c:ser>
          <c:idx val="3"/>
          <c:order val="3"/>
          <c:tx>
            <c:strRef>
              <c:f>'[Internal audits - Follow-up register October 2019.xls]Statistics'!$R$38</c:f>
              <c:strCache>
                <c:ptCount val="1"/>
                <c:pt idx="0">
                  <c:v>Low</c:v>
                </c:pt>
              </c:strCache>
            </c:strRef>
          </c:tx>
          <c:spPr>
            <a:solidFill>
              <a:srgbClr val="00B050"/>
            </a:solidFill>
            <a:ln w="25400">
              <a:noFill/>
            </a:ln>
          </c:spPr>
          <c:invertIfNegative val="0"/>
          <c:cat>
            <c:numRef>
              <c:f>'[Internal audits - Follow-up register October 2019.xls]Statistics'!$N$39:$N$47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'[Internal audits - Follow-up register October 2019.xls]Statistics'!$R$39:$R$47</c:f>
              <c:numCache>
                <c:formatCode>General</c:formatCode>
                <c:ptCount val="9"/>
                <c:pt idx="0">
                  <c:v>1</c:v>
                </c:pt>
                <c:pt idx="2">
                  <c:v>0</c:v>
                </c:pt>
                <c:pt idx="5">
                  <c:v>0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BEC-4494-95F6-A9352BCD6D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5740511"/>
        <c:axId val="1"/>
      </c:barChart>
      <c:catAx>
        <c:axId val="1855740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855740511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3804640897160581"/>
          <c:y val="0.88296737907761536"/>
          <c:w val="0.56276346138550859"/>
          <c:h val="4.8461192350956146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0.31104</cdr:x>
      <cdr:y>0.88341</cdr:y>
    </cdr:from>
    <cdr:to>
      <cdr:x>0.78814</cdr:x>
      <cdr:y>0.96239</cdr:y>
    </cdr:to>
    <cdr:grpSp>
      <cdr:nvGrpSpPr>
        <cdr:cNvPr id="7" name="Group 6"/>
        <cdr:cNvGrpSpPr/>
      </cdr:nvGrpSpPr>
      <cdr:grpSpPr>
        <a:xfrm xmlns:a="http://schemas.openxmlformats.org/drawingml/2006/main">
          <a:off x="1564259" y="1963374"/>
          <a:ext cx="2399466" cy="175533"/>
          <a:chOff x="1650251" y="2044598"/>
          <a:chExt cx="1719872" cy="109262"/>
        </a:xfrm>
      </cdr:grpSpPr>
      <cdr:sp macro="" textlink="">
        <cdr:nvSpPr>
          <cdr:cNvPr id="3" name="Rectangle 2"/>
          <cdr:cNvSpPr/>
        </cdr:nvSpPr>
        <cdr:spPr>
          <a:xfrm xmlns:a="http://schemas.openxmlformats.org/drawingml/2006/main">
            <a:off x="1650251" y="2044598"/>
            <a:ext cx="407665" cy="103199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bg1"/>
          </a:solidFill>
          <a:ln xmlns:a="http://schemas.openxmlformats.org/drawingml/2006/main">
            <a:noFill/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lIns="0" tIns="0" rIns="0" bIns="0"/>
          <a:lstStyle xmlns:a="http://schemas.openxmlformats.org/drawingml/2006/main">
            <a:lvl1pPr marL="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ru-RU" sz="80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rPr>
              <a:t>Важнейший</a:t>
            </a:r>
            <a:endParaRPr lang="en-US" sz="800">
              <a:solidFill>
                <a:sysClr val="windowText" lastClr="000000"/>
              </a:solidFill>
            </a:endParaRPr>
          </a:p>
        </cdr:txBody>
      </cdr:sp>
      <cdr:sp macro="" textlink="">
        <cdr:nvSpPr>
          <cdr:cNvPr id="4" name="Rectangle 3"/>
          <cdr:cNvSpPr/>
        </cdr:nvSpPr>
        <cdr:spPr>
          <a:xfrm xmlns:a="http://schemas.openxmlformats.org/drawingml/2006/main">
            <a:off x="2151996" y="2044598"/>
            <a:ext cx="295534" cy="109262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bg1"/>
          </a:solidFill>
          <a:ln xmlns:a="http://schemas.openxmlformats.org/drawingml/2006/main">
            <a:noFill/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lIns="0" tIns="0" rIns="0" bIns="0"/>
          <a:lstStyle xmlns:a="http://schemas.openxmlformats.org/drawingml/2006/main">
            <a:lvl1pPr marL="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ru-RU" sz="800">
                <a:solidFill>
                  <a:sysClr val="windowText" lastClr="000000"/>
                </a:solidFill>
              </a:rPr>
              <a:t>Высокий</a:t>
            </a:r>
            <a:endParaRPr lang="en-US" sz="800">
              <a:solidFill>
                <a:sysClr val="windowText" lastClr="000000"/>
              </a:solidFill>
            </a:endParaRPr>
          </a:p>
        </cdr:txBody>
      </cdr:sp>
      <cdr:sp macro="" textlink="">
        <cdr:nvSpPr>
          <cdr:cNvPr id="5" name="Rectangle 4"/>
          <cdr:cNvSpPr/>
        </cdr:nvSpPr>
        <cdr:spPr>
          <a:xfrm xmlns:a="http://schemas.openxmlformats.org/drawingml/2006/main">
            <a:off x="2574274" y="2044600"/>
            <a:ext cx="354156" cy="82478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bg1"/>
          </a:solidFill>
          <a:ln xmlns:a="http://schemas.openxmlformats.org/drawingml/2006/main">
            <a:noFill/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lIns="0" tIns="0" rIns="0" bIns="0"/>
          <a:lstStyle xmlns:a="http://schemas.openxmlformats.org/drawingml/2006/main">
            <a:lvl1pPr marL="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ru-RU" sz="800">
                <a:solidFill>
                  <a:sysClr val="windowText" lastClr="000000"/>
                </a:solidFill>
              </a:rPr>
              <a:t>Средний</a:t>
            </a:r>
            <a:endParaRPr lang="en-US" sz="800">
              <a:solidFill>
                <a:sysClr val="windowText" lastClr="000000"/>
              </a:solidFill>
            </a:endParaRPr>
          </a:p>
        </cdr:txBody>
      </cdr:sp>
      <cdr:sp macro="" textlink="">
        <cdr:nvSpPr>
          <cdr:cNvPr id="6" name="Rectangle 5"/>
          <cdr:cNvSpPr/>
        </cdr:nvSpPr>
        <cdr:spPr>
          <a:xfrm xmlns:a="http://schemas.openxmlformats.org/drawingml/2006/main">
            <a:off x="3105992" y="2044973"/>
            <a:ext cx="264131" cy="73312"/>
          </a:xfrm>
          <a:prstGeom xmlns:a="http://schemas.openxmlformats.org/drawingml/2006/main" prst="rect">
            <a:avLst/>
          </a:prstGeom>
          <a:solidFill xmlns:a="http://schemas.openxmlformats.org/drawingml/2006/main">
            <a:schemeClr val="bg1"/>
          </a:solidFill>
          <a:ln xmlns:a="http://schemas.openxmlformats.org/drawingml/2006/main">
            <a:noFill/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lIns="0" tIns="0" rIns="0" bIns="0"/>
          <a:lstStyle xmlns:a="http://schemas.openxmlformats.org/drawingml/2006/main">
            <a:lvl1pPr marL="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ru-RU" sz="800">
                <a:solidFill>
                  <a:sysClr val="windowText" lastClr="000000"/>
                </a:solidFill>
              </a:rPr>
              <a:t>Низкий</a:t>
            </a:r>
            <a:endParaRPr lang="en-US" sz="800">
              <a:solidFill>
                <a:sysClr val="windowText" lastClr="000000"/>
              </a:solidFill>
            </a:endParaRPr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6425-02DD-4EC2-961E-10AC399FC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5671F-7158-4C2A-B43B-9F7B5EB6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00E75-4AC4-4E2A-AE84-64114DAEF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15FA24-F49E-4FCD-AB16-D2512839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2</TotalTime>
  <Pages>6</Pages>
  <Words>1927</Words>
  <Characters>13126</Characters>
  <Application>Microsoft Office Word</Application>
  <DocSecurity>4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15023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Internal Auditor on internal audit activities</dc:title>
  <dc:subject>Council 2020</dc:subject>
  <dc:creator>Russian</dc:creator>
  <cp:keywords>C2020, C20</cp:keywords>
  <dc:description/>
  <cp:lastModifiedBy>Brouard, Ricarda</cp:lastModifiedBy>
  <cp:revision>2</cp:revision>
  <cp:lastPrinted>2006-03-28T16:12:00Z</cp:lastPrinted>
  <dcterms:created xsi:type="dcterms:W3CDTF">2020-05-25T07:49:00Z</dcterms:created>
  <dcterms:modified xsi:type="dcterms:W3CDTF">2020-05-25T07:49:00Z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