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5461921E" w14:textId="77777777">
        <w:trPr>
          <w:cantSplit/>
        </w:trPr>
        <w:tc>
          <w:tcPr>
            <w:tcW w:w="6912" w:type="dxa"/>
          </w:tcPr>
          <w:p w14:paraId="55F2EAE2" w14:textId="77777777" w:rsidR="00520F36" w:rsidRPr="0092392D" w:rsidRDefault="00520F36" w:rsidP="00771432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9C353C">
              <w:rPr>
                <w:b/>
                <w:bCs/>
                <w:sz w:val="30"/>
                <w:szCs w:val="30"/>
                <w:lang w:val="fr-CH"/>
              </w:rPr>
              <w:t>20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9C353C">
              <w:rPr>
                <w:b/>
                <w:bCs/>
                <w:szCs w:val="24"/>
                <w:lang w:val="fr-CH"/>
              </w:rPr>
              <w:t>9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9C353C">
              <w:rPr>
                <w:b/>
                <w:bCs/>
                <w:szCs w:val="24"/>
                <w:lang w:val="fr-CH"/>
              </w:rPr>
              <w:t>19</w:t>
            </w:r>
            <w:r w:rsidR="00106B19">
              <w:rPr>
                <w:b/>
                <w:bCs/>
                <w:szCs w:val="24"/>
                <w:lang w:val="fr-CH"/>
              </w:rPr>
              <w:t xml:space="preserve">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</w:t>
            </w:r>
            <w:r w:rsidR="009C353C">
              <w:rPr>
                <w:b/>
                <w:bCs/>
                <w:szCs w:val="24"/>
                <w:lang w:val="fr-CH"/>
              </w:rPr>
              <w:t>20</w:t>
            </w:r>
          </w:p>
        </w:tc>
        <w:tc>
          <w:tcPr>
            <w:tcW w:w="3261" w:type="dxa"/>
          </w:tcPr>
          <w:p w14:paraId="6329C46E" w14:textId="77777777" w:rsidR="00520F36" w:rsidRPr="0092392D" w:rsidRDefault="009C353C" w:rsidP="00771432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F3D04E9" wp14:editId="72F234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4DCADB1C" w14:textId="77777777" w:rsidTr="008B42C6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E2F60CA" w14:textId="77777777" w:rsidR="00520F36" w:rsidRPr="00361350" w:rsidRDefault="00520F36" w:rsidP="00771432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AA101B2" w14:textId="77777777" w:rsidR="00520F36" w:rsidRPr="0092392D" w:rsidRDefault="00520F36" w:rsidP="00771432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7AD05E7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A44AC04" w14:textId="77777777" w:rsidR="00520F36" w:rsidRPr="0092392D" w:rsidRDefault="00520F36" w:rsidP="00771432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7881668" w14:textId="77777777" w:rsidR="00520F36" w:rsidRPr="0092392D" w:rsidRDefault="00520F36" w:rsidP="00771432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45B94EBF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6C5988F" w14:textId="38521856" w:rsidR="00520F36" w:rsidRPr="00520F36" w:rsidRDefault="00665293" w:rsidP="00771432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>Point de l</w:t>
            </w:r>
            <w:r w:rsidR="005138AD">
              <w:rPr>
                <w:rFonts w:cs="Times"/>
                <w:b/>
                <w:bCs/>
                <w:szCs w:val="24"/>
              </w:rPr>
              <w:t>'</w:t>
            </w:r>
            <w:r>
              <w:rPr>
                <w:rFonts w:cs="Times"/>
                <w:b/>
                <w:bCs/>
                <w:szCs w:val="24"/>
              </w:rPr>
              <w:t xml:space="preserve">ordre du </w:t>
            </w:r>
            <w:proofErr w:type="gramStart"/>
            <w:r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>
              <w:rPr>
                <w:rFonts w:cs="Times"/>
                <w:b/>
                <w:bCs/>
                <w:szCs w:val="24"/>
              </w:rPr>
              <w:t xml:space="preserve"> ADM 1</w:t>
            </w:r>
            <w:r w:rsidR="00B87990">
              <w:rPr>
                <w:rFonts w:cs="Times"/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14:paraId="057A73CE" w14:textId="77777777" w:rsidR="00520F36" w:rsidRPr="00520F36" w:rsidRDefault="00520F36" w:rsidP="0077143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9C353C">
              <w:rPr>
                <w:b/>
                <w:bCs/>
              </w:rPr>
              <w:t>20</w:t>
            </w:r>
            <w:r>
              <w:rPr>
                <w:b/>
                <w:bCs/>
              </w:rPr>
              <w:t>/</w:t>
            </w:r>
            <w:r w:rsidR="00B62A28">
              <w:rPr>
                <w:b/>
                <w:bCs/>
              </w:rPr>
              <w:t>44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0C7A4D93" w14:textId="77777777">
        <w:trPr>
          <w:cantSplit/>
          <w:trHeight w:val="20"/>
        </w:trPr>
        <w:tc>
          <w:tcPr>
            <w:tcW w:w="6912" w:type="dxa"/>
            <w:vMerge/>
          </w:tcPr>
          <w:p w14:paraId="710ED5F7" w14:textId="77777777" w:rsidR="00520F36" w:rsidRPr="0092392D" w:rsidRDefault="00520F36" w:rsidP="0077143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1336A1A" w14:textId="77777777" w:rsidR="00520F36" w:rsidRPr="00520F36" w:rsidRDefault="00B87990" w:rsidP="0077143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avril</w:t>
            </w:r>
            <w:r w:rsidR="00520F36">
              <w:rPr>
                <w:b/>
                <w:bCs/>
              </w:rPr>
              <w:t xml:space="preserve"> 20</w:t>
            </w:r>
            <w:r w:rsidR="009C353C">
              <w:rPr>
                <w:b/>
                <w:bCs/>
              </w:rPr>
              <w:t>20</w:t>
            </w:r>
          </w:p>
        </w:tc>
      </w:tr>
      <w:tr w:rsidR="00520F36" w:rsidRPr="0092392D" w14:paraId="6F9FEB47" w14:textId="77777777">
        <w:trPr>
          <w:cantSplit/>
          <w:trHeight w:val="20"/>
        </w:trPr>
        <w:tc>
          <w:tcPr>
            <w:tcW w:w="6912" w:type="dxa"/>
            <w:vMerge/>
          </w:tcPr>
          <w:p w14:paraId="4AFEC9FB" w14:textId="77777777" w:rsidR="00520F36" w:rsidRPr="0092392D" w:rsidRDefault="00520F36" w:rsidP="0077143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B978A43" w14:textId="77777777" w:rsidR="00520F36" w:rsidRPr="00520F36" w:rsidRDefault="00520F36" w:rsidP="00771432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anglais</w:t>
            </w:r>
          </w:p>
        </w:tc>
      </w:tr>
      <w:tr w:rsidR="00520F36" w:rsidRPr="0092392D" w14:paraId="7C9CDE51" w14:textId="77777777">
        <w:trPr>
          <w:cantSplit/>
        </w:trPr>
        <w:tc>
          <w:tcPr>
            <w:tcW w:w="10173" w:type="dxa"/>
            <w:gridSpan w:val="2"/>
          </w:tcPr>
          <w:p w14:paraId="6511F2CF" w14:textId="77777777" w:rsidR="00520F36" w:rsidRPr="0092392D" w:rsidRDefault="00665293" w:rsidP="00771432">
            <w:pPr>
              <w:pStyle w:val="Source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92392D" w14:paraId="73EE40D2" w14:textId="77777777">
        <w:trPr>
          <w:cantSplit/>
        </w:trPr>
        <w:tc>
          <w:tcPr>
            <w:tcW w:w="10173" w:type="dxa"/>
            <w:gridSpan w:val="2"/>
          </w:tcPr>
          <w:p w14:paraId="2909B194" w14:textId="740A2755" w:rsidR="00520F36" w:rsidRPr="0092392D" w:rsidRDefault="00665293" w:rsidP="00771432">
            <w:pPr>
              <w:pStyle w:val="Title1"/>
            </w:pPr>
            <w:bookmarkStart w:id="7" w:name="dtitle1" w:colFirst="0" w:colLast="0"/>
            <w:bookmarkEnd w:id="6"/>
            <w:r>
              <w:t>RAPPORT DE L</w:t>
            </w:r>
            <w:r w:rsidR="005138AD">
              <w:t>'</w:t>
            </w:r>
            <w:r>
              <w:t>AUDITEUR INTERNE SUR LES ACTIVITéS D</w:t>
            </w:r>
            <w:r w:rsidR="005138AD">
              <w:t>'</w:t>
            </w:r>
            <w:r>
              <w:t>AUDIT INTERNE</w:t>
            </w:r>
          </w:p>
        </w:tc>
      </w:tr>
      <w:bookmarkEnd w:id="7"/>
    </w:tbl>
    <w:p w14:paraId="1639B220" w14:textId="77777777" w:rsidR="00665293" w:rsidRDefault="00665293" w:rsidP="00771432">
      <w:pPr>
        <w:rPr>
          <w:lang w:val="fr-CH"/>
        </w:rPr>
      </w:pP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665293" w:rsidRPr="00665293" w14:paraId="6F5D9296" w14:textId="77777777" w:rsidTr="0066529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733697" w14:textId="77777777" w:rsidR="00665293" w:rsidRDefault="00665293" w:rsidP="00771432">
            <w:pPr>
              <w:pStyle w:val="Headingb"/>
              <w:rPr>
                <w:lang w:val="fr-CH" w:eastAsia="zh-CN"/>
              </w:rPr>
            </w:pPr>
            <w:r>
              <w:rPr>
                <w:lang w:val="fr-CH" w:eastAsia="zh-CN"/>
              </w:rPr>
              <w:t>Résumé</w:t>
            </w:r>
          </w:p>
          <w:p w14:paraId="650204D6" w14:textId="765FB053" w:rsidR="00665293" w:rsidRDefault="00665293" w:rsidP="00BA69CF">
            <w:pPr>
              <w:rPr>
                <w:lang w:val="fr-CH" w:eastAsia="zh-CN"/>
              </w:rPr>
            </w:pPr>
            <w:r>
              <w:rPr>
                <w:lang w:eastAsia="zh-CN"/>
              </w:rPr>
              <w:t>Le présent rapport couvre les activités d</w:t>
            </w:r>
            <w:r w:rsidR="005138AD">
              <w:rPr>
                <w:lang w:eastAsia="zh-CN"/>
              </w:rPr>
              <w:t>'</w:t>
            </w:r>
            <w:r>
              <w:rPr>
                <w:lang w:eastAsia="zh-CN"/>
              </w:rPr>
              <w:t>audit interne menées durant la période allant de ma</w:t>
            </w:r>
            <w:r w:rsidR="00B87990">
              <w:rPr>
                <w:lang w:eastAsia="zh-CN"/>
              </w:rPr>
              <w:t>i 2019</w:t>
            </w:r>
            <w:r>
              <w:rPr>
                <w:lang w:eastAsia="zh-CN"/>
              </w:rPr>
              <w:t xml:space="preserve"> à avril 20</w:t>
            </w:r>
            <w:r w:rsidR="00B87990">
              <w:rPr>
                <w:lang w:eastAsia="zh-CN"/>
              </w:rPr>
              <w:t>20</w:t>
            </w:r>
            <w:r>
              <w:rPr>
                <w:lang w:eastAsia="zh-CN"/>
              </w:rPr>
              <w:t>.</w:t>
            </w:r>
          </w:p>
          <w:p w14:paraId="1980789C" w14:textId="77777777" w:rsidR="00665293" w:rsidRDefault="00665293" w:rsidP="00BA69CF">
            <w:pPr>
              <w:pStyle w:val="Headingb"/>
              <w:rPr>
                <w:lang w:val="fr-CH" w:eastAsia="zh-CN"/>
              </w:rPr>
            </w:pPr>
            <w:proofErr w:type="gramStart"/>
            <w:r>
              <w:rPr>
                <w:lang w:val="fr-CH" w:eastAsia="zh-CN"/>
              </w:rPr>
              <w:t>Suite à</w:t>
            </w:r>
            <w:proofErr w:type="gramEnd"/>
            <w:r>
              <w:rPr>
                <w:lang w:val="fr-CH" w:eastAsia="zh-CN"/>
              </w:rPr>
              <w:t xml:space="preserve"> donner</w:t>
            </w:r>
          </w:p>
          <w:p w14:paraId="709FBD9A" w14:textId="77777777" w:rsidR="00665293" w:rsidRDefault="00665293" w:rsidP="00BA69CF">
            <w:pPr>
              <w:rPr>
                <w:lang w:val="fr-CH" w:eastAsia="zh-CN"/>
              </w:rPr>
            </w:pPr>
            <w:r>
              <w:rPr>
                <w:lang w:eastAsia="zh-CN"/>
              </w:rPr>
              <w:t xml:space="preserve">Le présent rapport est transmis au Conseil </w:t>
            </w:r>
            <w:r>
              <w:rPr>
                <w:b/>
                <w:lang w:eastAsia="zh-CN"/>
              </w:rPr>
              <w:t>pour examen</w:t>
            </w:r>
            <w:r>
              <w:rPr>
                <w:lang w:eastAsia="zh-CN"/>
              </w:rPr>
              <w:t>.</w:t>
            </w:r>
          </w:p>
          <w:p w14:paraId="3B39C158" w14:textId="77777777" w:rsidR="00665293" w:rsidRDefault="00665293" w:rsidP="00BA69CF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 w:eastAsia="zh-CN"/>
              </w:rPr>
            </w:pPr>
            <w:r>
              <w:rPr>
                <w:rFonts w:ascii="Calibri" w:hAnsi="Calibri"/>
                <w:caps w:val="0"/>
                <w:sz w:val="22"/>
                <w:lang w:val="fr-CH" w:eastAsia="zh-CN"/>
              </w:rPr>
              <w:t>____________</w:t>
            </w:r>
          </w:p>
          <w:p w14:paraId="31BB254F" w14:textId="77777777" w:rsidR="00665293" w:rsidRDefault="00665293" w:rsidP="00BA69CF">
            <w:pPr>
              <w:pStyle w:val="Headingb"/>
              <w:rPr>
                <w:lang w:val="fr-CH" w:eastAsia="zh-CN"/>
              </w:rPr>
            </w:pPr>
            <w:r>
              <w:rPr>
                <w:lang w:val="fr-CH" w:eastAsia="zh-CN"/>
              </w:rPr>
              <w:t>Références</w:t>
            </w:r>
          </w:p>
          <w:p w14:paraId="73932774" w14:textId="1DBC0F65" w:rsidR="00665293" w:rsidRDefault="000A00A9" w:rsidP="00BA69CF">
            <w:pPr>
              <w:spacing w:after="120"/>
              <w:rPr>
                <w:i/>
                <w:iCs/>
                <w:lang w:val="fr-CH" w:eastAsia="zh-CN"/>
              </w:rPr>
            </w:pPr>
            <w:hyperlink r:id="rId12" w:history="1">
              <w:r w:rsidR="00665293">
                <w:rPr>
                  <w:rStyle w:val="Hyperlink"/>
                  <w:i/>
                  <w:iCs/>
                  <w:lang w:eastAsia="zh-CN"/>
                </w:rPr>
                <w:t>Règlement financier et Règles financières de l</w:t>
              </w:r>
              <w:r w:rsidR="005138AD">
                <w:rPr>
                  <w:rStyle w:val="Hyperlink"/>
                  <w:i/>
                  <w:iCs/>
                  <w:lang w:eastAsia="zh-CN"/>
                </w:rPr>
                <w:t>'</w:t>
              </w:r>
              <w:r w:rsidR="00665293">
                <w:rPr>
                  <w:rStyle w:val="Hyperlink"/>
                  <w:i/>
                  <w:iCs/>
                  <w:lang w:eastAsia="zh-CN"/>
                </w:rPr>
                <w:t>UIT (2018), Article 29</w:t>
              </w:r>
            </w:hyperlink>
          </w:p>
        </w:tc>
      </w:tr>
    </w:tbl>
    <w:p w14:paraId="2D4A6E4A" w14:textId="77777777" w:rsidR="008B42C6" w:rsidRDefault="008B42C6" w:rsidP="00BA69CF">
      <w:pPr>
        <w:pStyle w:val="Headingb"/>
        <w:spacing w:before="480"/>
      </w:pPr>
      <w:r>
        <w:br w:type="page"/>
      </w:r>
    </w:p>
    <w:p w14:paraId="73CD71A9" w14:textId="11560D57" w:rsidR="00665293" w:rsidRDefault="00665293" w:rsidP="00BA69CF">
      <w:pPr>
        <w:pStyle w:val="Headingb"/>
        <w:spacing w:before="480"/>
      </w:pPr>
      <w:r>
        <w:lastRenderedPageBreak/>
        <w:t>Introduction</w:t>
      </w:r>
    </w:p>
    <w:p w14:paraId="2B8E5343" w14:textId="2C023157" w:rsidR="00665293" w:rsidRDefault="00665293" w:rsidP="00BA69CF">
      <w:r>
        <w:t>1</w:t>
      </w:r>
      <w:r>
        <w:tab/>
        <w:t>Le présent rapport est transmis au Conseil</w:t>
      </w:r>
      <w:r w:rsidR="00B87990">
        <w:t xml:space="preserve"> de l</w:t>
      </w:r>
      <w:r w:rsidR="005138AD">
        <w:t>'</w:t>
      </w:r>
      <w:r w:rsidR="00B87990">
        <w:t>UIT</w:t>
      </w:r>
      <w:r>
        <w:t xml:space="preserve"> au titre de l</w:t>
      </w:r>
      <w:r w:rsidR="005138AD">
        <w:t>'</w:t>
      </w:r>
      <w:r>
        <w:t>Article 29 du Règlement financier (2010). Conformément à la Charte d</w:t>
      </w:r>
      <w:r w:rsidR="005138AD">
        <w:t>'</w:t>
      </w:r>
      <w:r>
        <w:t>audit interne de l</w:t>
      </w:r>
      <w:r w:rsidR="005138AD">
        <w:t>'</w:t>
      </w:r>
      <w:r>
        <w:t>UIT</w:t>
      </w:r>
      <w:r>
        <w:rPr>
          <w:rStyle w:val="FootnoteReference"/>
        </w:rPr>
        <w:footnoteReference w:id="1"/>
      </w:r>
      <w:r>
        <w:t>, le présent rapport est soumis au Secrétaire général et présenté au Conseil pour examen. Il couvre les activités menées durant la période allant de ma</w:t>
      </w:r>
      <w:r w:rsidR="00B87990">
        <w:t>i</w:t>
      </w:r>
      <w:r>
        <w:t xml:space="preserve"> 201</w:t>
      </w:r>
      <w:r w:rsidR="00B87990">
        <w:t>9</w:t>
      </w:r>
      <w:r>
        <w:t xml:space="preserve"> à avril 20</w:t>
      </w:r>
      <w:r w:rsidR="00B87990">
        <w:t>20</w:t>
      </w:r>
      <w:r>
        <w:t>.</w:t>
      </w:r>
    </w:p>
    <w:p w14:paraId="0E1CF65A" w14:textId="6063BFD1" w:rsidR="00665293" w:rsidRDefault="00665293" w:rsidP="00BA69CF">
      <w:r>
        <w:t>2</w:t>
      </w:r>
      <w:r>
        <w:tab/>
        <w:t>S</w:t>
      </w:r>
      <w:r w:rsidR="005138AD">
        <w:t>'</w:t>
      </w:r>
      <w:r>
        <w:t>agissant de la période couverte par le rapport, l</w:t>
      </w:r>
      <w:r w:rsidR="005138AD">
        <w:t>'</w:t>
      </w:r>
      <w:r>
        <w:t>Unité de l</w:t>
      </w:r>
      <w:r w:rsidR="005138AD">
        <w:t>'</w:t>
      </w:r>
      <w:r>
        <w:t>audit interne se composait de </w:t>
      </w:r>
      <w:r w:rsidR="00B87990">
        <w:t xml:space="preserve">trois </w:t>
      </w:r>
      <w:r>
        <w:t xml:space="preserve">fonctionnaires de la catégorie professionnelle – un </w:t>
      </w:r>
      <w:r w:rsidR="00B87990">
        <w:t>P5 (chef de l</w:t>
      </w:r>
      <w:r w:rsidR="005138AD">
        <w:t>'</w:t>
      </w:r>
      <w:r w:rsidR="00B87990">
        <w:t xml:space="preserve">Unité), </w:t>
      </w:r>
      <w:r>
        <w:t xml:space="preserve">un P3 (auditeur interne) </w:t>
      </w:r>
      <w:r w:rsidR="00B87990">
        <w:t xml:space="preserve">et </w:t>
      </w:r>
      <w:r>
        <w:t>un P2 (auditeur interne junior). Un fonctionnaire de la catégorie des services généraux (assistant d</w:t>
      </w:r>
      <w:r w:rsidR="005138AD">
        <w:t>'</w:t>
      </w:r>
      <w:r>
        <w:t>audit) a travaillé à temps plein à l</w:t>
      </w:r>
      <w:r w:rsidR="005138AD">
        <w:t>'</w:t>
      </w:r>
      <w:r>
        <w:t>Unité. L</w:t>
      </w:r>
      <w:r w:rsidR="005138AD">
        <w:t>'</w:t>
      </w:r>
      <w:r>
        <w:t>Unité compte donc trois postes de la catégorie professionnelle et un poste de la catégorie des services généraux.</w:t>
      </w:r>
    </w:p>
    <w:p w14:paraId="08239957" w14:textId="15D51B92" w:rsidR="00665293" w:rsidRDefault="00665293" w:rsidP="00BA69CF">
      <w:r>
        <w:t>3</w:t>
      </w:r>
      <w:r>
        <w:tab/>
        <w:t>L</w:t>
      </w:r>
      <w:r w:rsidR="005138AD">
        <w:t>'</w:t>
      </w:r>
      <w:r>
        <w:t>Unité de l</w:t>
      </w:r>
      <w:r w:rsidR="005138AD">
        <w:t>'</w:t>
      </w:r>
      <w:r>
        <w:t>audit interne confirme qu</w:t>
      </w:r>
      <w:r w:rsidR="005138AD">
        <w:t>'</w:t>
      </w:r>
      <w:r>
        <w:t>elle se conforme dans ses activités d</w:t>
      </w:r>
      <w:r w:rsidR="005138AD">
        <w:t>'</w:t>
      </w:r>
      <w:r>
        <w:t>audit aux Normes internationales pour la pratique professionnelle de l</w:t>
      </w:r>
      <w:r w:rsidR="005138AD">
        <w:t>'</w:t>
      </w:r>
      <w:r>
        <w:t>audit interne et au Code de déontologie établis par l</w:t>
      </w:r>
      <w:r w:rsidR="005138AD">
        <w:t>'</w:t>
      </w:r>
      <w:r>
        <w:t>Institut des auditeurs internes (IIA)</w:t>
      </w:r>
      <w:r w:rsidR="008B42C6">
        <w:rPr>
          <w:rStyle w:val="FootnoteReference"/>
        </w:rPr>
        <w:footnoteReference w:id="2"/>
      </w:r>
      <w:r>
        <w:t>, ainsi qu</w:t>
      </w:r>
      <w:r w:rsidR="005138AD">
        <w:t>'</w:t>
      </w:r>
      <w:r>
        <w:t>aux dispositions de la Charte d</w:t>
      </w:r>
      <w:r w:rsidR="005138AD">
        <w:t>'</w:t>
      </w:r>
      <w:r>
        <w:t>audit interne de l</w:t>
      </w:r>
      <w:r w:rsidR="005138AD">
        <w:t>'</w:t>
      </w:r>
      <w:r>
        <w:t>UIT</w:t>
      </w:r>
      <w:r>
        <w:rPr>
          <w:rStyle w:val="FootnoteReference"/>
        </w:rPr>
        <w:footnoteReference w:id="3"/>
      </w:r>
      <w:r>
        <w:rPr>
          <w:lang w:val="fr-CH"/>
        </w:rPr>
        <w:t xml:space="preserve">. </w:t>
      </w:r>
      <w:r>
        <w:t>En outre, elle confirme qu</w:t>
      </w:r>
      <w:r w:rsidR="005138AD">
        <w:t>'</w:t>
      </w:r>
      <w:r>
        <w:t>au cours de la période couverte par le présent rapport, ses membres n</w:t>
      </w:r>
      <w:r w:rsidR="005138AD">
        <w:t>'</w:t>
      </w:r>
      <w:r>
        <w:t>ont supervisé aucune des activités ayant fait l</w:t>
      </w:r>
      <w:r w:rsidR="005138AD">
        <w:t>'</w:t>
      </w:r>
      <w:r>
        <w:t>objet d</w:t>
      </w:r>
      <w:r w:rsidR="005138AD">
        <w:t>'</w:t>
      </w:r>
      <w:r>
        <w:t>un audit, ni n</w:t>
      </w:r>
      <w:r w:rsidR="005138AD">
        <w:t>'</w:t>
      </w:r>
      <w:r>
        <w:t>en ont été responsables, et qu</w:t>
      </w:r>
      <w:r w:rsidR="005138AD">
        <w:t>'</w:t>
      </w:r>
      <w:r>
        <w:t>ils n</w:t>
      </w:r>
      <w:r w:rsidR="005138AD">
        <w:t>'</w:t>
      </w:r>
      <w:r>
        <w:t>ont pas exercé à l</w:t>
      </w:r>
      <w:r w:rsidR="005138AD">
        <w:t>'</w:t>
      </w:r>
      <w:r>
        <w:t>UIT de fonctions comptables ou opérationnelles.</w:t>
      </w:r>
    </w:p>
    <w:p w14:paraId="58BE4C63" w14:textId="1028BD49" w:rsidR="00665293" w:rsidRDefault="00665293" w:rsidP="00BA69CF">
      <w:pPr>
        <w:pStyle w:val="Headingb"/>
      </w:pPr>
      <w:r>
        <w:t>Orientation et champ des activités d</w:t>
      </w:r>
      <w:r w:rsidR="005138AD">
        <w:t>'</w:t>
      </w:r>
      <w:r>
        <w:t>audit interne</w:t>
      </w:r>
    </w:p>
    <w:p w14:paraId="17854B22" w14:textId="571610E8" w:rsidR="00665293" w:rsidRDefault="00665293" w:rsidP="00BA69CF">
      <w:r>
        <w:t>4</w:t>
      </w:r>
      <w:r>
        <w:tab/>
        <w:t>Conformément à la Charte d</w:t>
      </w:r>
      <w:r w:rsidR="005138AD">
        <w:rPr>
          <w:b/>
        </w:rPr>
        <w:t>'</w:t>
      </w:r>
      <w:r>
        <w:t>audit interne, le plan pour l</w:t>
      </w:r>
      <w:r w:rsidR="005138AD">
        <w:rPr>
          <w:b/>
        </w:rPr>
        <w:t>'</w:t>
      </w:r>
      <w:r>
        <w:t>Unité de l</w:t>
      </w:r>
      <w:r w:rsidR="005138AD">
        <w:rPr>
          <w:b/>
        </w:rPr>
        <w:t>'</w:t>
      </w:r>
      <w:r>
        <w:t>audit interne pour 201</w:t>
      </w:r>
      <w:r w:rsidR="00B87990">
        <w:t>9 a </w:t>
      </w:r>
      <w:r>
        <w:t>été examiné par le Comité consultatif indépendant pour les q</w:t>
      </w:r>
      <w:r w:rsidR="00B87990">
        <w:t>uestions de gestion (CCIG) à sa 22</w:t>
      </w:r>
      <w:r w:rsidRPr="00BA69CF">
        <w:t>ème</w:t>
      </w:r>
      <w:r>
        <w:t xml:space="preserve"> réunion et approuvé par le Secrétaire général le 26 mars 2019. </w:t>
      </w:r>
      <w:r w:rsidR="009063BF">
        <w:t>Le</w:t>
      </w:r>
      <w:r w:rsidR="0011215C">
        <w:t xml:space="preserve"> plan pour l</w:t>
      </w:r>
      <w:r w:rsidR="005138AD">
        <w:t>'</w:t>
      </w:r>
      <w:r w:rsidR="0011215C">
        <w:t>Unité d</w:t>
      </w:r>
      <w:r w:rsidR="005138AD">
        <w:t>'</w:t>
      </w:r>
      <w:r w:rsidR="0011215C">
        <w:t>audit interne n</w:t>
      </w:r>
      <w:r w:rsidR="005138AD">
        <w:t>'</w:t>
      </w:r>
      <w:r w:rsidR="0011215C">
        <w:t>a pas encore été élaboré</w:t>
      </w:r>
      <w:r w:rsidR="00C50310">
        <w:t xml:space="preserve"> pour 2020. Cela est e</w:t>
      </w:r>
      <w:r w:rsidR="0011215C">
        <w:t xml:space="preserve">ssentiellement </w:t>
      </w:r>
      <w:r w:rsidR="00C50310">
        <w:t>dû au fait que</w:t>
      </w:r>
      <w:r w:rsidR="0011215C">
        <w:t xml:space="preserve"> l</w:t>
      </w:r>
      <w:r w:rsidR="005138AD">
        <w:t>'</w:t>
      </w:r>
      <w:r w:rsidR="0011215C">
        <w:t xml:space="preserve">Unité participe </w:t>
      </w:r>
      <w:r w:rsidR="00C50310">
        <w:t>dans une large mesure</w:t>
      </w:r>
      <w:r w:rsidR="0011215C">
        <w:t xml:space="preserve"> aux travaux d</w:t>
      </w:r>
      <w:r w:rsidR="005138AD">
        <w:t>'</w:t>
      </w:r>
      <w:r w:rsidR="0011215C">
        <w:t>enquête qui seront poursuivis durant une grande partie de l</w:t>
      </w:r>
      <w:r w:rsidR="005138AD">
        <w:t>'</w:t>
      </w:r>
      <w:r w:rsidR="0011215C">
        <w:t xml:space="preserve">année 2020 et continuera de participer à ces travaux </w:t>
      </w:r>
      <w:r w:rsidR="00C50310">
        <w:t>jusqu</w:t>
      </w:r>
      <w:r w:rsidR="005138AD">
        <w:t>'</w:t>
      </w:r>
      <w:r w:rsidR="00C50310">
        <w:t>à ce que le poste d</w:t>
      </w:r>
      <w:r w:rsidR="005138AD">
        <w:t>'</w:t>
      </w:r>
      <w:r w:rsidR="00C50310">
        <w:t xml:space="preserve">enquêteur soit adopté et pourvu. </w:t>
      </w:r>
      <w:r w:rsidR="00C50310" w:rsidRPr="00C50310">
        <w:t>Les travaux de l</w:t>
      </w:r>
      <w:r w:rsidR="005138AD">
        <w:t>'</w:t>
      </w:r>
      <w:r w:rsidR="00C50310" w:rsidRPr="00C50310">
        <w:t>Unité de l</w:t>
      </w:r>
      <w:r w:rsidR="005138AD">
        <w:t>'</w:t>
      </w:r>
      <w:r w:rsidR="00C50310" w:rsidRPr="00C50310">
        <w:t>audit interne sur les enquê</w:t>
      </w:r>
      <w:r w:rsidR="00C50310">
        <w:t>tes s</w:t>
      </w:r>
      <w:r w:rsidR="005138AD">
        <w:t>'</w:t>
      </w:r>
      <w:r w:rsidR="00C50310">
        <w:t>appuient sur</w:t>
      </w:r>
      <w:r>
        <w:t xml:space="preserve"> la Charte d</w:t>
      </w:r>
      <w:r w:rsidR="005138AD">
        <w:rPr>
          <w:b/>
        </w:rPr>
        <w:t>'</w:t>
      </w:r>
      <w:r>
        <w:t>audit interne</w:t>
      </w:r>
      <w:r w:rsidR="00C50310">
        <w:t xml:space="preserve">, qui </w:t>
      </w:r>
      <w:r>
        <w:t xml:space="preserve">stipule que </w:t>
      </w:r>
      <w:r>
        <w:rPr>
          <w:i/>
        </w:rPr>
        <w:t>les auditeurs internes procèdent à des enquêtes en cas d</w:t>
      </w:r>
      <w:r w:rsidR="005138AD">
        <w:rPr>
          <w:i/>
        </w:rPr>
        <w:t>'</w:t>
      </w:r>
      <w:r>
        <w:rPr>
          <w:i/>
        </w:rPr>
        <w:t xml:space="preserve">allégation ou de présomption de fraude ou de mauvaise administration </w:t>
      </w:r>
      <w:r>
        <w:t xml:space="preserve">et que </w:t>
      </w:r>
      <w:r>
        <w:rPr>
          <w:i/>
        </w:rPr>
        <w:t>l</w:t>
      </w:r>
      <w:r w:rsidR="005138AD">
        <w:rPr>
          <w:i/>
        </w:rPr>
        <w:t>'</w:t>
      </w:r>
      <w:r>
        <w:rPr>
          <w:i/>
        </w:rPr>
        <w:t>Unité de l</w:t>
      </w:r>
      <w:r w:rsidR="005138AD">
        <w:rPr>
          <w:b/>
          <w:i/>
        </w:rPr>
        <w:t>'</w:t>
      </w:r>
      <w:r>
        <w:rPr>
          <w:i/>
        </w:rPr>
        <w:t>audit interne peut fournir des services de conseil au sein de l</w:t>
      </w:r>
      <w:r w:rsidR="005138AD">
        <w:rPr>
          <w:i/>
        </w:rPr>
        <w:t>'</w:t>
      </w:r>
      <w:r>
        <w:rPr>
          <w:i/>
        </w:rPr>
        <w:t>UIT.</w:t>
      </w:r>
    </w:p>
    <w:p w14:paraId="6FA010AB" w14:textId="682C8BAE" w:rsidR="00665293" w:rsidRDefault="00665293" w:rsidP="00BA69CF">
      <w:r>
        <w:t>5</w:t>
      </w:r>
      <w:r>
        <w:tab/>
        <w:t>L</w:t>
      </w:r>
      <w:r w:rsidR="005138AD">
        <w:t>'</w:t>
      </w:r>
      <w:r>
        <w:t>Unité de l</w:t>
      </w:r>
      <w:r w:rsidR="005138AD">
        <w:t>'</w:t>
      </w:r>
      <w:r>
        <w:t>audit interne remet systématiquement des exemplaires des rapports d</w:t>
      </w:r>
      <w:r w:rsidR="005138AD">
        <w:t>'</w:t>
      </w:r>
      <w:r>
        <w:t>audit interne au Vérificateur extérieur des comptes de l</w:t>
      </w:r>
      <w:r w:rsidR="005138AD">
        <w:t>'</w:t>
      </w:r>
      <w:r>
        <w:t>UIT ainsi qu</w:t>
      </w:r>
      <w:r w:rsidR="005138AD">
        <w:t>'</w:t>
      </w:r>
      <w:r>
        <w:t>au CCIG. Conformément à la disposition 29.5 du Règlement financier de l</w:t>
      </w:r>
      <w:r w:rsidR="005138AD">
        <w:t>'</w:t>
      </w:r>
      <w:r>
        <w:t>UIT, des rapports finals d</w:t>
      </w:r>
      <w:r w:rsidR="005138AD">
        <w:t>'</w:t>
      </w:r>
      <w:r>
        <w:t>audit interne peuvent être mis à la disposition des États Membres ou de leurs représentants désignés. Un mécanisme simplifié d</w:t>
      </w:r>
      <w:r w:rsidR="005138AD">
        <w:t>'</w:t>
      </w:r>
      <w:r>
        <w:t>accès aux rapports d</w:t>
      </w:r>
      <w:r w:rsidR="005138AD">
        <w:t>'</w:t>
      </w:r>
      <w:r>
        <w:t>audit interne est en place depuis octobre 2015. Au cours de la période couverte par le présent rapport, aucune demande d</w:t>
      </w:r>
      <w:r w:rsidR="005138AD">
        <w:t>'</w:t>
      </w:r>
      <w:r>
        <w:t>accès à des rapports d</w:t>
      </w:r>
      <w:r w:rsidR="005138AD">
        <w:t>'</w:t>
      </w:r>
      <w:r>
        <w:t>audit interne n</w:t>
      </w:r>
      <w:r w:rsidR="005138AD">
        <w:t>'</w:t>
      </w:r>
      <w:r>
        <w:t>a été reçue via le nouveau mécanisme en ligne.</w:t>
      </w:r>
    </w:p>
    <w:p w14:paraId="65A1567C" w14:textId="77777777" w:rsidR="008B42C6" w:rsidRDefault="008B42C6" w:rsidP="00BA69CF">
      <w:pPr>
        <w:pStyle w:val="Headingb"/>
        <w:rPr>
          <w:lang w:val="fr-CH"/>
        </w:rPr>
      </w:pPr>
      <w:r>
        <w:rPr>
          <w:lang w:val="fr-CH"/>
        </w:rPr>
        <w:br w:type="page"/>
      </w:r>
    </w:p>
    <w:p w14:paraId="6AAC6E99" w14:textId="366541FD" w:rsidR="00665293" w:rsidRDefault="00665293" w:rsidP="00BA69CF">
      <w:pPr>
        <w:pStyle w:val="Headingb"/>
      </w:pPr>
      <w:r>
        <w:rPr>
          <w:lang w:val="fr-CH"/>
        </w:rPr>
        <w:lastRenderedPageBreak/>
        <w:t>Objectifs et conclusions des missions d</w:t>
      </w:r>
      <w:r w:rsidR="005138AD">
        <w:rPr>
          <w:lang w:val="fr-CH"/>
        </w:rPr>
        <w:t>'</w:t>
      </w:r>
      <w:r>
        <w:rPr>
          <w:lang w:val="fr-CH"/>
        </w:rPr>
        <w:t>assurance</w:t>
      </w:r>
    </w:p>
    <w:p w14:paraId="741BD4CC" w14:textId="69D168F7" w:rsidR="00665293" w:rsidRDefault="00665293" w:rsidP="00BA69CF">
      <w:r>
        <w:t>6</w:t>
      </w:r>
      <w:r>
        <w:tab/>
        <w:t>Les missions d</w:t>
      </w:r>
      <w:r w:rsidR="005138AD">
        <w:t>'</w:t>
      </w:r>
      <w:r>
        <w:t xml:space="preserve">assurance avaient pour objectif </w:t>
      </w:r>
      <w:proofErr w:type="gramStart"/>
      <w:r>
        <w:t>d</w:t>
      </w:r>
      <w:r w:rsidR="005138AD">
        <w:t>'</w:t>
      </w:r>
      <w:r>
        <w:t>évaluer:</w:t>
      </w:r>
      <w:proofErr w:type="gramEnd"/>
      <w:r>
        <w:t xml:space="preserve"> i) les aspects liés à la gouvernance des opérations de l</w:t>
      </w:r>
      <w:r w:rsidR="005138AD">
        <w:t>'</w:t>
      </w:r>
      <w:r>
        <w:t>Union auditées; ii) les pratiques en matière de gestion des risques; et iii) l</w:t>
      </w:r>
      <w:r w:rsidR="005138AD">
        <w:t>'</w:t>
      </w:r>
      <w:r>
        <w:t>efficacité des contrôles (internes). Un niveau de priorité est attribué aux recommandations résultant des travaux d</w:t>
      </w:r>
      <w:r w:rsidR="005138AD">
        <w:t>'</w:t>
      </w:r>
      <w:r>
        <w:t>audit, en fonction des incidences et de la probabilité d</w:t>
      </w:r>
      <w:r w:rsidR="005138AD">
        <w:t>'</w:t>
      </w:r>
      <w:r>
        <w:t>une déficience (élevée, moyenne, faible).</w:t>
      </w:r>
    </w:p>
    <w:p w14:paraId="6ABF818E" w14:textId="743CCCDB" w:rsidR="00665293" w:rsidRDefault="00665293" w:rsidP="00BA69CF">
      <w:pPr>
        <w:rPr>
          <w:lang w:val="fr-CH"/>
        </w:rPr>
      </w:pPr>
      <w:r>
        <w:t>Sur la base des différentes missions d</w:t>
      </w:r>
      <w:r w:rsidR="005138AD">
        <w:t>'</w:t>
      </w:r>
      <w:r>
        <w:t>assurance menées à bien</w:t>
      </w:r>
      <w:r w:rsidR="00C50310">
        <w:t xml:space="preserve"> par le passé</w:t>
      </w:r>
      <w:r>
        <w:t>, l</w:t>
      </w:r>
      <w:r w:rsidR="005138AD">
        <w:t>'</w:t>
      </w:r>
      <w:r>
        <w:t>Unité de l</w:t>
      </w:r>
      <w:r w:rsidR="005138AD">
        <w:t>'</w:t>
      </w:r>
      <w:r>
        <w:t>audit a conclu que, globalement, il était nécessaire d</w:t>
      </w:r>
      <w:r w:rsidR="005138AD">
        <w:t>'</w:t>
      </w:r>
      <w:r>
        <w:t xml:space="preserve">améliorer la gouvernance et la gestion des risques des processus examinés et de rendre les contrôles plus efficaces dans les différents domaines vérifiés. </w:t>
      </w:r>
      <w:r>
        <w:rPr>
          <w:lang w:val="fr-CH"/>
        </w:rPr>
        <w:t>Des améliorations pourraient être apportées dans ces domaines afin de permettre à l</w:t>
      </w:r>
      <w:r w:rsidR="005138AD">
        <w:rPr>
          <w:lang w:val="fr-CH"/>
        </w:rPr>
        <w:t>'</w:t>
      </w:r>
      <w:r>
        <w:rPr>
          <w:lang w:val="fr-CH"/>
        </w:rPr>
        <w:t>Unité de l</w:t>
      </w:r>
      <w:r w:rsidR="005138AD">
        <w:rPr>
          <w:lang w:val="fr-CH"/>
        </w:rPr>
        <w:t>'</w:t>
      </w:r>
      <w:r>
        <w:rPr>
          <w:lang w:val="fr-CH"/>
        </w:rPr>
        <w:t>audit interne de fournir au Secrétaire général une assurance raisonnable que la gouvernance et la gestion des risques sont adaptées et que les contrôles sont efficaces. Les recommandations adressées à la direction sont actuellement mises en œuvre, avec l</w:t>
      </w:r>
      <w:r w:rsidR="005138AD">
        <w:rPr>
          <w:lang w:val="fr-CH"/>
        </w:rPr>
        <w:t>'</w:t>
      </w:r>
      <w:r>
        <w:rPr>
          <w:lang w:val="fr-CH"/>
        </w:rPr>
        <w:t>appui du Secrétaire général, ce qui renforcera encore la capacité de l</w:t>
      </w:r>
      <w:r w:rsidR="005138AD">
        <w:rPr>
          <w:lang w:val="fr-CH"/>
        </w:rPr>
        <w:t>'</w:t>
      </w:r>
      <w:r>
        <w:rPr>
          <w:lang w:val="fr-CH"/>
        </w:rPr>
        <w:t>UIT à remplir son mandat.</w:t>
      </w:r>
    </w:p>
    <w:p w14:paraId="4FDA10B5" w14:textId="41E64A83" w:rsidR="00665293" w:rsidRDefault="00665293" w:rsidP="00BA69CF">
      <w:pPr>
        <w:rPr>
          <w:lang w:val="fr-CH"/>
        </w:rPr>
      </w:pPr>
      <w:r>
        <w:rPr>
          <w:lang w:val="fr-CH"/>
        </w:rPr>
        <w:t>7</w:t>
      </w:r>
      <w:r>
        <w:rPr>
          <w:lang w:val="fr-CH"/>
        </w:rPr>
        <w:tab/>
        <w:t>L</w:t>
      </w:r>
      <w:r w:rsidR="005138AD">
        <w:rPr>
          <w:lang w:val="fr-CH"/>
        </w:rPr>
        <w:t>'</w:t>
      </w:r>
      <w:r>
        <w:rPr>
          <w:lang w:val="fr-CH"/>
        </w:rPr>
        <w:t>Unité de l</w:t>
      </w:r>
      <w:r w:rsidR="005138AD">
        <w:rPr>
          <w:lang w:val="fr-CH"/>
        </w:rPr>
        <w:t>'</w:t>
      </w:r>
      <w:r>
        <w:rPr>
          <w:lang w:val="fr-CH"/>
        </w:rPr>
        <w:t>audit interne assure le suivi de la mise en œuvre des mesures recommandées, si nécessaire.</w:t>
      </w:r>
    </w:p>
    <w:p w14:paraId="7BBFCDB6" w14:textId="416FED31" w:rsidR="00665293" w:rsidRDefault="00665293" w:rsidP="00BA69CF">
      <w:pPr>
        <w:pStyle w:val="Headingi"/>
      </w:pPr>
      <w:r>
        <w:rPr>
          <w:lang w:val="fr-CH"/>
        </w:rPr>
        <w:t>L</w:t>
      </w:r>
      <w:r w:rsidR="00B87990">
        <w:rPr>
          <w:lang w:val="fr-CH"/>
        </w:rPr>
        <w:t>a mission</w:t>
      </w:r>
      <w:r>
        <w:rPr>
          <w:lang w:val="fr-CH"/>
        </w:rPr>
        <w:t xml:space="preserve"> d</w:t>
      </w:r>
      <w:r w:rsidR="005138AD">
        <w:rPr>
          <w:lang w:val="fr-CH"/>
        </w:rPr>
        <w:t>'</w:t>
      </w:r>
      <w:r>
        <w:rPr>
          <w:lang w:val="fr-CH"/>
        </w:rPr>
        <w:t xml:space="preserve">assurance suivante </w:t>
      </w:r>
      <w:r w:rsidR="00B87990">
        <w:rPr>
          <w:lang w:val="fr-CH"/>
        </w:rPr>
        <w:t xml:space="preserve">a été </w:t>
      </w:r>
      <w:proofErr w:type="gramStart"/>
      <w:r w:rsidR="00B87990">
        <w:rPr>
          <w:lang w:val="fr-CH"/>
        </w:rPr>
        <w:t>menée</w:t>
      </w:r>
      <w:r>
        <w:rPr>
          <w:lang w:val="fr-CH"/>
        </w:rPr>
        <w:t>:</w:t>
      </w:r>
      <w:proofErr w:type="gramEnd"/>
    </w:p>
    <w:p w14:paraId="0843B6C8" w14:textId="43952225" w:rsidR="00665293" w:rsidRPr="00C50310" w:rsidRDefault="005138AD" w:rsidP="00BA69CF">
      <w:pPr>
        <w:pStyle w:val="Headingb"/>
        <w:rPr>
          <w:i/>
        </w:rPr>
      </w:pPr>
      <w:r>
        <w:rPr>
          <w:i/>
        </w:rPr>
        <w:t>A</w:t>
      </w:r>
      <w:r w:rsidR="002E4904">
        <w:rPr>
          <w:i/>
        </w:rPr>
        <w:tab/>
      </w:r>
      <w:r w:rsidR="00F46179" w:rsidRPr="00C50310">
        <w:rPr>
          <w:i/>
        </w:rPr>
        <w:t xml:space="preserve">Inspection </w:t>
      </w:r>
      <w:r w:rsidR="00C50310" w:rsidRPr="00C50310">
        <w:rPr>
          <w:i/>
        </w:rPr>
        <w:t xml:space="preserve">des activités </w:t>
      </w:r>
      <w:r w:rsidR="00C50310">
        <w:rPr>
          <w:i/>
        </w:rPr>
        <w:t>des</w:t>
      </w:r>
      <w:r w:rsidR="00C50310" w:rsidRPr="00C50310">
        <w:rPr>
          <w:i/>
        </w:rPr>
        <w:t xml:space="preserve"> bureau</w:t>
      </w:r>
      <w:r w:rsidR="00C50310">
        <w:rPr>
          <w:i/>
        </w:rPr>
        <w:t>x</w:t>
      </w:r>
      <w:r w:rsidR="00C50310" w:rsidRPr="00C50310">
        <w:rPr>
          <w:i/>
        </w:rPr>
        <w:t xml:space="preserve"> régiona</w:t>
      </w:r>
      <w:r w:rsidR="00C50310">
        <w:rPr>
          <w:i/>
        </w:rPr>
        <w:t>ux/</w:t>
      </w:r>
      <w:r w:rsidR="00C50310" w:rsidRPr="00C50310">
        <w:rPr>
          <w:i/>
        </w:rPr>
        <w:t>bu</w:t>
      </w:r>
      <w:r w:rsidR="00C50310">
        <w:rPr>
          <w:i/>
        </w:rPr>
        <w:t>reaux de zone</w:t>
      </w:r>
      <w:r w:rsidR="00F46179" w:rsidRPr="00C50310">
        <w:rPr>
          <w:i/>
        </w:rPr>
        <w:t xml:space="preserve"> – </w:t>
      </w:r>
      <w:r w:rsidR="00C50310">
        <w:rPr>
          <w:i/>
        </w:rPr>
        <w:t xml:space="preserve">projets, initiatives régionales et </w:t>
      </w:r>
      <w:r w:rsidR="00EB2A9F">
        <w:rPr>
          <w:i/>
        </w:rPr>
        <w:t>actions</w:t>
      </w:r>
    </w:p>
    <w:p w14:paraId="01F84027" w14:textId="656C5BBD" w:rsidR="00342696" w:rsidRPr="00342696" w:rsidRDefault="00665293" w:rsidP="00BA69CF">
      <w:r>
        <w:rPr>
          <w:lang w:val="fr-CH"/>
        </w:rPr>
        <w:t>8</w:t>
      </w:r>
      <w:r>
        <w:rPr>
          <w:lang w:val="fr-CH"/>
        </w:rPr>
        <w:tab/>
      </w:r>
      <w:r w:rsidR="00342696" w:rsidRPr="00342696">
        <w:t>L</w:t>
      </w:r>
      <w:r w:rsidR="005138AD">
        <w:t>'</w:t>
      </w:r>
      <w:r w:rsidR="00342696" w:rsidRPr="00342696">
        <w:t>Unité de l</w:t>
      </w:r>
      <w:r w:rsidR="005138AD">
        <w:t>'</w:t>
      </w:r>
      <w:r w:rsidR="00342696" w:rsidRPr="00342696">
        <w:t>audit interne a procédé à une inspection des activités des bureaux régionaux/bureaux de zone pendant la période allant de janvier 2008 à mars 2019. Dans le cadre de cette inspection, un échantillon de projets, d</w:t>
      </w:r>
      <w:r w:rsidR="005138AD">
        <w:t>'</w:t>
      </w:r>
      <w:r w:rsidR="00342696" w:rsidRPr="00342696">
        <w:t>initiatives et d</w:t>
      </w:r>
      <w:r w:rsidR="005138AD">
        <w:t>'</w:t>
      </w:r>
      <w:r w:rsidR="00342696" w:rsidRPr="00342696">
        <w:t xml:space="preserve">actions menés par les bureaux régionaux/bureaux de zone du BDT </w:t>
      </w:r>
      <w:r w:rsidR="002E4904">
        <w:t>a</w:t>
      </w:r>
      <w:r w:rsidR="002E4904" w:rsidRPr="00342696">
        <w:t xml:space="preserve"> </w:t>
      </w:r>
      <w:r w:rsidR="00342696" w:rsidRPr="00342696">
        <w:t>été passé en revue, de même que certains projets d</w:t>
      </w:r>
      <w:r w:rsidR="005138AD">
        <w:t>'</w:t>
      </w:r>
      <w:r w:rsidR="00342696" w:rsidRPr="00342696">
        <w:t>envergure mondiale ayant des incidences dans les régions.</w:t>
      </w:r>
    </w:p>
    <w:p w14:paraId="2BC1BBD6" w14:textId="3A76F65E" w:rsidR="00342696" w:rsidRPr="00342696" w:rsidRDefault="005138AD" w:rsidP="00BA69CF">
      <w:r>
        <w:t>9</w:t>
      </w:r>
      <w:r w:rsidR="00342696" w:rsidRPr="00342696">
        <w:tab/>
        <w:t>L</w:t>
      </w:r>
      <w:r>
        <w:t>'</w:t>
      </w:r>
      <w:r w:rsidR="002E4904">
        <w:t>U</w:t>
      </w:r>
      <w:r w:rsidR="00342696" w:rsidRPr="00342696">
        <w:t>nité de l</w:t>
      </w:r>
      <w:r>
        <w:t>'</w:t>
      </w:r>
      <w:r w:rsidR="00342696" w:rsidRPr="00342696">
        <w:t>audit interne a conclu que les questions ci-après devaient faire l</w:t>
      </w:r>
      <w:r>
        <w:t>'</w:t>
      </w:r>
      <w:r w:rsidR="00342696" w:rsidRPr="00342696">
        <w:t>objet d</w:t>
      </w:r>
      <w:r>
        <w:t>'</w:t>
      </w:r>
      <w:r w:rsidR="00342696" w:rsidRPr="00342696">
        <w:t>une attention hautement prioritaire (point a</w:t>
      </w:r>
      <w:r w:rsidR="000A13F5">
        <w:t>)</w:t>
      </w:r>
      <w:r w:rsidR="00342696" w:rsidRPr="00342696">
        <w:t xml:space="preserve"> ci-dessous) </w:t>
      </w:r>
      <w:r w:rsidR="000A13F5">
        <w:t>ou</w:t>
      </w:r>
      <w:r w:rsidR="00342696" w:rsidRPr="00342696">
        <w:t xml:space="preserve"> prioritaire (point b</w:t>
      </w:r>
      <w:r w:rsidR="000A13F5">
        <w:t>)</w:t>
      </w:r>
      <w:r>
        <w:t xml:space="preserve"> ci-dessous</w:t>
      </w:r>
      <w:proofErr w:type="gramStart"/>
      <w:r>
        <w:t>):</w:t>
      </w:r>
      <w:proofErr w:type="gramEnd"/>
    </w:p>
    <w:p w14:paraId="6BD8BAFA" w14:textId="4AC4E866" w:rsidR="00F46179" w:rsidRPr="00342696" w:rsidRDefault="00F46179" w:rsidP="00BA69CF">
      <w:pPr>
        <w:pStyle w:val="enumlev1"/>
        <w:rPr>
          <w:rFonts w:asciiTheme="minorHAnsi" w:hAnsiTheme="minorHAnsi" w:cstheme="minorHAnsi"/>
        </w:rPr>
      </w:pPr>
      <w:r w:rsidRPr="00342696">
        <w:t>a)</w:t>
      </w:r>
      <w:r w:rsidRPr="00342696">
        <w:tab/>
      </w:r>
      <w:r w:rsidR="00342696" w:rsidRPr="00342696">
        <w:t xml:space="preserve">Il a été constaté que les lignes directrices relatives à la gestion de projet étaient dépassées et présentaient des lacunes majeures </w:t>
      </w:r>
      <w:r w:rsidR="009063BF">
        <w:t>en ce qui concerne</w:t>
      </w:r>
      <w:r w:rsidR="00342696" w:rsidRPr="00342696">
        <w:t xml:space="preserve"> la phase</w:t>
      </w:r>
      <w:r w:rsidR="005138AD">
        <w:t xml:space="preserve"> de planification des projets. </w:t>
      </w:r>
      <w:r w:rsidR="00342696" w:rsidRPr="00342696">
        <w:t>Au</w:t>
      </w:r>
      <w:r w:rsidR="002E4904">
        <w:t>x</w:t>
      </w:r>
      <w:r w:rsidR="00342696" w:rsidRPr="00342696">
        <w:t xml:space="preserve"> niveau</w:t>
      </w:r>
      <w:r w:rsidR="002E4904">
        <w:t>x</w:t>
      </w:r>
      <w:r w:rsidR="00342696" w:rsidRPr="00342696">
        <w:t xml:space="preserve"> d</w:t>
      </w:r>
      <w:r w:rsidR="002E4904">
        <w:t>u</w:t>
      </w:r>
      <w:r w:rsidR="00342696" w:rsidRPr="00342696">
        <w:t xml:space="preserve"> responsable de projet, </w:t>
      </w:r>
      <w:r w:rsidR="002E4904">
        <w:t>du</w:t>
      </w:r>
      <w:r w:rsidR="002E4904" w:rsidRPr="00342696">
        <w:t xml:space="preserve"> coord</w:t>
      </w:r>
      <w:r w:rsidR="002E4904">
        <w:t>on</w:t>
      </w:r>
      <w:r w:rsidR="002E4904" w:rsidRPr="00342696">
        <w:t xml:space="preserve">nateur de projet et </w:t>
      </w:r>
      <w:r w:rsidR="002E4904">
        <w:t>du</w:t>
      </w:r>
      <w:r w:rsidR="002E4904" w:rsidRPr="00342696">
        <w:t xml:space="preserve"> directeur régiona</w:t>
      </w:r>
      <w:r w:rsidR="002E4904">
        <w:t>l,</w:t>
      </w:r>
      <w:r w:rsidR="002E4904" w:rsidRPr="00342696">
        <w:t xml:space="preserve"> </w:t>
      </w:r>
      <w:r w:rsidR="002E4904">
        <w:t>l</w:t>
      </w:r>
      <w:r w:rsidR="005138AD">
        <w:t>'</w:t>
      </w:r>
      <w:r w:rsidR="002E4904">
        <w:t>organisation générale des responsabilités</w:t>
      </w:r>
      <w:r w:rsidR="00342696" w:rsidRPr="00342696">
        <w:t xml:space="preserve">, les rôles et les responsabilités ne sont pas clairement définis. Il </w:t>
      </w:r>
      <w:r w:rsidR="002E4904">
        <w:t>a été</w:t>
      </w:r>
      <w:r w:rsidR="002E4904" w:rsidRPr="00342696">
        <w:t xml:space="preserve"> </w:t>
      </w:r>
      <w:r w:rsidR="00342696" w:rsidRPr="00342696">
        <w:t>recommandé</w:t>
      </w:r>
      <w:r w:rsidR="002E4904">
        <w:t xml:space="preserve"> que</w:t>
      </w:r>
      <w:r w:rsidR="000D7ADC">
        <w:t>,</w:t>
      </w:r>
      <w:r w:rsidR="00342696" w:rsidRPr="00342696">
        <w:t xml:space="preserve"> lorsque la version définitive des nouvelles lignes directrices relatives à la gestion de projet aura été établie, </w:t>
      </w:r>
      <w:r w:rsidR="002E4904">
        <w:t>l</w:t>
      </w:r>
      <w:r w:rsidR="005138AD">
        <w:t>'</w:t>
      </w:r>
      <w:r w:rsidR="002E4904">
        <w:t>organisation générale des responsabilités</w:t>
      </w:r>
      <w:r w:rsidR="00342696" w:rsidRPr="00342696">
        <w:t>, les rôles et les responsabilités pour les fonctions susmentionné</w:t>
      </w:r>
      <w:r w:rsidR="002E4904">
        <w:t>e</w:t>
      </w:r>
      <w:r w:rsidR="00342696" w:rsidRPr="00342696">
        <w:t>s</w:t>
      </w:r>
      <w:r w:rsidR="002E4904">
        <w:t xml:space="preserve"> soient examinés et précisés</w:t>
      </w:r>
      <w:r w:rsidR="00342696" w:rsidRPr="00342696">
        <w:t>. Cet examen prévoir</w:t>
      </w:r>
      <w:r w:rsidR="002E4904">
        <w:t>ait</w:t>
      </w:r>
      <w:r w:rsidR="00342696" w:rsidRPr="00342696">
        <w:t xml:space="preserve"> une structure pour la gouvernance des projets établissant des liens clairs avec la gestion axée sur les résultats et le cadre de responsabilisation de l</w:t>
      </w:r>
      <w:r w:rsidR="005138AD">
        <w:t>'</w:t>
      </w:r>
      <w:r w:rsidR="00342696" w:rsidRPr="00342696">
        <w:t>UIT. Par ailleurs, en ce qui concerne le recrutement et le recours à des experts (contrats SSA), la gestion des risques n</w:t>
      </w:r>
      <w:r w:rsidR="005138AD">
        <w:t>'</w:t>
      </w:r>
      <w:r w:rsidR="00342696" w:rsidRPr="00342696">
        <w:t xml:space="preserve">est pas adaptée et les contrôles sont inefficaces. Il </w:t>
      </w:r>
      <w:r w:rsidR="002E4904">
        <w:t>a été</w:t>
      </w:r>
      <w:r w:rsidR="002E4904" w:rsidRPr="00342696">
        <w:t xml:space="preserve"> </w:t>
      </w:r>
      <w:r w:rsidR="00342696" w:rsidRPr="00342696">
        <w:t>recommandé d</w:t>
      </w:r>
      <w:r w:rsidR="005138AD">
        <w:t>'</w:t>
      </w:r>
      <w:r w:rsidR="00342696" w:rsidRPr="00342696">
        <w:t xml:space="preserve">envisager de toute urgence la mise en place de procédures et pratiques appropriées </w:t>
      </w:r>
      <w:r w:rsidR="000A13F5">
        <w:t>au sein de</w:t>
      </w:r>
      <w:r w:rsidR="00342696" w:rsidRPr="00342696">
        <w:t xml:space="preserve"> l</w:t>
      </w:r>
      <w:r w:rsidR="005138AD">
        <w:t>'</w:t>
      </w:r>
      <w:r w:rsidR="00342696" w:rsidRPr="00342696">
        <w:t xml:space="preserve">Union, afin de </w:t>
      </w:r>
      <w:r w:rsidR="009063BF">
        <w:t>traiter</w:t>
      </w:r>
      <w:r w:rsidR="00342696" w:rsidRPr="00342696">
        <w:t xml:space="preserve"> </w:t>
      </w:r>
      <w:r w:rsidR="002E4904">
        <w:t>de manière adéquate</w:t>
      </w:r>
      <w:r w:rsidR="002E4904" w:rsidRPr="00342696">
        <w:t xml:space="preserve"> </w:t>
      </w:r>
      <w:r w:rsidR="00342696" w:rsidRPr="00342696">
        <w:t>le recrutement et la gestion des contrats SSA</w:t>
      </w:r>
      <w:r w:rsidRPr="00342696">
        <w:t>.</w:t>
      </w:r>
      <w:r w:rsidRPr="00342696">
        <w:rPr>
          <w:rFonts w:asciiTheme="minorHAnsi" w:hAnsiTheme="minorHAnsi" w:cstheme="minorHAnsi"/>
        </w:rPr>
        <w:t xml:space="preserve"> </w:t>
      </w:r>
    </w:p>
    <w:p w14:paraId="7489E6C7" w14:textId="2D9C3B56" w:rsidR="00F46179" w:rsidRPr="00342696" w:rsidRDefault="00F46179" w:rsidP="00BA69CF">
      <w:pPr>
        <w:pStyle w:val="enumlev1"/>
        <w:rPr>
          <w:rFonts w:asciiTheme="minorHAnsi" w:hAnsiTheme="minorHAnsi" w:cstheme="minorHAnsi"/>
        </w:rPr>
      </w:pPr>
      <w:r w:rsidRPr="00342696">
        <w:rPr>
          <w:rFonts w:asciiTheme="minorHAnsi" w:hAnsiTheme="minorHAnsi" w:cstheme="minorHAnsi"/>
        </w:rPr>
        <w:t>b)</w:t>
      </w:r>
      <w:r w:rsidRPr="00342696">
        <w:rPr>
          <w:rFonts w:asciiTheme="minorHAnsi" w:hAnsiTheme="minorHAnsi" w:cstheme="minorHAnsi"/>
        </w:rPr>
        <w:tab/>
      </w:r>
      <w:r w:rsidR="00342696" w:rsidRPr="00342696">
        <w:rPr>
          <w:rFonts w:asciiTheme="minorHAnsi" w:hAnsiTheme="minorHAnsi" w:cstheme="minorHAnsi"/>
        </w:rPr>
        <w:t xml:space="preserve">Pour deux projets </w:t>
      </w:r>
      <w:r w:rsidR="000A13F5">
        <w:rPr>
          <w:rFonts w:asciiTheme="minorHAnsi" w:hAnsiTheme="minorHAnsi" w:cstheme="minorHAnsi"/>
        </w:rPr>
        <w:t xml:space="preserve">majeurs </w:t>
      </w:r>
      <w:r w:rsidR="002E4904">
        <w:rPr>
          <w:rFonts w:asciiTheme="minorHAnsi" w:hAnsiTheme="minorHAnsi" w:cstheme="minorHAnsi"/>
        </w:rPr>
        <w:t>faisant partie</w:t>
      </w:r>
      <w:r w:rsidR="00342696" w:rsidRPr="00342696">
        <w:rPr>
          <w:rFonts w:asciiTheme="minorHAnsi" w:hAnsiTheme="minorHAnsi" w:cstheme="minorHAnsi"/>
        </w:rPr>
        <w:t xml:space="preserve"> de l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 xml:space="preserve">échantillon, des défaillances particulièrement importantes ont été constatées au niveau de la planification, de la mise en place, de la mise en </w:t>
      </w:r>
      <w:r w:rsidR="000A13F5" w:rsidRPr="00342696">
        <w:rPr>
          <w:rFonts w:asciiTheme="minorHAnsi" w:hAnsiTheme="minorHAnsi" w:cstheme="minorHAnsi"/>
        </w:rPr>
        <w:t>œuvre</w:t>
      </w:r>
      <w:r w:rsidR="00342696" w:rsidRPr="00342696">
        <w:rPr>
          <w:rFonts w:asciiTheme="minorHAnsi" w:hAnsiTheme="minorHAnsi" w:cstheme="minorHAnsi"/>
        </w:rPr>
        <w:t xml:space="preserve">, du suivi, du recours aux </w:t>
      </w:r>
      <w:r w:rsidR="002E4904">
        <w:rPr>
          <w:rFonts w:asciiTheme="minorHAnsi" w:hAnsiTheme="minorHAnsi" w:cstheme="minorHAnsi"/>
        </w:rPr>
        <w:t>experts</w:t>
      </w:r>
      <w:r w:rsidR="002E4904" w:rsidRPr="00342696">
        <w:rPr>
          <w:rFonts w:asciiTheme="minorHAnsi" w:hAnsiTheme="minorHAnsi" w:cstheme="minorHAnsi"/>
        </w:rPr>
        <w:t xml:space="preserve"> </w:t>
      </w:r>
      <w:r w:rsidR="00342696" w:rsidRPr="00342696">
        <w:rPr>
          <w:rFonts w:asciiTheme="minorHAnsi" w:hAnsiTheme="minorHAnsi" w:cstheme="minorHAnsi"/>
        </w:rPr>
        <w:t xml:space="preserve">et de la passation de marchés. Il </w:t>
      </w:r>
      <w:r w:rsidR="002E4904">
        <w:rPr>
          <w:rFonts w:asciiTheme="minorHAnsi" w:hAnsiTheme="minorHAnsi" w:cstheme="minorHAnsi"/>
        </w:rPr>
        <w:t>a été</w:t>
      </w:r>
      <w:r w:rsidR="002E4904" w:rsidRPr="00342696">
        <w:rPr>
          <w:rFonts w:asciiTheme="minorHAnsi" w:hAnsiTheme="minorHAnsi" w:cstheme="minorHAnsi"/>
        </w:rPr>
        <w:t xml:space="preserve"> </w:t>
      </w:r>
      <w:r w:rsidR="00342696" w:rsidRPr="00342696">
        <w:rPr>
          <w:rFonts w:asciiTheme="minorHAnsi" w:hAnsiTheme="minorHAnsi" w:cstheme="minorHAnsi"/>
        </w:rPr>
        <w:t>recommandé d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 xml:space="preserve">adopter des plans concrets </w:t>
      </w:r>
      <w:r w:rsidR="002E4904">
        <w:rPr>
          <w:rFonts w:asciiTheme="minorHAnsi" w:hAnsiTheme="minorHAnsi" w:cstheme="minorHAnsi"/>
        </w:rPr>
        <w:t xml:space="preserve">et </w:t>
      </w:r>
      <w:r w:rsidR="00342696" w:rsidRPr="00342696">
        <w:rPr>
          <w:rFonts w:asciiTheme="minorHAnsi" w:hAnsiTheme="minorHAnsi" w:cstheme="minorHAnsi"/>
        </w:rPr>
        <w:t xml:space="preserve">une feuille de route concernant la façon de </w:t>
      </w:r>
      <w:r w:rsidR="00342696" w:rsidRPr="00342696">
        <w:rPr>
          <w:rFonts w:asciiTheme="minorHAnsi" w:hAnsiTheme="minorHAnsi" w:cstheme="minorHAnsi"/>
        </w:rPr>
        <w:lastRenderedPageBreak/>
        <w:t>poursuivre/</w:t>
      </w:r>
      <w:r w:rsidR="002E4904">
        <w:rPr>
          <w:rFonts w:asciiTheme="minorHAnsi" w:hAnsiTheme="minorHAnsi" w:cstheme="minorHAnsi"/>
        </w:rPr>
        <w:t>mener à bien</w:t>
      </w:r>
      <w:r w:rsidR="002E4904" w:rsidRPr="00342696">
        <w:rPr>
          <w:rFonts w:asciiTheme="minorHAnsi" w:hAnsiTheme="minorHAnsi" w:cstheme="minorHAnsi"/>
        </w:rPr>
        <w:t xml:space="preserve"> </w:t>
      </w:r>
      <w:r w:rsidR="00342696" w:rsidRPr="00342696">
        <w:rPr>
          <w:rFonts w:asciiTheme="minorHAnsi" w:hAnsiTheme="minorHAnsi" w:cstheme="minorHAnsi"/>
        </w:rPr>
        <w:t xml:space="preserve">la mise en </w:t>
      </w:r>
      <w:r w:rsidR="000A13F5" w:rsidRPr="00342696">
        <w:rPr>
          <w:rFonts w:asciiTheme="minorHAnsi" w:hAnsiTheme="minorHAnsi" w:cstheme="minorHAnsi"/>
        </w:rPr>
        <w:t>œuvre</w:t>
      </w:r>
      <w:r w:rsidR="00342696" w:rsidRPr="00342696">
        <w:rPr>
          <w:rFonts w:asciiTheme="minorHAnsi" w:hAnsiTheme="minorHAnsi" w:cstheme="minorHAnsi"/>
        </w:rPr>
        <w:t xml:space="preserve"> de ces deux projets. Il a été estimé que la gestion des risques pour tous les projets </w:t>
      </w:r>
      <w:r w:rsidR="000A13F5">
        <w:rPr>
          <w:rFonts w:asciiTheme="minorHAnsi" w:hAnsiTheme="minorHAnsi" w:cstheme="minorHAnsi"/>
        </w:rPr>
        <w:t>et</w:t>
      </w:r>
      <w:r w:rsidR="00342696" w:rsidRPr="00342696">
        <w:rPr>
          <w:rFonts w:asciiTheme="minorHAnsi" w:hAnsiTheme="minorHAnsi" w:cstheme="minorHAnsi"/>
        </w:rPr>
        <w:t xml:space="preserve"> </w:t>
      </w:r>
      <w:r w:rsidR="002E4904">
        <w:rPr>
          <w:rFonts w:asciiTheme="minorHAnsi" w:hAnsiTheme="minorHAnsi" w:cstheme="minorHAnsi"/>
        </w:rPr>
        <w:t xml:space="preserve">toutes </w:t>
      </w:r>
      <w:r w:rsidR="00342696" w:rsidRPr="00342696">
        <w:rPr>
          <w:rFonts w:asciiTheme="minorHAnsi" w:hAnsiTheme="minorHAnsi" w:cstheme="minorHAnsi"/>
        </w:rPr>
        <w:t xml:space="preserve">les </w:t>
      </w:r>
      <w:r w:rsidR="002E4904">
        <w:rPr>
          <w:rFonts w:asciiTheme="minorHAnsi" w:hAnsiTheme="minorHAnsi" w:cstheme="minorHAnsi"/>
        </w:rPr>
        <w:t>activités menées</w:t>
      </w:r>
      <w:r w:rsidR="00342696" w:rsidRPr="00342696">
        <w:rPr>
          <w:rFonts w:asciiTheme="minorHAnsi" w:hAnsiTheme="minorHAnsi" w:cstheme="minorHAnsi"/>
        </w:rPr>
        <w:t xml:space="preserve"> au titre du Plan opérationnel étai</w:t>
      </w:r>
      <w:r w:rsidR="000A13F5">
        <w:rPr>
          <w:rFonts w:asciiTheme="minorHAnsi" w:hAnsiTheme="minorHAnsi" w:cstheme="minorHAnsi"/>
        </w:rPr>
        <w:t>t</w:t>
      </w:r>
      <w:r w:rsidR="00342696" w:rsidRPr="00342696">
        <w:rPr>
          <w:rFonts w:asciiTheme="minorHAnsi" w:hAnsiTheme="minorHAnsi" w:cstheme="minorHAnsi"/>
        </w:rPr>
        <w:t xml:space="preserve"> inadaptée. Il </w:t>
      </w:r>
      <w:r w:rsidR="002E4904">
        <w:rPr>
          <w:rFonts w:asciiTheme="minorHAnsi" w:hAnsiTheme="minorHAnsi" w:cstheme="minorHAnsi"/>
        </w:rPr>
        <w:t>a été</w:t>
      </w:r>
      <w:r w:rsidR="002E4904" w:rsidRPr="00342696">
        <w:rPr>
          <w:rFonts w:asciiTheme="minorHAnsi" w:hAnsiTheme="minorHAnsi" w:cstheme="minorHAnsi"/>
        </w:rPr>
        <w:t xml:space="preserve"> </w:t>
      </w:r>
      <w:r w:rsidR="00342696" w:rsidRPr="00342696">
        <w:rPr>
          <w:rFonts w:asciiTheme="minorHAnsi" w:hAnsiTheme="minorHAnsi" w:cstheme="minorHAnsi"/>
        </w:rPr>
        <w:t>recommandé d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>élaborer des procédures, des outils et des normes</w:t>
      </w:r>
      <w:r w:rsidR="002E4904">
        <w:rPr>
          <w:rFonts w:asciiTheme="minorHAnsi" w:hAnsiTheme="minorHAnsi" w:cstheme="minorHAnsi"/>
        </w:rPr>
        <w:t xml:space="preserve"> à utiliser</w:t>
      </w:r>
      <w:r w:rsidR="00342696" w:rsidRPr="00342696">
        <w:rPr>
          <w:rFonts w:asciiTheme="minorHAnsi" w:hAnsiTheme="minorHAnsi" w:cstheme="minorHAnsi"/>
        </w:rPr>
        <w:t xml:space="preserve"> à l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 xml:space="preserve">échelle du BDT pour la gestion des risques au niveau des projets et pour les </w:t>
      </w:r>
      <w:r w:rsidR="002E4904">
        <w:rPr>
          <w:rFonts w:asciiTheme="minorHAnsi" w:hAnsiTheme="minorHAnsi" w:cstheme="minorHAnsi"/>
        </w:rPr>
        <w:t>activités financées sur le</w:t>
      </w:r>
      <w:r w:rsidR="00342696" w:rsidRPr="00342696">
        <w:rPr>
          <w:rFonts w:asciiTheme="minorHAnsi" w:hAnsiTheme="minorHAnsi" w:cstheme="minorHAnsi"/>
        </w:rPr>
        <w:t xml:space="preserve"> budget ordinaire. Les outils d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>inf</w:t>
      </w:r>
      <w:r w:rsidR="005138AD">
        <w:rPr>
          <w:rFonts w:asciiTheme="minorHAnsi" w:hAnsiTheme="minorHAnsi" w:cstheme="minorHAnsi"/>
        </w:rPr>
        <w:t>ormation et de communication du </w:t>
      </w:r>
      <w:r w:rsidR="00342696" w:rsidRPr="00342696">
        <w:rPr>
          <w:rFonts w:asciiTheme="minorHAnsi" w:hAnsiTheme="minorHAnsi" w:cstheme="minorHAnsi"/>
        </w:rPr>
        <w:t xml:space="preserve">BDT sont inefficaces et il </w:t>
      </w:r>
      <w:r w:rsidR="002E4904">
        <w:rPr>
          <w:rFonts w:asciiTheme="minorHAnsi" w:hAnsiTheme="minorHAnsi" w:cstheme="minorHAnsi"/>
        </w:rPr>
        <w:t>a été</w:t>
      </w:r>
      <w:r w:rsidR="002E4904" w:rsidRPr="00342696">
        <w:rPr>
          <w:rFonts w:asciiTheme="minorHAnsi" w:hAnsiTheme="minorHAnsi" w:cstheme="minorHAnsi"/>
        </w:rPr>
        <w:t xml:space="preserve"> </w:t>
      </w:r>
      <w:r w:rsidR="00342696" w:rsidRPr="00342696">
        <w:rPr>
          <w:rFonts w:asciiTheme="minorHAnsi" w:hAnsiTheme="minorHAnsi" w:cstheme="minorHAnsi"/>
        </w:rPr>
        <w:t>recommandé d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 xml:space="preserve">identifier </w:t>
      </w:r>
      <w:r w:rsidR="002E4904">
        <w:rPr>
          <w:rFonts w:asciiTheme="minorHAnsi" w:hAnsiTheme="minorHAnsi" w:cstheme="minorHAnsi"/>
        </w:rPr>
        <w:t>c</w:t>
      </w:r>
      <w:r w:rsidR="002E4904" w:rsidRPr="00342696">
        <w:rPr>
          <w:rFonts w:asciiTheme="minorHAnsi" w:hAnsiTheme="minorHAnsi" w:cstheme="minorHAnsi"/>
        </w:rPr>
        <w:t xml:space="preserve">es </w:t>
      </w:r>
      <w:r w:rsidR="00342696" w:rsidRPr="00342696">
        <w:rPr>
          <w:rFonts w:asciiTheme="minorHAnsi" w:hAnsiTheme="minorHAnsi" w:cstheme="minorHAnsi"/>
        </w:rPr>
        <w:t>outils</w:t>
      </w:r>
      <w:r w:rsidR="002E4904">
        <w:rPr>
          <w:rFonts w:asciiTheme="minorHAnsi" w:hAnsiTheme="minorHAnsi" w:cstheme="minorHAnsi"/>
        </w:rPr>
        <w:t>,</w:t>
      </w:r>
      <w:r w:rsidR="00342696" w:rsidRPr="00342696">
        <w:rPr>
          <w:rFonts w:asciiTheme="minorHAnsi" w:hAnsiTheme="minorHAnsi" w:cstheme="minorHAnsi"/>
        </w:rPr>
        <w:t xml:space="preserve"> </w:t>
      </w:r>
      <w:r w:rsidR="002E4904">
        <w:rPr>
          <w:rFonts w:asciiTheme="minorHAnsi" w:hAnsiTheme="minorHAnsi" w:cstheme="minorHAnsi"/>
        </w:rPr>
        <w:t>l</w:t>
      </w:r>
      <w:r w:rsidR="005138AD">
        <w:rPr>
          <w:rFonts w:asciiTheme="minorHAnsi" w:hAnsiTheme="minorHAnsi" w:cstheme="minorHAnsi"/>
        </w:rPr>
        <w:t>'</w:t>
      </w:r>
      <w:r w:rsidR="002E4904">
        <w:rPr>
          <w:rFonts w:asciiTheme="minorHAnsi" w:hAnsiTheme="minorHAnsi" w:cstheme="minorHAnsi"/>
        </w:rPr>
        <w:t>objectif étant de</w:t>
      </w:r>
      <w:r w:rsidR="00342696" w:rsidRPr="00342696">
        <w:rPr>
          <w:rFonts w:asciiTheme="minorHAnsi" w:hAnsiTheme="minorHAnsi" w:cstheme="minorHAnsi"/>
        </w:rPr>
        <w:t xml:space="preserve"> mieux appuyer les travaux du BDT, en particulier d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 xml:space="preserve">améliorer la définition et le suivi des projets, </w:t>
      </w:r>
      <w:r w:rsidR="002E4904">
        <w:rPr>
          <w:rFonts w:asciiTheme="minorHAnsi" w:hAnsiTheme="minorHAnsi" w:cstheme="minorHAnsi"/>
        </w:rPr>
        <w:t xml:space="preserve">des </w:t>
      </w:r>
      <w:r w:rsidR="00342696" w:rsidRPr="00342696">
        <w:rPr>
          <w:rFonts w:asciiTheme="minorHAnsi" w:hAnsiTheme="minorHAnsi" w:cstheme="minorHAnsi"/>
        </w:rPr>
        <w:t xml:space="preserve">initiatives et </w:t>
      </w:r>
      <w:r w:rsidR="002E4904">
        <w:rPr>
          <w:rFonts w:asciiTheme="minorHAnsi" w:hAnsiTheme="minorHAnsi" w:cstheme="minorHAnsi"/>
        </w:rPr>
        <w:t>activités financées sur le</w:t>
      </w:r>
      <w:r w:rsidR="00342696" w:rsidRPr="00342696">
        <w:rPr>
          <w:rFonts w:asciiTheme="minorHAnsi" w:hAnsiTheme="minorHAnsi" w:cstheme="minorHAnsi"/>
        </w:rPr>
        <w:t xml:space="preserve"> budget ordinaire, ainsi que l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>établissement de</w:t>
      </w:r>
      <w:r w:rsidR="002E4904">
        <w:rPr>
          <w:rFonts w:asciiTheme="minorHAnsi" w:hAnsiTheme="minorHAnsi" w:cstheme="minorHAnsi"/>
        </w:rPr>
        <w:t>s</w:t>
      </w:r>
      <w:r w:rsidR="00342696" w:rsidRPr="00342696">
        <w:rPr>
          <w:rFonts w:asciiTheme="minorHAnsi" w:hAnsiTheme="minorHAnsi" w:cstheme="minorHAnsi"/>
        </w:rPr>
        <w:t xml:space="preserve"> rapports </w:t>
      </w:r>
      <w:r w:rsidR="002E4904">
        <w:rPr>
          <w:rFonts w:asciiTheme="minorHAnsi" w:hAnsiTheme="minorHAnsi" w:cstheme="minorHAnsi"/>
        </w:rPr>
        <w:t>correspondants</w:t>
      </w:r>
      <w:r w:rsidR="00342696" w:rsidRPr="00342696">
        <w:rPr>
          <w:rFonts w:asciiTheme="minorHAnsi" w:hAnsiTheme="minorHAnsi" w:cstheme="minorHAnsi"/>
        </w:rPr>
        <w:t>. S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>agissant des manifestations organisées par le BDT dans les régions, il a été constaté que le suivi était inadapté et qu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 xml:space="preserve">il existe un risque élevé que les ressources ne soient pas utilisées de façon efficace et efficiente. Il </w:t>
      </w:r>
      <w:r w:rsidR="002E4904">
        <w:rPr>
          <w:rFonts w:asciiTheme="minorHAnsi" w:hAnsiTheme="minorHAnsi" w:cstheme="minorHAnsi"/>
        </w:rPr>
        <w:t>a été</w:t>
      </w:r>
      <w:r w:rsidR="002E4904" w:rsidRPr="00342696">
        <w:rPr>
          <w:rFonts w:asciiTheme="minorHAnsi" w:hAnsiTheme="minorHAnsi" w:cstheme="minorHAnsi"/>
        </w:rPr>
        <w:t xml:space="preserve"> </w:t>
      </w:r>
      <w:r w:rsidR="00342696" w:rsidRPr="00342696">
        <w:rPr>
          <w:rFonts w:asciiTheme="minorHAnsi" w:hAnsiTheme="minorHAnsi" w:cstheme="minorHAnsi"/>
        </w:rPr>
        <w:t>recommandé que des contrôle</w:t>
      </w:r>
      <w:r w:rsidR="00F23514">
        <w:rPr>
          <w:rFonts w:asciiTheme="minorHAnsi" w:hAnsiTheme="minorHAnsi" w:cstheme="minorHAnsi"/>
        </w:rPr>
        <w:t>s spéciaux</w:t>
      </w:r>
      <w:r w:rsidR="00342696" w:rsidRPr="00342696">
        <w:rPr>
          <w:rFonts w:asciiTheme="minorHAnsi" w:hAnsiTheme="minorHAnsi" w:cstheme="minorHAnsi"/>
        </w:rPr>
        <w:t xml:space="preserve"> a priori et a posteriori </w:t>
      </w:r>
      <w:r w:rsidR="002E4904">
        <w:rPr>
          <w:rFonts w:asciiTheme="minorHAnsi" w:hAnsiTheme="minorHAnsi" w:cstheme="minorHAnsi"/>
        </w:rPr>
        <w:t>visant</w:t>
      </w:r>
      <w:r w:rsidR="002E4904" w:rsidRPr="00342696">
        <w:rPr>
          <w:rFonts w:asciiTheme="minorHAnsi" w:hAnsiTheme="minorHAnsi" w:cstheme="minorHAnsi"/>
        </w:rPr>
        <w:t xml:space="preserve"> </w:t>
      </w:r>
      <w:r w:rsidR="00342696" w:rsidRPr="00342696">
        <w:rPr>
          <w:rFonts w:asciiTheme="minorHAnsi" w:hAnsiTheme="minorHAnsi" w:cstheme="minorHAnsi"/>
        </w:rPr>
        <w:t>l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>organisation des manifestations (ateliers, séminaires, conférences)</w:t>
      </w:r>
      <w:r w:rsidR="002E4904">
        <w:rPr>
          <w:rFonts w:asciiTheme="minorHAnsi" w:hAnsiTheme="minorHAnsi" w:cstheme="minorHAnsi"/>
        </w:rPr>
        <w:t xml:space="preserve"> </w:t>
      </w:r>
      <w:r w:rsidR="002E4904" w:rsidRPr="00342696">
        <w:rPr>
          <w:rFonts w:asciiTheme="minorHAnsi" w:hAnsiTheme="minorHAnsi" w:cstheme="minorHAnsi"/>
        </w:rPr>
        <w:t>soient mis en œuvre</w:t>
      </w:r>
      <w:r w:rsidR="00342696" w:rsidRPr="00342696">
        <w:rPr>
          <w:rFonts w:asciiTheme="minorHAnsi" w:hAnsiTheme="minorHAnsi" w:cstheme="minorHAnsi"/>
        </w:rPr>
        <w:t xml:space="preserve">. Il </w:t>
      </w:r>
      <w:r w:rsidR="002E4904">
        <w:rPr>
          <w:rFonts w:asciiTheme="minorHAnsi" w:hAnsiTheme="minorHAnsi" w:cstheme="minorHAnsi"/>
        </w:rPr>
        <w:t>a</w:t>
      </w:r>
      <w:r w:rsidR="002E4904" w:rsidRPr="00342696">
        <w:rPr>
          <w:rFonts w:asciiTheme="minorHAnsi" w:hAnsiTheme="minorHAnsi" w:cstheme="minorHAnsi"/>
        </w:rPr>
        <w:t xml:space="preserve"> </w:t>
      </w:r>
      <w:r w:rsidR="00342696" w:rsidRPr="00342696">
        <w:rPr>
          <w:rFonts w:asciiTheme="minorHAnsi" w:hAnsiTheme="minorHAnsi" w:cstheme="minorHAnsi"/>
        </w:rPr>
        <w:t xml:space="preserve">également </w:t>
      </w:r>
      <w:r w:rsidR="002E4904">
        <w:rPr>
          <w:rFonts w:asciiTheme="minorHAnsi" w:hAnsiTheme="minorHAnsi" w:cstheme="minorHAnsi"/>
        </w:rPr>
        <w:t xml:space="preserve">été </w:t>
      </w:r>
      <w:r w:rsidR="008B42C6">
        <w:rPr>
          <w:rFonts w:asciiTheme="minorHAnsi" w:hAnsiTheme="minorHAnsi" w:cstheme="minorHAnsi"/>
        </w:rPr>
        <w:t>recommandé que </w:t>
      </w:r>
      <w:r w:rsidR="00342696" w:rsidRPr="00342696">
        <w:rPr>
          <w:rFonts w:asciiTheme="minorHAnsi" w:hAnsiTheme="minorHAnsi" w:cstheme="minorHAnsi"/>
        </w:rPr>
        <w:t>les systèmes et contrôles actuels liés au suivi des projets fassent l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>objet d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>une évaluation afin i) d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 xml:space="preserve">identifier les améliorations à apporter au partage des </w:t>
      </w:r>
      <w:proofErr w:type="gramStart"/>
      <w:r w:rsidR="00342696" w:rsidRPr="00342696">
        <w:rPr>
          <w:rFonts w:asciiTheme="minorHAnsi" w:hAnsiTheme="minorHAnsi" w:cstheme="minorHAnsi"/>
        </w:rPr>
        <w:t>informations</w:t>
      </w:r>
      <w:r w:rsidR="005138AD">
        <w:rPr>
          <w:rFonts w:asciiTheme="minorHAnsi" w:hAnsiTheme="minorHAnsi" w:cstheme="minorHAnsi"/>
        </w:rPr>
        <w:t>;</w:t>
      </w:r>
      <w:proofErr w:type="gramEnd"/>
      <w:r w:rsidR="00342696" w:rsidRPr="00342696">
        <w:rPr>
          <w:rFonts w:asciiTheme="minorHAnsi" w:hAnsiTheme="minorHAnsi" w:cstheme="minorHAnsi"/>
        </w:rPr>
        <w:t xml:space="preserve"> et ii) de prendre les mesures qui s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>imposent à l</w:t>
      </w:r>
      <w:r w:rsidR="005138AD">
        <w:rPr>
          <w:rFonts w:asciiTheme="minorHAnsi" w:hAnsiTheme="minorHAnsi" w:cstheme="minorHAnsi"/>
        </w:rPr>
        <w:t>'</w:t>
      </w:r>
      <w:r w:rsidR="00342696" w:rsidRPr="00342696">
        <w:rPr>
          <w:rFonts w:asciiTheme="minorHAnsi" w:hAnsiTheme="minorHAnsi" w:cstheme="minorHAnsi"/>
        </w:rPr>
        <w:t xml:space="preserve">encontre des responsables de projet qui ne rendent pas compte de manière appropriée et en temps voulu de la mise en </w:t>
      </w:r>
      <w:r w:rsidR="00F23514" w:rsidRPr="00342696">
        <w:rPr>
          <w:rFonts w:asciiTheme="minorHAnsi" w:hAnsiTheme="minorHAnsi" w:cstheme="minorHAnsi"/>
        </w:rPr>
        <w:t>œuvre</w:t>
      </w:r>
      <w:r w:rsidR="00342696" w:rsidRPr="00342696">
        <w:rPr>
          <w:rFonts w:asciiTheme="minorHAnsi" w:hAnsiTheme="minorHAnsi" w:cstheme="minorHAnsi"/>
        </w:rPr>
        <w:t xml:space="preserve"> des projets</w:t>
      </w:r>
      <w:r w:rsidRPr="00342696">
        <w:rPr>
          <w:rFonts w:asciiTheme="minorHAnsi" w:hAnsiTheme="minorHAnsi" w:cstheme="minorHAnsi"/>
        </w:rPr>
        <w:t>.</w:t>
      </w:r>
    </w:p>
    <w:p w14:paraId="6967581A" w14:textId="5A02DC85" w:rsidR="00F46179" w:rsidRPr="00342696" w:rsidRDefault="00F46179" w:rsidP="00BA69CF">
      <w:r w:rsidRPr="00342696">
        <w:rPr>
          <w:szCs w:val="24"/>
        </w:rPr>
        <w:t>10</w:t>
      </w:r>
      <w:r w:rsidRPr="00342696">
        <w:rPr>
          <w:szCs w:val="24"/>
        </w:rPr>
        <w:tab/>
      </w:r>
      <w:r w:rsidR="00342696" w:rsidRPr="00342696">
        <w:rPr>
          <w:szCs w:val="24"/>
        </w:rPr>
        <w:t xml:space="preserve">La Directrice du BDT et le </w:t>
      </w:r>
      <w:r w:rsidR="002E4904">
        <w:rPr>
          <w:szCs w:val="24"/>
        </w:rPr>
        <w:t>C</w:t>
      </w:r>
      <w:r w:rsidR="002E4904" w:rsidRPr="00342696">
        <w:rPr>
          <w:szCs w:val="24"/>
        </w:rPr>
        <w:t xml:space="preserve">hef </w:t>
      </w:r>
      <w:r w:rsidR="00342696" w:rsidRPr="00342696">
        <w:rPr>
          <w:szCs w:val="24"/>
        </w:rPr>
        <w:t>du Département HRMD ont approuvé toutes les recommandations formulées et s</w:t>
      </w:r>
      <w:r w:rsidR="005138AD">
        <w:rPr>
          <w:szCs w:val="24"/>
        </w:rPr>
        <w:t>'</w:t>
      </w:r>
      <w:r w:rsidR="00342696" w:rsidRPr="00342696">
        <w:rPr>
          <w:szCs w:val="24"/>
        </w:rPr>
        <w:t xml:space="preserve">engagent à les mettre en </w:t>
      </w:r>
      <w:r w:rsidR="00F23514" w:rsidRPr="00342696">
        <w:rPr>
          <w:szCs w:val="24"/>
        </w:rPr>
        <w:t>œuvre</w:t>
      </w:r>
      <w:r w:rsidR="00342696" w:rsidRPr="00342696">
        <w:rPr>
          <w:szCs w:val="24"/>
        </w:rPr>
        <w:t xml:space="preserve"> dans les plus brefs délais. Par ailleurs, il convient de noter qu</w:t>
      </w:r>
      <w:r w:rsidR="005138AD">
        <w:rPr>
          <w:szCs w:val="24"/>
        </w:rPr>
        <w:t>'</w:t>
      </w:r>
      <w:r w:rsidR="00342696" w:rsidRPr="00342696">
        <w:rPr>
          <w:szCs w:val="24"/>
        </w:rPr>
        <w:t xml:space="preserve">une évaluation </w:t>
      </w:r>
      <w:r w:rsidR="006949E6">
        <w:rPr>
          <w:szCs w:val="24"/>
        </w:rPr>
        <w:t>des outils</w:t>
      </w:r>
      <w:r w:rsidR="00342696" w:rsidRPr="00342696">
        <w:rPr>
          <w:szCs w:val="24"/>
        </w:rPr>
        <w:t xml:space="preserve"> informatique</w:t>
      </w:r>
      <w:r w:rsidR="006949E6">
        <w:rPr>
          <w:szCs w:val="24"/>
        </w:rPr>
        <w:t>s</w:t>
      </w:r>
      <w:r w:rsidR="00342696" w:rsidRPr="00342696">
        <w:rPr>
          <w:szCs w:val="24"/>
        </w:rPr>
        <w:t xml:space="preserve"> </w:t>
      </w:r>
      <w:r w:rsidR="006949E6" w:rsidRPr="00342696">
        <w:rPr>
          <w:szCs w:val="24"/>
        </w:rPr>
        <w:t xml:space="preserve">est en cours </w:t>
      </w:r>
      <w:r w:rsidR="00342696" w:rsidRPr="00342696">
        <w:rPr>
          <w:szCs w:val="24"/>
        </w:rPr>
        <w:t>et qu</w:t>
      </w:r>
      <w:r w:rsidR="005138AD">
        <w:rPr>
          <w:szCs w:val="24"/>
        </w:rPr>
        <w:t>'</w:t>
      </w:r>
      <w:r w:rsidR="00342696" w:rsidRPr="00342696">
        <w:rPr>
          <w:szCs w:val="24"/>
        </w:rPr>
        <w:t xml:space="preserve">il est prévu, dans ce contexte, de remanier entièrement les outils du BDT, notamment </w:t>
      </w:r>
      <w:r w:rsidR="006949E6">
        <w:rPr>
          <w:szCs w:val="24"/>
        </w:rPr>
        <w:t>d</w:t>
      </w:r>
      <w:r w:rsidR="005138AD">
        <w:rPr>
          <w:szCs w:val="24"/>
        </w:rPr>
        <w:t>'</w:t>
      </w:r>
      <w:r w:rsidR="006949E6" w:rsidRPr="00342696">
        <w:rPr>
          <w:szCs w:val="24"/>
        </w:rPr>
        <w:t>élabor</w:t>
      </w:r>
      <w:r w:rsidR="006949E6">
        <w:rPr>
          <w:szCs w:val="24"/>
        </w:rPr>
        <w:t>er</w:t>
      </w:r>
      <w:r w:rsidR="006949E6" w:rsidRPr="00342696">
        <w:rPr>
          <w:szCs w:val="24"/>
        </w:rPr>
        <w:t xml:space="preserve"> </w:t>
      </w:r>
      <w:r w:rsidR="00342696" w:rsidRPr="00342696">
        <w:rPr>
          <w:szCs w:val="24"/>
        </w:rPr>
        <w:t xml:space="preserve">des tableaux de bord en temps réel. Certaines mesures sont déjà mises en </w:t>
      </w:r>
      <w:r w:rsidR="00F23514" w:rsidRPr="00342696">
        <w:rPr>
          <w:szCs w:val="24"/>
        </w:rPr>
        <w:t>œuvre</w:t>
      </w:r>
      <w:r w:rsidR="00342696" w:rsidRPr="00342696">
        <w:rPr>
          <w:szCs w:val="24"/>
        </w:rPr>
        <w:t xml:space="preserve"> ou ont été prises afin d</w:t>
      </w:r>
      <w:r w:rsidR="005138AD">
        <w:rPr>
          <w:szCs w:val="24"/>
        </w:rPr>
        <w:t>'</w:t>
      </w:r>
      <w:r w:rsidR="00342696" w:rsidRPr="00342696">
        <w:rPr>
          <w:szCs w:val="24"/>
        </w:rPr>
        <w:t>appliquer ces recommandations</w:t>
      </w:r>
      <w:r w:rsidRPr="00342696">
        <w:rPr>
          <w:szCs w:val="24"/>
        </w:rPr>
        <w:t>.</w:t>
      </w:r>
    </w:p>
    <w:p w14:paraId="3CABC85E" w14:textId="274F7AC3" w:rsidR="00665293" w:rsidRDefault="00665293" w:rsidP="00BA69CF">
      <w:pPr>
        <w:pStyle w:val="Headingb"/>
      </w:pPr>
      <w:r>
        <w:t>Enquêtes de l</w:t>
      </w:r>
      <w:r w:rsidR="005138AD">
        <w:t>'</w:t>
      </w:r>
      <w:r>
        <w:t>Unité de l</w:t>
      </w:r>
      <w:r w:rsidR="005138AD">
        <w:t>'</w:t>
      </w:r>
      <w:r>
        <w:t>audit interne</w:t>
      </w:r>
    </w:p>
    <w:p w14:paraId="25329FB5" w14:textId="0C21FB92" w:rsidR="00F46179" w:rsidRPr="00342696" w:rsidRDefault="00F46179" w:rsidP="00BA69CF">
      <w:r w:rsidRPr="00342696">
        <w:t>11</w:t>
      </w:r>
      <w:r w:rsidRPr="00342696">
        <w:tab/>
      </w:r>
      <w:r w:rsidR="00342696" w:rsidRPr="00342696">
        <w:t>L</w:t>
      </w:r>
      <w:r w:rsidR="005138AD">
        <w:t>'</w:t>
      </w:r>
      <w:r w:rsidR="00342696" w:rsidRPr="00342696">
        <w:t>Unité de l</w:t>
      </w:r>
      <w:r w:rsidR="005138AD">
        <w:t>'</w:t>
      </w:r>
      <w:r w:rsidR="00342696" w:rsidRPr="00342696">
        <w:t>audit interne, en sa qualité d</w:t>
      </w:r>
      <w:r w:rsidR="005138AD">
        <w:t>'</w:t>
      </w:r>
      <w:r w:rsidR="00342696" w:rsidRPr="00342696">
        <w:t xml:space="preserve">instance habilitée à </w:t>
      </w:r>
      <w:r w:rsidR="00F23514">
        <w:t>réaliser</w:t>
      </w:r>
      <w:r w:rsidR="00342696" w:rsidRPr="00342696">
        <w:t xml:space="preserve"> des enquêtes, a mené à bien deux enquêtes et procède actuellement à six enquêtes. Elle a également fourni un appui important à deux enquêteurs extérieurs dans le cadre de deux enquêtes</w:t>
      </w:r>
      <w:r w:rsidRPr="00342696">
        <w:t>.</w:t>
      </w:r>
    </w:p>
    <w:p w14:paraId="2225A943" w14:textId="5726C318" w:rsidR="00F46179" w:rsidRPr="00342696" w:rsidRDefault="00F46179" w:rsidP="00BA69CF">
      <w:pPr>
        <w:rPr>
          <w:rFonts w:cstheme="minorHAnsi"/>
        </w:rPr>
      </w:pPr>
      <w:r w:rsidRPr="00342696">
        <w:t>12</w:t>
      </w:r>
      <w:r w:rsidRPr="00342696">
        <w:tab/>
      </w:r>
      <w:r w:rsidR="00342696" w:rsidRPr="00342696">
        <w:t>Deux enquêtes ont été menées à bien par l</w:t>
      </w:r>
      <w:r w:rsidR="005138AD">
        <w:t>'</w:t>
      </w:r>
      <w:r w:rsidR="00342696" w:rsidRPr="00342696">
        <w:t>Unité de l</w:t>
      </w:r>
      <w:r w:rsidR="005138AD">
        <w:t>'</w:t>
      </w:r>
      <w:r w:rsidR="00342696" w:rsidRPr="00342696">
        <w:t xml:space="preserve">audit </w:t>
      </w:r>
      <w:proofErr w:type="gramStart"/>
      <w:r w:rsidR="00342696" w:rsidRPr="00342696">
        <w:t>interne</w:t>
      </w:r>
      <w:r w:rsidRPr="00342696">
        <w:t>:</w:t>
      </w:r>
      <w:proofErr w:type="gramEnd"/>
      <w:r w:rsidRPr="00342696">
        <w:t xml:space="preserve"> </w:t>
      </w:r>
    </w:p>
    <w:p w14:paraId="19DB4642" w14:textId="32408C42" w:rsidR="00F46179" w:rsidRPr="00342696" w:rsidRDefault="00F46179" w:rsidP="00BA69CF">
      <w:pPr>
        <w:pStyle w:val="enumlev1"/>
        <w:rPr>
          <w:rFonts w:cstheme="minorHAnsi"/>
        </w:rPr>
      </w:pPr>
      <w:r w:rsidRPr="00342696">
        <w:t>a)</w:t>
      </w:r>
      <w:r w:rsidRPr="00342696">
        <w:tab/>
      </w:r>
      <w:r w:rsidR="00342696" w:rsidRPr="00342696">
        <w:t xml:space="preserve">Une enquête formelle concernant une plainte liée à i) des allégations concernant </w:t>
      </w:r>
      <w:r w:rsidR="006949E6">
        <w:t>un</w:t>
      </w:r>
      <w:r w:rsidR="006949E6" w:rsidRPr="00342696">
        <w:t xml:space="preserve"> </w:t>
      </w:r>
      <w:r w:rsidR="00342696" w:rsidRPr="00342696">
        <w:t xml:space="preserve">comportement inapproprié </w:t>
      </w:r>
      <w:r w:rsidR="006949E6">
        <w:t>de la part de</w:t>
      </w:r>
      <w:r w:rsidR="00342696" w:rsidRPr="00342696">
        <w:t xml:space="preserve"> deux anciens superviseurs à l</w:t>
      </w:r>
      <w:r w:rsidR="005138AD">
        <w:t>'</w:t>
      </w:r>
      <w:r w:rsidR="006949E6">
        <w:t>encontre</w:t>
      </w:r>
      <w:r w:rsidR="005138AD">
        <w:t xml:space="preserve"> du </w:t>
      </w:r>
      <w:proofErr w:type="gramStart"/>
      <w:r w:rsidR="005138AD">
        <w:t>plaignant;</w:t>
      </w:r>
      <w:proofErr w:type="gramEnd"/>
      <w:r w:rsidR="00342696" w:rsidRPr="00342696">
        <w:t xml:space="preserve"> ii) une violation </w:t>
      </w:r>
      <w:r w:rsidR="00F23514">
        <w:t xml:space="preserve">présumée </w:t>
      </w:r>
      <w:r w:rsidR="00342696" w:rsidRPr="00342696">
        <w:t>de la politique en matière de lutte contre la fraude par deux anciens superviseurs</w:t>
      </w:r>
      <w:r w:rsidR="005138AD">
        <w:t>;</w:t>
      </w:r>
      <w:r w:rsidR="00342696" w:rsidRPr="00342696">
        <w:t xml:space="preserve"> et iii) des allégations de représailles à la suite du signalement, par le plaignant, du comportement répréhensible de l</w:t>
      </w:r>
      <w:r w:rsidR="005138AD">
        <w:t xml:space="preserve">'un des superviseurs. </w:t>
      </w:r>
      <w:r w:rsidR="00342696" w:rsidRPr="00342696">
        <w:t>L</w:t>
      </w:r>
      <w:r w:rsidR="005138AD">
        <w:t>'</w:t>
      </w:r>
      <w:r w:rsidR="00342696" w:rsidRPr="00342696">
        <w:t>UIT a chargé un enquêteur extérieur de mener une enquête, avec l</w:t>
      </w:r>
      <w:r w:rsidR="005138AD">
        <w:t>'</w:t>
      </w:r>
      <w:r w:rsidR="00342696" w:rsidRPr="00342696">
        <w:t>appui d</w:t>
      </w:r>
      <w:r w:rsidR="00F23514">
        <w:t xml:space="preserve">u personnel de </w:t>
      </w:r>
      <w:r w:rsidR="00342696" w:rsidRPr="00342696">
        <w:t>l</w:t>
      </w:r>
      <w:r w:rsidR="005138AD">
        <w:t>'</w:t>
      </w:r>
      <w:r w:rsidR="00342696" w:rsidRPr="00342696">
        <w:t>Unité de l</w:t>
      </w:r>
      <w:r w:rsidR="005138AD">
        <w:t>'</w:t>
      </w:r>
      <w:r w:rsidR="00342696" w:rsidRPr="00342696">
        <w:t xml:space="preserve">audit interne, au sujet des allégations concernant </w:t>
      </w:r>
      <w:r w:rsidR="006949E6">
        <w:t>le</w:t>
      </w:r>
      <w:r w:rsidR="006949E6" w:rsidRPr="00342696">
        <w:t xml:space="preserve"> </w:t>
      </w:r>
      <w:r w:rsidR="00342696" w:rsidRPr="00342696">
        <w:t xml:space="preserve">comportement inapproprié </w:t>
      </w:r>
      <w:r w:rsidR="006949E6">
        <w:t>de</w:t>
      </w:r>
      <w:r w:rsidR="00342696" w:rsidRPr="00342696">
        <w:t xml:space="preserve"> deux anciens superviseurs à </w:t>
      </w:r>
      <w:r w:rsidR="006949E6" w:rsidRPr="00342696">
        <w:t>l</w:t>
      </w:r>
      <w:r w:rsidR="005138AD">
        <w:t>'</w:t>
      </w:r>
      <w:r w:rsidR="006949E6">
        <w:t>encontre</w:t>
      </w:r>
      <w:r w:rsidR="006949E6" w:rsidRPr="00342696">
        <w:t xml:space="preserve"> </w:t>
      </w:r>
      <w:r w:rsidR="00342696" w:rsidRPr="00342696">
        <w:t>du plaignant (l</w:t>
      </w:r>
      <w:r w:rsidR="005138AD">
        <w:t>'</w:t>
      </w:r>
      <w:r w:rsidR="00342696" w:rsidRPr="00342696">
        <w:t xml:space="preserve">enquête </w:t>
      </w:r>
      <w:r w:rsidR="00F23514">
        <w:t>s</w:t>
      </w:r>
      <w:r w:rsidR="005138AD">
        <w:t>'</w:t>
      </w:r>
      <w:r w:rsidR="00F23514">
        <w:t>est</w:t>
      </w:r>
      <w:r w:rsidR="00342696" w:rsidRPr="00342696">
        <w:t xml:space="preserve"> achevée en octobre 2019 et les résultats ont été communiqués au Secrétaire général de l</w:t>
      </w:r>
      <w:r w:rsidR="005138AD">
        <w:t>'</w:t>
      </w:r>
      <w:r w:rsidR="00342696" w:rsidRPr="00342696">
        <w:t>UIT)</w:t>
      </w:r>
      <w:r w:rsidR="005138AD">
        <w:t>.</w:t>
      </w:r>
    </w:p>
    <w:p w14:paraId="0C23206E" w14:textId="77D0450A" w:rsidR="00F46179" w:rsidRPr="00342696" w:rsidRDefault="00F46179" w:rsidP="00BA69CF">
      <w:pPr>
        <w:pStyle w:val="enumlev1"/>
        <w:rPr>
          <w:rFonts w:cstheme="minorHAnsi"/>
        </w:rPr>
      </w:pPr>
      <w:r w:rsidRPr="00342696">
        <w:t>b)</w:t>
      </w:r>
      <w:r w:rsidRPr="00342696">
        <w:tab/>
      </w:r>
      <w:r w:rsidR="00342696" w:rsidRPr="00342696">
        <w:t xml:space="preserve">Une enquête formelle concernant une plainte liée à des allégations selon lesquelles un membre du personnel aurait accès à des informations </w:t>
      </w:r>
      <w:r w:rsidR="00C5553F">
        <w:t xml:space="preserve">potentiellement </w:t>
      </w:r>
      <w:r w:rsidR="00342696" w:rsidRPr="00342696">
        <w:t>confidentielles et sensibles qui ne relèvent pas de son mandat (l</w:t>
      </w:r>
      <w:r w:rsidR="005138AD">
        <w:t>'</w:t>
      </w:r>
      <w:r w:rsidR="00342696" w:rsidRPr="00342696">
        <w:t xml:space="preserve">enquête </w:t>
      </w:r>
      <w:r w:rsidR="00C5553F">
        <w:t>s</w:t>
      </w:r>
      <w:r w:rsidR="005138AD">
        <w:t>'</w:t>
      </w:r>
      <w:r w:rsidR="00C5553F">
        <w:t>est</w:t>
      </w:r>
      <w:r w:rsidR="00342696" w:rsidRPr="00342696">
        <w:t xml:space="preserve"> achevée en décembre 2019 et les résultats ont été communiqués au Secrétaire général de l</w:t>
      </w:r>
      <w:r w:rsidR="005138AD">
        <w:t>'</w:t>
      </w:r>
      <w:r w:rsidR="00342696" w:rsidRPr="00342696">
        <w:t>UIT)</w:t>
      </w:r>
      <w:r w:rsidRPr="00342696">
        <w:t>.</w:t>
      </w:r>
    </w:p>
    <w:p w14:paraId="3A9FD641" w14:textId="2B2AE05D" w:rsidR="00F46179" w:rsidRPr="00342696" w:rsidRDefault="00F46179" w:rsidP="00BA69CF">
      <w:pPr>
        <w:rPr>
          <w:rFonts w:cstheme="minorHAnsi"/>
        </w:rPr>
      </w:pPr>
      <w:r w:rsidRPr="00342696">
        <w:t>13</w:t>
      </w:r>
      <w:r w:rsidRPr="00342696">
        <w:tab/>
      </w:r>
      <w:r w:rsidR="00342696" w:rsidRPr="00342696">
        <w:t>Six enquêtes sont actuellement menées par l</w:t>
      </w:r>
      <w:r w:rsidR="005138AD">
        <w:t>'</w:t>
      </w:r>
      <w:r w:rsidR="00342696" w:rsidRPr="00342696">
        <w:t>Unité de l</w:t>
      </w:r>
      <w:r w:rsidR="005138AD">
        <w:t>'</w:t>
      </w:r>
      <w:r w:rsidR="00342696" w:rsidRPr="00342696">
        <w:t xml:space="preserve">audit interne: trois enquêtes </w:t>
      </w:r>
      <w:r w:rsidR="006949E6">
        <w:t>font suite à</w:t>
      </w:r>
      <w:r w:rsidR="006949E6" w:rsidRPr="00342696">
        <w:t xml:space="preserve"> </w:t>
      </w:r>
      <w:r w:rsidR="00342696" w:rsidRPr="00342696">
        <w:t xml:space="preserve">des plaintes </w:t>
      </w:r>
      <w:r w:rsidR="006949E6">
        <w:t>visant</w:t>
      </w:r>
      <w:r w:rsidR="00342696" w:rsidRPr="00342696">
        <w:t xml:space="preserve"> trois membres du personnel </w:t>
      </w:r>
      <w:r w:rsidR="006949E6">
        <w:t xml:space="preserve">qui exerceraient </w:t>
      </w:r>
      <w:r w:rsidR="00342696" w:rsidRPr="00342696">
        <w:t xml:space="preserve">des activités extérieures non autorisées, une enquête </w:t>
      </w:r>
      <w:r w:rsidR="006949E6">
        <w:t>fait suite à</w:t>
      </w:r>
      <w:r w:rsidR="005138AD">
        <w:t xml:space="preserve"> </w:t>
      </w:r>
      <w:r w:rsidR="00342696" w:rsidRPr="00342696">
        <w:t xml:space="preserve">une plainte </w:t>
      </w:r>
      <w:r w:rsidR="006949E6">
        <w:t>visant</w:t>
      </w:r>
      <w:r w:rsidR="00342696" w:rsidRPr="00342696">
        <w:t xml:space="preserve"> un </w:t>
      </w:r>
      <w:r w:rsidR="00C5553F">
        <w:t xml:space="preserve">membre du </w:t>
      </w:r>
      <w:r w:rsidR="00342696" w:rsidRPr="00342696">
        <w:t xml:space="preserve">personnel </w:t>
      </w:r>
      <w:r w:rsidR="006949E6">
        <w:t xml:space="preserve">qui </w:t>
      </w:r>
      <w:r w:rsidR="00342696" w:rsidRPr="00342696">
        <w:t xml:space="preserve">aurait obtenu des allocations et/ou indemnités </w:t>
      </w:r>
      <w:r w:rsidR="006949E6">
        <w:t>auxquelles il n</w:t>
      </w:r>
      <w:r w:rsidR="005138AD">
        <w:t>'</w:t>
      </w:r>
      <w:r w:rsidR="006949E6">
        <w:t>a pas droit</w:t>
      </w:r>
      <w:r w:rsidR="00342696" w:rsidRPr="00342696">
        <w:t xml:space="preserve">, une enquête </w:t>
      </w:r>
      <w:r w:rsidR="006949E6">
        <w:t>fait suite à</w:t>
      </w:r>
      <w:r w:rsidR="006949E6" w:rsidRPr="00342696">
        <w:t xml:space="preserve"> </w:t>
      </w:r>
      <w:r w:rsidR="00342696" w:rsidRPr="00342696">
        <w:t xml:space="preserve">une </w:t>
      </w:r>
      <w:r w:rsidR="00342696" w:rsidRPr="00342696">
        <w:lastRenderedPageBreak/>
        <w:t xml:space="preserve">plainte </w:t>
      </w:r>
      <w:r w:rsidR="006949E6">
        <w:t>visant</w:t>
      </w:r>
      <w:r w:rsidR="00342696" w:rsidRPr="00342696">
        <w:t xml:space="preserve"> plusieurs membres du personnel </w:t>
      </w:r>
      <w:r w:rsidR="006949E6">
        <w:t xml:space="preserve">qui </w:t>
      </w:r>
      <w:r w:rsidR="00342696" w:rsidRPr="00342696">
        <w:t>auraient encouragé la diffusion d</w:t>
      </w:r>
      <w:r w:rsidR="005138AD">
        <w:t>'</w:t>
      </w:r>
      <w:r w:rsidR="00342696" w:rsidRPr="00342696">
        <w:t>informations potentiellement confidentielles ou sensibles à l</w:t>
      </w:r>
      <w:r w:rsidR="005138AD">
        <w:t>'</w:t>
      </w:r>
      <w:r w:rsidR="00342696" w:rsidRPr="00342696">
        <w:t xml:space="preserve">extérieur, en auraient été témoins ou y auraient participé activement, et une enquête </w:t>
      </w:r>
      <w:r w:rsidR="006949E6">
        <w:t>fait suite à</w:t>
      </w:r>
      <w:r w:rsidR="006949E6" w:rsidRPr="00342696">
        <w:t xml:space="preserve"> </w:t>
      </w:r>
      <w:r w:rsidR="00342696" w:rsidRPr="00342696">
        <w:t xml:space="preserve">une plainte </w:t>
      </w:r>
      <w:r w:rsidR="006949E6">
        <w:t>visant</w:t>
      </w:r>
      <w:r w:rsidR="00342696" w:rsidRPr="00342696">
        <w:t xml:space="preserve"> un membre du personnel </w:t>
      </w:r>
      <w:r w:rsidR="006949E6">
        <w:t xml:space="preserve">qui </w:t>
      </w:r>
      <w:r w:rsidR="00342696" w:rsidRPr="00342696">
        <w:t>aurait détruit et/ou dissimulé des dossiers de l</w:t>
      </w:r>
      <w:r w:rsidR="005138AD">
        <w:t>'</w:t>
      </w:r>
      <w:r w:rsidR="00342696" w:rsidRPr="00342696">
        <w:t>UIT</w:t>
      </w:r>
      <w:r w:rsidRPr="00342696">
        <w:t xml:space="preserve">. </w:t>
      </w:r>
    </w:p>
    <w:p w14:paraId="20EB6198" w14:textId="2880A4F0" w:rsidR="00F46179" w:rsidRPr="00342696" w:rsidRDefault="00F46179" w:rsidP="00BA69CF">
      <w:pPr>
        <w:rPr>
          <w:rFonts w:cstheme="minorHAnsi"/>
        </w:rPr>
      </w:pPr>
      <w:r w:rsidRPr="00342696">
        <w:t>14</w:t>
      </w:r>
      <w:r w:rsidRPr="00342696">
        <w:tab/>
      </w:r>
      <w:r w:rsidR="00342696" w:rsidRPr="00342696">
        <w:t xml:space="preserve">Un appui important a été fourni à un enquêteur externe </w:t>
      </w:r>
      <w:r w:rsidR="006949E6">
        <w:t>recruté en vue</w:t>
      </w:r>
      <w:r w:rsidR="006949E6" w:rsidRPr="00342696">
        <w:t xml:space="preserve"> </w:t>
      </w:r>
      <w:r w:rsidR="00342696" w:rsidRPr="00342696">
        <w:t xml:space="preserve">de mener à </w:t>
      </w:r>
      <w:proofErr w:type="gramStart"/>
      <w:r w:rsidR="00342696" w:rsidRPr="00342696">
        <w:t>bien</w:t>
      </w:r>
      <w:r w:rsidRPr="00342696">
        <w:t>:</w:t>
      </w:r>
      <w:proofErr w:type="gramEnd"/>
      <w:r w:rsidRPr="00342696">
        <w:t xml:space="preserve"> </w:t>
      </w:r>
    </w:p>
    <w:p w14:paraId="010BBFDE" w14:textId="120D79E9" w:rsidR="00F46179" w:rsidRPr="00342696" w:rsidRDefault="00F46179" w:rsidP="00BA69CF">
      <w:pPr>
        <w:pStyle w:val="enumlev1"/>
        <w:rPr>
          <w:rFonts w:cstheme="minorHAnsi"/>
        </w:rPr>
      </w:pPr>
      <w:r w:rsidRPr="00342696">
        <w:t>a)</w:t>
      </w:r>
      <w:r w:rsidRPr="00342696">
        <w:tab/>
      </w:r>
      <w:r w:rsidR="005138AD">
        <w:t>u</w:t>
      </w:r>
      <w:r w:rsidR="00342696" w:rsidRPr="00342696">
        <w:t xml:space="preserve">n </w:t>
      </w:r>
      <w:r w:rsidR="006949E6">
        <w:t>complément</w:t>
      </w:r>
      <w:r w:rsidR="006949E6" w:rsidRPr="00342696">
        <w:t xml:space="preserve"> </w:t>
      </w:r>
      <w:r w:rsidR="00342696" w:rsidRPr="00342696">
        <w:t>d</w:t>
      </w:r>
      <w:r w:rsidR="005138AD">
        <w:t>'</w:t>
      </w:r>
      <w:r w:rsidR="00342696" w:rsidRPr="00342696">
        <w:t xml:space="preserve">enquête visant à </w:t>
      </w:r>
      <w:r w:rsidR="006949E6">
        <w:t>établir s</w:t>
      </w:r>
      <w:r w:rsidR="005138AD">
        <w:t>'</w:t>
      </w:r>
      <w:r w:rsidR="006949E6">
        <w:t>il</w:t>
      </w:r>
      <w:r w:rsidR="006949E6" w:rsidRPr="00342696">
        <w:t xml:space="preserve"> </w:t>
      </w:r>
      <w:r w:rsidR="00342696" w:rsidRPr="00342696">
        <w:t>existe de</w:t>
      </w:r>
      <w:r w:rsidR="006949E6">
        <w:t>s</w:t>
      </w:r>
      <w:r w:rsidR="00342696" w:rsidRPr="00342696">
        <w:t xml:space="preserve"> défaillances d</w:t>
      </w:r>
      <w:r w:rsidR="005138AD">
        <w:t>'</w:t>
      </w:r>
      <w:r w:rsidR="00342696" w:rsidRPr="00342696">
        <w:t xml:space="preserve">ordre individuel ou systémique et/ou des manquements au niveau des responsabilités de la direction dans la supervision et </w:t>
      </w:r>
      <w:r w:rsidR="006949E6">
        <w:t>la surveillance</w:t>
      </w:r>
      <w:r w:rsidR="00342696" w:rsidRPr="00342696">
        <w:t xml:space="preserve"> des activités au sein du bu</w:t>
      </w:r>
      <w:r w:rsidR="00C5553F">
        <w:t>r</w:t>
      </w:r>
      <w:r w:rsidR="00342696" w:rsidRPr="00342696">
        <w:t>eau régional où le cas de fraude grave a été découvert en 2018 (l</w:t>
      </w:r>
      <w:r w:rsidR="005138AD">
        <w:t>'</w:t>
      </w:r>
      <w:r w:rsidR="00342696" w:rsidRPr="00342696">
        <w:t xml:space="preserve">enquête </w:t>
      </w:r>
      <w:r w:rsidR="00C5553F">
        <w:t>s</w:t>
      </w:r>
      <w:r w:rsidR="005138AD">
        <w:t>'</w:t>
      </w:r>
      <w:r w:rsidR="00C5553F">
        <w:t>est</w:t>
      </w:r>
      <w:r w:rsidR="00342696" w:rsidRPr="00342696">
        <w:t xml:space="preserve"> achevée en janvier 2020</w:t>
      </w:r>
      <w:proofErr w:type="gramStart"/>
      <w:r w:rsidR="00342696" w:rsidRPr="00342696">
        <w:t>);</w:t>
      </w:r>
      <w:proofErr w:type="gramEnd"/>
      <w:r w:rsidR="00342696" w:rsidRPr="00342696">
        <w:t xml:space="preserve"> </w:t>
      </w:r>
      <w:r w:rsidR="006949E6">
        <w:t xml:space="preserve">un appui important a également été fourni </w:t>
      </w:r>
      <w:r w:rsidR="00342696" w:rsidRPr="00342696">
        <w:t xml:space="preserve">à un autre enquêteur </w:t>
      </w:r>
      <w:r w:rsidR="006949E6">
        <w:t>recruté en vue</w:t>
      </w:r>
      <w:r w:rsidR="006949E6" w:rsidRPr="00342696">
        <w:t xml:space="preserve"> </w:t>
      </w:r>
      <w:r w:rsidR="00342696" w:rsidRPr="00342696">
        <w:t>de mener à bien</w:t>
      </w:r>
      <w:r w:rsidRPr="00342696">
        <w:t>:</w:t>
      </w:r>
    </w:p>
    <w:p w14:paraId="3ACC4B3D" w14:textId="7E90A2FA" w:rsidR="00F46179" w:rsidRPr="00342696" w:rsidRDefault="00F46179" w:rsidP="00BA69CF">
      <w:pPr>
        <w:pStyle w:val="enumlev1"/>
      </w:pPr>
      <w:r w:rsidRPr="00342696">
        <w:t>b)</w:t>
      </w:r>
      <w:r w:rsidRPr="00342696">
        <w:tab/>
      </w:r>
      <w:r w:rsidR="00342696" w:rsidRPr="00342696">
        <w:t xml:space="preserve">une enquête formelle concernant </w:t>
      </w:r>
      <w:r w:rsidR="00C5553F">
        <w:t xml:space="preserve">le </w:t>
      </w:r>
      <w:r w:rsidR="00342696" w:rsidRPr="00342696">
        <w:t xml:space="preserve">comportement inapproprié </w:t>
      </w:r>
      <w:r w:rsidR="00C5553F">
        <w:t>présumé d</w:t>
      </w:r>
      <w:r w:rsidR="005138AD">
        <w:t>'</w:t>
      </w:r>
      <w:r w:rsidR="00342696" w:rsidRPr="00342696">
        <w:t>un membre du personnel de l</w:t>
      </w:r>
      <w:r w:rsidR="005138AD">
        <w:t>'</w:t>
      </w:r>
      <w:r w:rsidR="00342696" w:rsidRPr="00342696">
        <w:t>UIT à l</w:t>
      </w:r>
      <w:r w:rsidR="005138AD">
        <w:t>'</w:t>
      </w:r>
      <w:r w:rsidR="00643769">
        <w:t>encontre</w:t>
      </w:r>
      <w:r w:rsidR="00342696" w:rsidRPr="00342696">
        <w:t xml:space="preserve"> de plusieurs autres membres du personnel (cette enquête est toujours en cours)</w:t>
      </w:r>
      <w:r w:rsidRPr="00342696">
        <w:t>.</w:t>
      </w:r>
    </w:p>
    <w:p w14:paraId="4A6F47B7" w14:textId="70530B0D" w:rsidR="00665293" w:rsidRDefault="00665293" w:rsidP="00BA69CF">
      <w:pPr>
        <w:pStyle w:val="Headingb"/>
      </w:pPr>
      <w:r>
        <w:t>Services de conseil de l</w:t>
      </w:r>
      <w:r w:rsidR="005138AD">
        <w:t>'</w:t>
      </w:r>
      <w:r>
        <w:t>Unité de l</w:t>
      </w:r>
      <w:r w:rsidR="005138AD">
        <w:t>'</w:t>
      </w:r>
      <w:r>
        <w:t>audit interne</w:t>
      </w:r>
    </w:p>
    <w:p w14:paraId="2A1F13A5" w14:textId="62966B1A" w:rsidR="00665293" w:rsidRPr="00F46179" w:rsidRDefault="008B42C6" w:rsidP="00BA69CF">
      <w:pPr>
        <w:pStyle w:val="Headingb"/>
        <w:rPr>
          <w:i/>
        </w:rPr>
      </w:pPr>
      <w:r>
        <w:rPr>
          <w:i/>
        </w:rPr>
        <w:t>B</w:t>
      </w:r>
      <w:r>
        <w:rPr>
          <w:i/>
        </w:rPr>
        <w:tab/>
      </w:r>
      <w:r w:rsidR="00665293" w:rsidRPr="00F46179">
        <w:rPr>
          <w:i/>
        </w:rPr>
        <w:t>Procédure de sélection du Vérificateur extérieur des comptes de l</w:t>
      </w:r>
      <w:r w:rsidR="005138AD">
        <w:rPr>
          <w:i/>
        </w:rPr>
        <w:t>'</w:t>
      </w:r>
      <w:r w:rsidR="00665293" w:rsidRPr="00F46179">
        <w:rPr>
          <w:i/>
        </w:rPr>
        <w:t>UIT</w:t>
      </w:r>
    </w:p>
    <w:p w14:paraId="38B782DE" w14:textId="5EA48A33" w:rsidR="00665293" w:rsidRDefault="00F46179" w:rsidP="00BA69CF">
      <w:r w:rsidRPr="00AD09CA">
        <w:t>15</w:t>
      </w:r>
      <w:r w:rsidR="00665293">
        <w:tab/>
        <w:t>Sur recommandation du CCIG, le Secrétaire général a demandé à l</w:t>
      </w:r>
      <w:r w:rsidR="005138AD">
        <w:t>'</w:t>
      </w:r>
      <w:r w:rsidR="00665293">
        <w:t>Unité de l</w:t>
      </w:r>
      <w:r w:rsidR="005138AD">
        <w:t>'</w:t>
      </w:r>
      <w:r w:rsidR="00665293">
        <w:t>audit interne de diriger le processus de sélection d</w:t>
      </w:r>
      <w:r w:rsidR="005138AD">
        <w:t>'</w:t>
      </w:r>
      <w:r w:rsidR="00665293">
        <w:t>un nouveau Vérificateur extérieur des comptes. À sa session de 2018, le Conseil a désigné les personnes recommandées par les six organisations régionales de télécommunication pour devenir membres du Comité d</w:t>
      </w:r>
      <w:r w:rsidR="005138AD">
        <w:t>'</w:t>
      </w:r>
      <w:r w:rsidR="00665293">
        <w:t>évaluation et soumettre au Conseil à sa session de 2019 un rapport sur les résultats de ses travaux.</w:t>
      </w:r>
      <w:r w:rsidR="00643769">
        <w:t xml:space="preserve"> </w:t>
      </w:r>
      <w:r w:rsidR="00665293">
        <w:t>Avec l</w:t>
      </w:r>
      <w:r w:rsidR="005138AD">
        <w:t>'</w:t>
      </w:r>
      <w:r w:rsidR="00665293">
        <w:t>appui du secrétariat de l</w:t>
      </w:r>
      <w:r w:rsidR="005138AD">
        <w:t>'</w:t>
      </w:r>
      <w:r w:rsidR="00665293">
        <w:t>UIT, le Comité d</w:t>
      </w:r>
      <w:r w:rsidR="005138AD">
        <w:t>'</w:t>
      </w:r>
      <w:r w:rsidR="00665293">
        <w:t>évaluation a mené à bien ses travaux concernant la procédure d</w:t>
      </w:r>
      <w:r w:rsidR="005138AD">
        <w:t>'</w:t>
      </w:r>
      <w:r w:rsidR="00665293">
        <w:t>appel d</w:t>
      </w:r>
      <w:r w:rsidR="005138AD">
        <w:t>'</w:t>
      </w:r>
      <w:r w:rsidR="00665293">
        <w:t>offres en vue d</w:t>
      </w:r>
      <w:r w:rsidR="005138AD">
        <w:t>'</w:t>
      </w:r>
      <w:r w:rsidR="00665293">
        <w:t>identifier l</w:t>
      </w:r>
      <w:r w:rsidR="005138AD">
        <w:t>'</w:t>
      </w:r>
      <w:r w:rsidR="00665293">
        <w:t>institution supérieure de contrôle des finances publiques d</w:t>
      </w:r>
      <w:r w:rsidR="005138AD">
        <w:t>'</w:t>
      </w:r>
      <w:r w:rsidR="00665293">
        <w:t>un État Membre de l</w:t>
      </w:r>
      <w:r w:rsidR="005138AD">
        <w:t>'</w:t>
      </w:r>
      <w:r w:rsidR="00665293">
        <w:t>UIT qui répond le mieux aux critères établis dans la Demande de propositions en vue de la vérification des comptes de l</w:t>
      </w:r>
      <w:r w:rsidR="005138AD">
        <w:t>'</w:t>
      </w:r>
      <w:r w:rsidR="00665293">
        <w:t>Union.</w:t>
      </w:r>
    </w:p>
    <w:p w14:paraId="7324587C" w14:textId="133A01D6" w:rsidR="00665293" w:rsidRDefault="00643769" w:rsidP="00BA69CF">
      <w:r>
        <w:t>16</w:t>
      </w:r>
      <w:r w:rsidR="00665293">
        <w:tab/>
        <w:t>L</w:t>
      </w:r>
      <w:r w:rsidR="005138AD">
        <w:t>'</w:t>
      </w:r>
      <w:r w:rsidR="00665293">
        <w:t>Unité de l</w:t>
      </w:r>
      <w:r w:rsidR="005138AD">
        <w:t>'</w:t>
      </w:r>
      <w:r w:rsidR="00665293">
        <w:t>audit interne a continué d</w:t>
      </w:r>
      <w:r w:rsidR="005138AD">
        <w:t>'</w:t>
      </w:r>
      <w:r w:rsidR="00665293">
        <w:t>aider les membres du Comité d</w:t>
      </w:r>
      <w:r w:rsidR="005138AD">
        <w:t>'</w:t>
      </w:r>
      <w:r w:rsidR="00665293">
        <w:t>évaluation, tout au long de la procédure, à mener ses travaux, et a fourni des orientations sur les questions de procédure et les questions techniques liées à l</w:t>
      </w:r>
      <w:r w:rsidR="005138AD">
        <w:t>'</w:t>
      </w:r>
      <w:r w:rsidR="00665293">
        <w:t>audit, le cas échéant. Un rapport sur les travaux du Comité d</w:t>
      </w:r>
      <w:r w:rsidR="005138AD">
        <w:t>'</w:t>
      </w:r>
      <w:r w:rsidR="00665293">
        <w:t>évaluation est soumis séparément au Conseil pour examen.</w:t>
      </w:r>
    </w:p>
    <w:p w14:paraId="54638515" w14:textId="33E0AF8C" w:rsidR="00451A99" w:rsidRPr="00342696" w:rsidRDefault="008B42C6" w:rsidP="00BA69CF">
      <w:pPr>
        <w:pStyle w:val="Headingb"/>
        <w:rPr>
          <w:i/>
        </w:rPr>
      </w:pPr>
      <w:r>
        <w:rPr>
          <w:i/>
        </w:rPr>
        <w:t>C</w:t>
      </w:r>
      <w:r>
        <w:rPr>
          <w:i/>
        </w:rPr>
        <w:tab/>
      </w:r>
      <w:r w:rsidR="00342696" w:rsidRPr="00342696">
        <w:rPr>
          <w:i/>
        </w:rPr>
        <w:t>Processus de sélection pour la vérification juricomptable</w:t>
      </w:r>
      <w:r w:rsidR="00451A99" w:rsidRPr="00342696">
        <w:rPr>
          <w:i/>
        </w:rPr>
        <w:t xml:space="preserve"> (</w:t>
      </w:r>
      <w:r w:rsidR="00342696">
        <w:rPr>
          <w:i/>
        </w:rPr>
        <w:t xml:space="preserve">Décision </w:t>
      </w:r>
      <w:r w:rsidR="00451A99" w:rsidRPr="00342696">
        <w:rPr>
          <w:i/>
        </w:rPr>
        <w:t>613</w:t>
      </w:r>
      <w:r w:rsidR="00342696">
        <w:rPr>
          <w:i/>
        </w:rPr>
        <w:t xml:space="preserve"> du Conseil</w:t>
      </w:r>
      <w:r w:rsidR="00451A99" w:rsidRPr="00342696">
        <w:rPr>
          <w:i/>
        </w:rPr>
        <w:t>)</w:t>
      </w:r>
    </w:p>
    <w:p w14:paraId="08F5502C" w14:textId="0830BF58" w:rsidR="00F46179" w:rsidRPr="000A13F5" w:rsidRDefault="00643769" w:rsidP="00BA69CF">
      <w:pPr>
        <w:rPr>
          <w:bCs/>
        </w:rPr>
      </w:pPr>
      <w:r>
        <w:rPr>
          <w:rFonts w:cstheme="minorHAnsi"/>
          <w:color w:val="000000"/>
          <w:szCs w:val="24"/>
        </w:rPr>
        <w:t>17</w:t>
      </w:r>
      <w:r w:rsidR="00451A99" w:rsidRPr="00342696">
        <w:rPr>
          <w:rFonts w:cstheme="minorHAnsi"/>
          <w:color w:val="000000"/>
          <w:szCs w:val="24"/>
        </w:rPr>
        <w:tab/>
      </w:r>
      <w:r w:rsidR="00342696" w:rsidRPr="00342696">
        <w:rPr>
          <w:rFonts w:cstheme="minorHAnsi"/>
          <w:color w:val="000000"/>
          <w:szCs w:val="24"/>
        </w:rPr>
        <w:t xml:space="preserve">À sa session de 2019, le Conseil a adopté la </w:t>
      </w:r>
      <w:r w:rsidR="00342696">
        <w:rPr>
          <w:rFonts w:cstheme="minorHAnsi"/>
          <w:color w:val="000000"/>
          <w:szCs w:val="24"/>
        </w:rPr>
        <w:t xml:space="preserve">Décision 613, </w:t>
      </w:r>
      <w:r>
        <w:rPr>
          <w:rFonts w:cstheme="minorHAnsi"/>
          <w:color w:val="000000"/>
          <w:szCs w:val="24"/>
        </w:rPr>
        <w:t xml:space="preserve">par </w:t>
      </w:r>
      <w:r w:rsidR="00342696">
        <w:rPr>
          <w:rFonts w:cstheme="minorHAnsi"/>
          <w:color w:val="000000"/>
          <w:szCs w:val="24"/>
        </w:rPr>
        <w:t>laquelle le Secrétaire général est chargé de procéder à une vérification juricomptable</w:t>
      </w:r>
      <w:r w:rsidR="00451A99" w:rsidRPr="00342696">
        <w:rPr>
          <w:rFonts w:cs="Calibri"/>
          <w:szCs w:val="24"/>
        </w:rPr>
        <w:t>.</w:t>
      </w:r>
      <w:r w:rsidR="00342696">
        <w:rPr>
          <w:rFonts w:cs="Calibri"/>
          <w:szCs w:val="24"/>
        </w:rPr>
        <w:t xml:space="preserve"> </w:t>
      </w:r>
      <w:r w:rsidR="00342696" w:rsidRPr="00342696">
        <w:rPr>
          <w:rFonts w:cs="Calibri"/>
          <w:szCs w:val="24"/>
        </w:rPr>
        <w:t>L</w:t>
      </w:r>
      <w:r w:rsidR="005138AD">
        <w:rPr>
          <w:rFonts w:cs="Calibri"/>
          <w:szCs w:val="24"/>
        </w:rPr>
        <w:t>'</w:t>
      </w:r>
      <w:r w:rsidR="00342696" w:rsidRPr="00342696">
        <w:rPr>
          <w:rFonts w:cs="Calibri"/>
          <w:szCs w:val="24"/>
        </w:rPr>
        <w:t>Unité de l</w:t>
      </w:r>
      <w:r w:rsidR="005138AD">
        <w:rPr>
          <w:rFonts w:cs="Calibri"/>
          <w:szCs w:val="24"/>
        </w:rPr>
        <w:t>'</w:t>
      </w:r>
      <w:r w:rsidR="00342696" w:rsidRPr="00342696">
        <w:rPr>
          <w:rFonts w:cs="Calibri"/>
          <w:szCs w:val="24"/>
        </w:rPr>
        <w:t>audit interne a élaboré u</w:t>
      </w:r>
      <w:r w:rsidR="00342696">
        <w:rPr>
          <w:rFonts w:cs="Calibri"/>
          <w:szCs w:val="24"/>
        </w:rPr>
        <w:t>n "appel à manifestation d</w:t>
      </w:r>
      <w:r w:rsidR="005138AD">
        <w:rPr>
          <w:rFonts w:cs="Calibri"/>
          <w:szCs w:val="24"/>
        </w:rPr>
        <w:t>'</w:t>
      </w:r>
      <w:r w:rsidR="00342696">
        <w:rPr>
          <w:rFonts w:cs="Calibri"/>
          <w:szCs w:val="24"/>
        </w:rPr>
        <w:t>intérêt" conjointe</w:t>
      </w:r>
      <w:r>
        <w:rPr>
          <w:rFonts w:cs="Calibri"/>
          <w:szCs w:val="24"/>
        </w:rPr>
        <w:t>ment</w:t>
      </w:r>
      <w:r w:rsidR="00342696">
        <w:rPr>
          <w:rFonts w:cs="Calibri"/>
          <w:szCs w:val="24"/>
        </w:rPr>
        <w:t xml:space="preserve"> avec la Division des achats, et a également mis la dernière main à une "demande de propositions" avec l</w:t>
      </w:r>
      <w:r w:rsidR="005138AD">
        <w:rPr>
          <w:rFonts w:cs="Calibri"/>
          <w:szCs w:val="24"/>
        </w:rPr>
        <w:t>'</w:t>
      </w:r>
      <w:r w:rsidR="00342696">
        <w:rPr>
          <w:rFonts w:cs="Calibri"/>
          <w:szCs w:val="24"/>
        </w:rPr>
        <w:t>aide d</w:t>
      </w:r>
      <w:r w:rsidR="005138AD">
        <w:rPr>
          <w:rFonts w:cs="Calibri"/>
          <w:szCs w:val="24"/>
        </w:rPr>
        <w:t>'</w:t>
      </w:r>
      <w:r w:rsidR="00342696">
        <w:rPr>
          <w:rFonts w:cs="Calibri"/>
          <w:szCs w:val="24"/>
        </w:rPr>
        <w:t>un consultant</w:t>
      </w:r>
      <w:r w:rsidR="00C5553F">
        <w:rPr>
          <w:rFonts w:cs="Calibri"/>
          <w:szCs w:val="24"/>
        </w:rPr>
        <w:t>.</w:t>
      </w:r>
      <w:r w:rsidR="00342696">
        <w:rPr>
          <w:rFonts w:cs="Calibri"/>
          <w:szCs w:val="24"/>
        </w:rPr>
        <w:t xml:space="preserve"> La demande de propositions </w:t>
      </w:r>
      <w:r w:rsidR="00470164">
        <w:rPr>
          <w:rFonts w:cs="Calibri"/>
          <w:szCs w:val="24"/>
        </w:rPr>
        <w:t>a été close le 15 avril 2020, et le processus de sélection de l</w:t>
      </w:r>
      <w:r w:rsidR="005138AD">
        <w:rPr>
          <w:rFonts w:cs="Calibri"/>
          <w:szCs w:val="24"/>
        </w:rPr>
        <w:t>'</w:t>
      </w:r>
      <w:r w:rsidR="00470164">
        <w:rPr>
          <w:rFonts w:cs="Calibri"/>
          <w:szCs w:val="24"/>
        </w:rPr>
        <w:t>entreprise chargée d</w:t>
      </w:r>
      <w:r w:rsidR="005138AD">
        <w:rPr>
          <w:rFonts w:cs="Calibri"/>
          <w:szCs w:val="24"/>
        </w:rPr>
        <w:t>'</w:t>
      </w:r>
      <w:r w:rsidR="00470164">
        <w:rPr>
          <w:rFonts w:cs="Calibri"/>
          <w:szCs w:val="24"/>
        </w:rPr>
        <w:t xml:space="preserve">effectuer la vérification juricomptable </w:t>
      </w:r>
      <w:r>
        <w:rPr>
          <w:rFonts w:cs="Calibri"/>
          <w:szCs w:val="24"/>
        </w:rPr>
        <w:t>est en</w:t>
      </w:r>
      <w:r w:rsidR="00470164">
        <w:rPr>
          <w:rFonts w:cs="Calibri"/>
          <w:szCs w:val="24"/>
        </w:rPr>
        <w:t xml:space="preserve"> cours. </w:t>
      </w:r>
    </w:p>
    <w:p w14:paraId="46115DC8" w14:textId="7938621C" w:rsidR="00665293" w:rsidRDefault="00665293" w:rsidP="00BA69CF">
      <w:pPr>
        <w:pStyle w:val="Headingb"/>
      </w:pPr>
      <w:r>
        <w:t>Suite donnée aux recommandations formulées par l</w:t>
      </w:r>
      <w:r w:rsidR="005138AD">
        <w:t>'</w:t>
      </w:r>
      <w:r>
        <w:t>Unité de l</w:t>
      </w:r>
      <w:r w:rsidR="005138AD">
        <w:t>'</w:t>
      </w:r>
      <w:r>
        <w:t>audit interne</w:t>
      </w:r>
    </w:p>
    <w:p w14:paraId="2347AB88" w14:textId="66F29E9F" w:rsidR="00665293" w:rsidRDefault="00643769" w:rsidP="008B42C6">
      <w:pPr>
        <w:spacing w:after="120"/>
      </w:pPr>
      <w:r>
        <w:t>18</w:t>
      </w:r>
      <w:r w:rsidR="00665293">
        <w:tab/>
        <w:t>Durant la période couverte par le rapport, l</w:t>
      </w:r>
      <w:r w:rsidR="005138AD">
        <w:t>'</w:t>
      </w:r>
      <w:r w:rsidR="00665293">
        <w:t>Unité de l</w:t>
      </w:r>
      <w:r w:rsidR="005138AD">
        <w:t>'</w:t>
      </w:r>
      <w:r w:rsidR="00665293">
        <w:t>audit interne a continué de donner suite aux recommandations formulées dans les rapports d</w:t>
      </w:r>
      <w:r w:rsidR="005138AD">
        <w:t>'</w:t>
      </w:r>
      <w:r w:rsidR="00665293">
        <w:t xml:space="preserve">audit précédents. Il a été noté que des progrès avaient été accomplis au cours des 12 derniers mois et les statistiques relatives à la mise en œuvre se présentent comme suit (au 15 </w:t>
      </w:r>
      <w:r w:rsidR="00AD09CA">
        <w:t>octobre</w:t>
      </w:r>
      <w:r w:rsidR="00665293">
        <w:t xml:space="preserve"> 2019</w:t>
      </w:r>
      <w:proofErr w:type="gramStart"/>
      <w:r w:rsidR="00665293">
        <w:t>):</w:t>
      </w:r>
      <w:proofErr w:type="gramEnd"/>
    </w:p>
    <w:p w14:paraId="04BC29BF" w14:textId="642FEAA3" w:rsidR="008B42C6" w:rsidRDefault="008B42C6" w:rsidP="008B42C6">
      <w:pPr>
        <w:spacing w:after="480"/>
      </w:pPr>
      <w:r>
        <w:br w:type="page"/>
      </w:r>
    </w:p>
    <w:tbl>
      <w:tblPr>
        <w:tblW w:w="9771" w:type="dxa"/>
        <w:jc w:val="center"/>
        <w:tblLook w:val="04A0" w:firstRow="1" w:lastRow="0" w:firstColumn="1" w:lastColumn="0" w:noHBand="0" w:noVBand="1"/>
      </w:tblPr>
      <w:tblGrid>
        <w:gridCol w:w="2523"/>
        <w:gridCol w:w="713"/>
        <w:gridCol w:w="628"/>
        <w:gridCol w:w="711"/>
        <w:gridCol w:w="712"/>
        <w:gridCol w:w="712"/>
        <w:gridCol w:w="712"/>
        <w:gridCol w:w="880"/>
        <w:gridCol w:w="622"/>
        <w:gridCol w:w="846"/>
        <w:gridCol w:w="712"/>
      </w:tblGrid>
      <w:tr w:rsidR="00665293" w14:paraId="422D24CE" w14:textId="77777777" w:rsidTr="005138AD">
        <w:trPr>
          <w:trHeight w:val="315"/>
          <w:jc w:val="center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0F8C4D23" w14:textId="77777777" w:rsidR="00665293" w:rsidRDefault="00665293" w:rsidP="00BA69CF">
            <w:pPr>
              <w:pStyle w:val="Tablehead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Année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1477EB32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2011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57868879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2012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5F2E6358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2013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11A61B8F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2C7C08B4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2015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2D66AD5F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5715D008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2017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hideMark/>
          </w:tcPr>
          <w:p w14:paraId="7ADA976C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2018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hideMark/>
          </w:tcPr>
          <w:p w14:paraId="2EF0063E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2019(*)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noWrap/>
            <w:vAlign w:val="bottom"/>
            <w:hideMark/>
          </w:tcPr>
          <w:p w14:paraId="492C43AD" w14:textId="77777777" w:rsidR="00665293" w:rsidRDefault="00665293" w:rsidP="00BA69CF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Total </w:t>
            </w:r>
          </w:p>
        </w:tc>
      </w:tr>
      <w:tr w:rsidR="00665293" w14:paraId="4FFFEC55" w14:textId="77777777" w:rsidTr="005138AD">
        <w:trPr>
          <w:trHeight w:val="300"/>
          <w:jc w:val="center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CE52" w14:textId="4569B741" w:rsidR="00665293" w:rsidRDefault="00665293" w:rsidP="00BA69CF">
            <w:pPr>
              <w:spacing w:before="4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Nombre de rapports d</w:t>
            </w:r>
            <w:r w:rsidR="005138AD">
              <w:rPr>
                <w:sz w:val="20"/>
                <w:lang w:eastAsia="zh-CN"/>
              </w:rPr>
              <w:t>'</w:t>
            </w:r>
            <w:r>
              <w:rPr>
                <w:sz w:val="20"/>
                <w:lang w:eastAsia="zh-CN"/>
              </w:rPr>
              <w:t>audit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17AD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134D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B4770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E80850D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37D3D1C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69E188A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A2036E8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34C7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8F9B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51F21AEE" w14:textId="77777777" w:rsidR="00665293" w:rsidRDefault="00665293" w:rsidP="00BA69CF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32</w:t>
            </w:r>
          </w:p>
        </w:tc>
      </w:tr>
      <w:tr w:rsidR="00665293" w14:paraId="3E9AF441" w14:textId="77777777" w:rsidTr="005138AD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A6AD9" w14:textId="77777777" w:rsidR="00665293" w:rsidRDefault="00665293" w:rsidP="00BA69CF">
            <w:pPr>
              <w:spacing w:before="4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Recommandations – Total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C4E0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A8823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57A7D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E68C3BC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429D139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34C4DF3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1573FBE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150C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99B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3FC9DFC9" w14:textId="77777777" w:rsidR="00665293" w:rsidRDefault="00665293" w:rsidP="00BA69CF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312</w:t>
            </w:r>
          </w:p>
        </w:tc>
      </w:tr>
      <w:tr w:rsidR="00665293" w14:paraId="2D5D2BF7" w14:textId="77777777" w:rsidTr="005138AD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935AE" w14:textId="77777777" w:rsidR="00665293" w:rsidRDefault="00665293" w:rsidP="00BA69CF">
            <w:pPr>
              <w:tabs>
                <w:tab w:val="clear" w:pos="567"/>
                <w:tab w:val="left" w:pos="308"/>
              </w:tabs>
              <w:spacing w:before="4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ab/>
              <w:t>En cours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D4CC5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055F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5E541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778BCFC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DF70F99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A1E4AC2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726B6CA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  <w:r w:rsidR="00325459">
              <w:rPr>
                <w:sz w:val="20"/>
                <w:lang w:eastAsia="zh-C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33B4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  <w:r w:rsidR="00325459">
              <w:rPr>
                <w:sz w:val="20"/>
                <w:lang w:eastAsia="zh-CN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75CF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08472B84" w14:textId="77777777" w:rsidR="00665293" w:rsidRDefault="00451A99" w:rsidP="00BA69CF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54</w:t>
            </w:r>
          </w:p>
        </w:tc>
      </w:tr>
      <w:tr w:rsidR="00665293" w14:paraId="1497B8A4" w14:textId="77777777" w:rsidTr="007711D6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C615E" w14:textId="77777777" w:rsidR="00665293" w:rsidRDefault="00665293" w:rsidP="00BA69CF">
            <w:pPr>
              <w:tabs>
                <w:tab w:val="clear" w:pos="567"/>
                <w:tab w:val="left" w:pos="308"/>
              </w:tabs>
              <w:spacing w:before="4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ab/>
              <w:t>Retardées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04DA8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FF32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E00DA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E335CF2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381A123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F0F7170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E7FB898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7012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15A3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2F2409C6" w14:textId="77777777" w:rsidR="00665293" w:rsidRDefault="00451A99" w:rsidP="00BA69CF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3</w:t>
            </w:r>
          </w:p>
        </w:tc>
      </w:tr>
      <w:tr w:rsidR="00665293" w14:paraId="786E63AC" w14:textId="77777777" w:rsidTr="007711D6">
        <w:trPr>
          <w:trHeight w:val="315"/>
          <w:jc w:val="center"/>
        </w:trPr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188A" w14:textId="77777777" w:rsidR="00665293" w:rsidRDefault="00665293" w:rsidP="00BA69CF">
            <w:pPr>
              <w:tabs>
                <w:tab w:val="clear" w:pos="567"/>
                <w:tab w:val="left" w:pos="308"/>
              </w:tabs>
              <w:spacing w:before="4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ab/>
              <w:t>Closes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211902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4862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A8561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D0BD9C4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AAE1409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</w:t>
            </w:r>
            <w:r w:rsidR="00325459">
              <w:rPr>
                <w:sz w:val="20"/>
                <w:lang w:eastAsia="zh-CN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3438352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011C9C4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  <w:r w:rsidR="00325459">
              <w:rPr>
                <w:sz w:val="20"/>
                <w:lang w:eastAsia="zh-CN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2A0A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8033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193DF1B5" w14:textId="77777777" w:rsidR="00665293" w:rsidRDefault="00665293" w:rsidP="00BA69CF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</w:t>
            </w:r>
            <w:r w:rsidR="00451A99">
              <w:rPr>
                <w:b/>
                <w:bCs/>
                <w:sz w:val="20"/>
                <w:lang w:eastAsia="zh-CN"/>
              </w:rPr>
              <w:t>55</w:t>
            </w:r>
          </w:p>
        </w:tc>
      </w:tr>
      <w:tr w:rsidR="005138AD" w14:paraId="4B57BDF3" w14:textId="77777777" w:rsidTr="007711D6">
        <w:trPr>
          <w:trHeight w:val="105"/>
          <w:jc w:val="center"/>
        </w:trPr>
        <w:tc>
          <w:tcPr>
            <w:tcW w:w="9771" w:type="dxa"/>
            <w:gridSpan w:val="11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4D658979" w14:textId="5B6B9682" w:rsidR="005138AD" w:rsidRDefault="005138AD" w:rsidP="00BA69CF">
            <w:pPr>
              <w:rPr>
                <w:sz w:val="20"/>
                <w:lang w:eastAsia="zh-CN"/>
              </w:rPr>
            </w:pPr>
          </w:p>
        </w:tc>
      </w:tr>
      <w:tr w:rsidR="00665293" w14:paraId="7C00D0AB" w14:textId="77777777" w:rsidTr="005138AD">
        <w:trPr>
          <w:trHeight w:val="315"/>
          <w:jc w:val="center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1EE8B3" w14:textId="6DB7000A" w:rsidR="00665293" w:rsidRDefault="007711D6" w:rsidP="00BA69CF">
            <w:pPr>
              <w:spacing w:before="4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% de recommandations en </w:t>
            </w:r>
            <w:r w:rsidR="00665293">
              <w:rPr>
                <w:sz w:val="20"/>
                <w:lang w:eastAsia="zh-CN"/>
              </w:rPr>
              <w:t>cours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D1D133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0%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85377E1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2ADF9D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8D13A97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C1814D" w14:textId="77777777" w:rsidR="00665293" w:rsidRDefault="00125194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8A6DFF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36%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AA8F66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43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4C2BFF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62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40BDDD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60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49C09429" w14:textId="77777777" w:rsidR="00665293" w:rsidRDefault="00451A99" w:rsidP="00BA69CF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17</w:t>
            </w:r>
            <w:r w:rsidR="00665293">
              <w:rPr>
                <w:b/>
                <w:bCs/>
                <w:sz w:val="20"/>
                <w:lang w:eastAsia="zh-CN"/>
              </w:rPr>
              <w:t>%</w:t>
            </w:r>
          </w:p>
        </w:tc>
      </w:tr>
      <w:tr w:rsidR="00665293" w14:paraId="227DBAD9" w14:textId="77777777" w:rsidTr="005138AD">
        <w:trPr>
          <w:trHeight w:val="315"/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521FEA" w14:textId="77777777" w:rsidR="00665293" w:rsidRDefault="00665293" w:rsidP="00BA69CF">
            <w:pPr>
              <w:spacing w:before="4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% de recommandations retardées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9F2E25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18%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BA2EFD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968D1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6E9A6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EDE6955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7BCE9A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9B1B2ED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0%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2A04C9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06994A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0%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3C3398E7" w14:textId="77777777" w:rsidR="00665293" w:rsidRDefault="00665293" w:rsidP="00BA69CF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1%</w:t>
            </w:r>
          </w:p>
        </w:tc>
      </w:tr>
      <w:tr w:rsidR="00451A99" w14:paraId="7FAE9176" w14:textId="77777777" w:rsidTr="005138AD">
        <w:trPr>
          <w:trHeight w:val="315"/>
          <w:jc w:val="center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E402" w14:textId="77777777" w:rsidR="00665293" w:rsidRDefault="00665293" w:rsidP="00BA69CF">
            <w:pPr>
              <w:spacing w:before="4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% de recommandations closes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FE03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82%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59867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5CB1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96%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D1C3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96%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E90D" w14:textId="77777777" w:rsidR="00665293" w:rsidRDefault="00125194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97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6EF0" w14:textId="77777777" w:rsidR="00665293" w:rsidRDefault="00665293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64%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88D782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57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8CC3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38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C52" w14:textId="77777777" w:rsidR="00665293" w:rsidRDefault="00325459" w:rsidP="00BA69CF">
            <w:pPr>
              <w:spacing w:before="40" w:after="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40</w:t>
            </w:r>
            <w:r w:rsidR="00665293">
              <w:rPr>
                <w:sz w:val="20"/>
                <w:lang w:eastAsia="zh-CN"/>
              </w:rPr>
              <w:t>%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25B0836C" w14:textId="77777777" w:rsidR="00665293" w:rsidRDefault="00451A99" w:rsidP="00BA69CF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82</w:t>
            </w:r>
            <w:r w:rsidR="00665293">
              <w:rPr>
                <w:b/>
                <w:bCs/>
                <w:sz w:val="20"/>
                <w:lang w:eastAsia="zh-CN"/>
              </w:rPr>
              <w:t>%</w:t>
            </w:r>
          </w:p>
        </w:tc>
      </w:tr>
      <w:tr w:rsidR="00451A99" w14:paraId="531B128F" w14:textId="77777777" w:rsidTr="005138AD">
        <w:trPr>
          <w:trHeight w:val="315"/>
          <w:jc w:val="center"/>
        </w:trPr>
        <w:tc>
          <w:tcPr>
            <w:tcW w:w="9771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14:paraId="670F5ACB" w14:textId="77777777" w:rsidR="00451A99" w:rsidRPr="00451A99" w:rsidRDefault="00451A99" w:rsidP="007711D6">
            <w:pPr>
              <w:tabs>
                <w:tab w:val="clear" w:pos="567"/>
                <w:tab w:val="left" w:pos="449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(*)</w:t>
            </w:r>
            <w:r>
              <w:rPr>
                <w:sz w:val="20"/>
              </w:rPr>
              <w:tab/>
              <w:t>Actualisé.</w:t>
            </w:r>
          </w:p>
        </w:tc>
      </w:tr>
    </w:tbl>
    <w:p w14:paraId="50A3D89B" w14:textId="60B94ABE" w:rsidR="00665293" w:rsidRDefault="00643769" w:rsidP="00BA69CF">
      <w:pPr>
        <w:spacing w:before="240" w:after="240"/>
      </w:pPr>
      <w:r>
        <w:t>19</w:t>
      </w:r>
      <w:r w:rsidR="00665293">
        <w:tab/>
      </w:r>
      <w:r w:rsidR="00AD09CA">
        <w:t>La</w:t>
      </w:r>
      <w:r w:rsidR="00665293">
        <w:t xml:space="preserve"> description générale de l</w:t>
      </w:r>
      <w:r w:rsidR="005138AD">
        <w:t>'</w:t>
      </w:r>
      <w:r w:rsidR="00665293">
        <w:t>importance des recommandations tou</w:t>
      </w:r>
      <w:r w:rsidR="00125194">
        <w:t>jours en cours de mise en œuvre</w:t>
      </w:r>
      <w:r w:rsidR="00AD09CA">
        <w:t xml:space="preserve">, se présente comme </w:t>
      </w:r>
      <w:proofErr w:type="gramStart"/>
      <w:r w:rsidR="00AD09CA">
        <w:t>suit:</w:t>
      </w:r>
      <w:proofErr w:type="gramEnd"/>
    </w:p>
    <w:p w14:paraId="38B99849" w14:textId="77777777" w:rsidR="00125194" w:rsidRDefault="008B1451" w:rsidP="00BA69CF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center"/>
        <w:rPr>
          <w:rFonts w:cstheme="minorHAnsi"/>
          <w:sz w:val="24"/>
          <w:szCs w:val="24"/>
          <w:lang w:val="en-C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9E617" wp14:editId="6C8CDE8A">
                <wp:simplePos x="0" y="0"/>
                <wp:positionH relativeFrom="column">
                  <wp:posOffset>3767328</wp:posOffset>
                </wp:positionH>
                <wp:positionV relativeFrom="paragraph">
                  <wp:posOffset>1994128</wp:posOffset>
                </wp:positionV>
                <wp:extent cx="429895" cy="182880"/>
                <wp:effectExtent l="0" t="0" r="825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EEA9" w14:textId="77777777" w:rsidR="008B42C6" w:rsidRPr="008B1451" w:rsidRDefault="008B42C6" w:rsidP="008B1451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Faibl</w:t>
                            </w:r>
                            <w:r w:rsidRPr="008B145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E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65pt;margin-top:157pt;width:33.8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" stroked="f">
                <v:textbox inset="0,0,0,0">
                  <w:txbxContent>
                    <w:p w14:paraId="43B4EEA9" w14:textId="77777777" w:rsidR="008B42C6" w:rsidRPr="008B1451" w:rsidRDefault="008B42C6" w:rsidP="008B1451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Faibl</w:t>
                      </w:r>
                      <w:r w:rsidRPr="008B145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23A55" wp14:editId="4EC4C5CA">
                <wp:simplePos x="0" y="0"/>
                <wp:positionH relativeFrom="column">
                  <wp:posOffset>2264512</wp:posOffset>
                </wp:positionH>
                <wp:positionV relativeFrom="paragraph">
                  <wp:posOffset>1996389</wp:posOffset>
                </wp:positionV>
                <wp:extent cx="429895" cy="182880"/>
                <wp:effectExtent l="0" t="0" r="8255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363C0" w14:textId="77777777" w:rsidR="008B42C6" w:rsidRPr="008B1451" w:rsidRDefault="008B42C6" w:rsidP="008B1451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B1451">
                              <w:rPr>
                                <w:sz w:val="16"/>
                                <w:szCs w:val="16"/>
                              </w:rPr>
                              <w:t>Critique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3A55" id="_x0000_s1027" type="#_x0000_t202" style="position:absolute;left:0;text-align:left;margin-left:178.3pt;margin-top:157.2pt;width:33.8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" stroked="f">
                <v:textbox inset="0,0,0,0">
                  <w:txbxContent>
                    <w:p w14:paraId="71A363C0" w14:textId="77777777" w:rsidR="008B42C6" w:rsidRPr="008B1451" w:rsidRDefault="008B42C6" w:rsidP="008B1451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B1451">
                        <w:rPr>
                          <w:sz w:val="16"/>
                          <w:szCs w:val="16"/>
                        </w:rPr>
                        <w:t>Critique</w:t>
                      </w:r>
                    </w:p>
                  </w:txbxContent>
                </v:textbox>
              </v:shape>
            </w:pict>
          </mc:Fallback>
        </mc:AlternateContent>
      </w:r>
      <w:r w:rsidR="00125194">
        <w:rPr>
          <w:noProof/>
          <w:lang w:eastAsia="en-US"/>
        </w:rPr>
        <w:drawing>
          <wp:inline distT="0" distB="0" distL="0" distR="0" wp14:anchorId="6DE4BA69" wp14:editId="7AD03ACA">
            <wp:extent cx="5029200" cy="2222500"/>
            <wp:effectExtent l="0" t="0" r="0" b="63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140A87" w14:textId="099B247B" w:rsidR="00665293" w:rsidRDefault="00643769" w:rsidP="007711D6">
      <w:pPr>
        <w:spacing w:before="480"/>
        <w:rPr>
          <w:b/>
          <w:lang w:val="fr-CH"/>
        </w:rPr>
      </w:pPr>
      <w:r>
        <w:rPr>
          <w:lang w:val="fr-CH"/>
        </w:rPr>
        <w:t>20</w:t>
      </w:r>
      <w:r w:rsidR="00665293">
        <w:rPr>
          <w:lang w:val="fr-CH"/>
        </w:rPr>
        <w:tab/>
        <w:t>Les recommandations essentielles datant de 2019 sont issues de la lettre de recommandation que l</w:t>
      </w:r>
      <w:r w:rsidR="005138AD">
        <w:rPr>
          <w:lang w:val="fr-CH"/>
        </w:rPr>
        <w:t>'</w:t>
      </w:r>
      <w:r w:rsidR="00665293">
        <w:rPr>
          <w:lang w:val="fr-CH"/>
        </w:rPr>
        <w:t>Unité de l</w:t>
      </w:r>
      <w:r w:rsidR="005138AD">
        <w:rPr>
          <w:lang w:val="fr-CH"/>
        </w:rPr>
        <w:t>'</w:t>
      </w:r>
      <w:r w:rsidR="00665293">
        <w:rPr>
          <w:lang w:val="fr-CH"/>
        </w:rPr>
        <w:t xml:space="preserve">audit interne a établie, </w:t>
      </w:r>
      <w:proofErr w:type="gramStart"/>
      <w:r w:rsidR="00665293">
        <w:rPr>
          <w:lang w:val="fr-CH"/>
        </w:rPr>
        <w:t>suite à</w:t>
      </w:r>
      <w:proofErr w:type="gramEnd"/>
      <w:r w:rsidR="00665293">
        <w:rPr>
          <w:lang w:val="fr-CH"/>
        </w:rPr>
        <w:t xml:space="preserve"> l</w:t>
      </w:r>
      <w:r w:rsidR="005138AD">
        <w:rPr>
          <w:lang w:val="fr-CH"/>
        </w:rPr>
        <w:t>'</w:t>
      </w:r>
      <w:r w:rsidR="00665293">
        <w:rPr>
          <w:lang w:val="fr-CH"/>
        </w:rPr>
        <w:t xml:space="preserve">enquête concernant le cas de fraude (voir le paragraphe ci-dessus concernant </w:t>
      </w:r>
      <w:r w:rsidR="00665293">
        <w:rPr>
          <w:i/>
          <w:iCs/>
          <w:lang w:val="fr-CH"/>
        </w:rPr>
        <w:t>les enquêtes</w:t>
      </w:r>
      <w:r w:rsidR="00665293">
        <w:rPr>
          <w:lang w:val="fr-CH"/>
        </w:rPr>
        <w:t>). Elles concernent essentiellement la nécessité de renforcer les contrôles en matière d</w:t>
      </w:r>
      <w:r w:rsidR="005138AD">
        <w:rPr>
          <w:lang w:val="fr-CH"/>
        </w:rPr>
        <w:t>'</w:t>
      </w:r>
      <w:r w:rsidR="00665293">
        <w:rPr>
          <w:lang w:val="fr-CH"/>
        </w:rPr>
        <w:t>achats ainsi que les procédures de contrôle et de surveillance relatives aux bureaux régionaux/bureaux de zone pour ce qui est du recrutement d</w:t>
      </w:r>
      <w:r w:rsidR="005138AD">
        <w:rPr>
          <w:lang w:val="fr-CH"/>
        </w:rPr>
        <w:t>'</w:t>
      </w:r>
      <w:r w:rsidR="00665293">
        <w:rPr>
          <w:lang w:val="fr-CH"/>
        </w:rPr>
        <w:t>experts extérieurs (</w:t>
      </w:r>
      <w:r w:rsidR="00665293">
        <w:t>au titre de contrats d</w:t>
      </w:r>
      <w:r w:rsidR="005138AD">
        <w:t>'</w:t>
      </w:r>
      <w:r w:rsidR="00665293">
        <w:t>engagements spéciaux</w:t>
      </w:r>
      <w:r w:rsidR="00665293">
        <w:rPr>
          <w:lang w:val="fr-CH"/>
        </w:rPr>
        <w:t>). Pour 2018, la recommandation essentielle avait trait à la nécessité d</w:t>
      </w:r>
      <w:r w:rsidR="005138AD">
        <w:rPr>
          <w:lang w:val="fr-CH"/>
        </w:rPr>
        <w:t>'</w:t>
      </w:r>
      <w:r w:rsidR="00665293">
        <w:rPr>
          <w:lang w:val="fr-CH"/>
        </w:rPr>
        <w:t>élaborer un Manuel sur la passation de marchés (qui viendrait renforcer les contrôles dans ce domaine). S</w:t>
      </w:r>
      <w:r w:rsidR="005138AD">
        <w:rPr>
          <w:lang w:val="fr-CH"/>
        </w:rPr>
        <w:t>'</w:t>
      </w:r>
      <w:r w:rsidR="00665293">
        <w:rPr>
          <w:lang w:val="fr-CH"/>
        </w:rPr>
        <w:t>agissant des recommandations formulées antérieurement, la direction a tenu régulièrement informée l</w:t>
      </w:r>
      <w:r w:rsidR="005138AD">
        <w:rPr>
          <w:lang w:val="fr-CH"/>
        </w:rPr>
        <w:t>'</w:t>
      </w:r>
      <w:r w:rsidR="00665293">
        <w:rPr>
          <w:lang w:val="fr-CH"/>
        </w:rPr>
        <w:t>Unité de l</w:t>
      </w:r>
      <w:r w:rsidR="005138AD">
        <w:rPr>
          <w:lang w:val="fr-CH"/>
        </w:rPr>
        <w:t>'</w:t>
      </w:r>
      <w:r w:rsidR="00665293">
        <w:rPr>
          <w:lang w:val="fr-CH"/>
        </w:rPr>
        <w:t>audit interne (et le CCIG) des progrès accomplis en la matière.</w:t>
      </w:r>
    </w:p>
    <w:p w14:paraId="32C32D70" w14:textId="77777777" w:rsidR="007711D6" w:rsidRDefault="007711D6" w:rsidP="00BA69CF">
      <w:pPr>
        <w:pStyle w:val="Headingb"/>
      </w:pPr>
      <w:r>
        <w:br w:type="page"/>
      </w:r>
    </w:p>
    <w:p w14:paraId="72E4A6FF" w14:textId="5C0B2624" w:rsidR="00665293" w:rsidRDefault="00665293" w:rsidP="00BA69CF">
      <w:pPr>
        <w:pStyle w:val="Headingb"/>
      </w:pPr>
      <w:r>
        <w:lastRenderedPageBreak/>
        <w:t>Questions relatives à la méthodologie d</w:t>
      </w:r>
      <w:r w:rsidR="005138AD">
        <w:t>'</w:t>
      </w:r>
      <w:r>
        <w:t>audit</w:t>
      </w:r>
    </w:p>
    <w:p w14:paraId="48E76931" w14:textId="593907CF" w:rsidR="00665293" w:rsidRPr="00AD09CA" w:rsidRDefault="00643769" w:rsidP="00BA69CF">
      <w:r>
        <w:t>21</w:t>
      </w:r>
      <w:r w:rsidR="00665293" w:rsidRPr="00AD09CA">
        <w:tab/>
      </w:r>
      <w:r w:rsidR="00AD09CA" w:rsidRPr="00AD09CA">
        <w:t>Conformément aux directives de l</w:t>
      </w:r>
      <w:r w:rsidR="005138AD">
        <w:t>'</w:t>
      </w:r>
      <w:r w:rsidR="00AD09CA">
        <w:t>I</w:t>
      </w:r>
      <w:r w:rsidR="00AD09CA" w:rsidRPr="00AD09CA">
        <w:t>nstitut des auditeurs internes, une é</w:t>
      </w:r>
      <w:r w:rsidR="00AD09CA">
        <w:t>valuation de la qualité devrait être menée à bien au minimum tous les 5 ans.</w:t>
      </w:r>
      <w:r w:rsidR="005138AD">
        <w:t xml:space="preserve"> </w:t>
      </w:r>
      <w:r w:rsidR="00AD09CA" w:rsidRPr="00AD09CA">
        <w:t>Par conséquent, l</w:t>
      </w:r>
      <w:r w:rsidR="005138AD">
        <w:t>'</w:t>
      </w:r>
      <w:r w:rsidR="00AD09CA" w:rsidRPr="00AD09CA">
        <w:t xml:space="preserve">UIT a demandé </w:t>
      </w:r>
      <w:r w:rsidR="00C5553F">
        <w:t>qu</w:t>
      </w:r>
      <w:r w:rsidR="005138AD">
        <w:t>'</w:t>
      </w:r>
      <w:r w:rsidR="00AD09CA">
        <w:t xml:space="preserve">une </w:t>
      </w:r>
      <w:r>
        <w:t>revue d</w:t>
      </w:r>
      <w:r w:rsidR="005138AD">
        <w:t>'</w:t>
      </w:r>
      <w:r>
        <w:t>assurance</w:t>
      </w:r>
      <w:r w:rsidR="00AD09CA">
        <w:t xml:space="preserve"> qualité </w:t>
      </w:r>
      <w:r w:rsidR="00C5553F">
        <w:t xml:space="preserve">soit réalisée </w:t>
      </w:r>
      <w:r w:rsidR="00AD09CA">
        <w:t>en février 2020. Au terme d</w:t>
      </w:r>
      <w:r w:rsidR="005138AD">
        <w:t>'</w:t>
      </w:r>
      <w:r w:rsidR="00AD09CA">
        <w:t>un processus d</w:t>
      </w:r>
      <w:r w:rsidR="005138AD">
        <w:t>'</w:t>
      </w:r>
      <w:r w:rsidR="00AD09CA">
        <w:t>appel d</w:t>
      </w:r>
      <w:r w:rsidR="005138AD">
        <w:t>'</w:t>
      </w:r>
      <w:r w:rsidR="00AD09CA">
        <w:t>offres, l</w:t>
      </w:r>
      <w:r w:rsidR="005138AD">
        <w:t>'</w:t>
      </w:r>
      <w:r w:rsidR="00AD09CA">
        <w:t>UIT a conclu un contrat avec un ancien président de l</w:t>
      </w:r>
      <w:r w:rsidR="005138AD">
        <w:t>'</w:t>
      </w:r>
      <w:r w:rsidR="00AD09CA">
        <w:t xml:space="preserve">Institut mondial des auditeurs internes afin de réaliser cette </w:t>
      </w:r>
      <w:r>
        <w:t>revue</w:t>
      </w:r>
      <w:r w:rsidR="00AD09CA">
        <w:t xml:space="preserve">. </w:t>
      </w:r>
      <w:r>
        <w:t>Celui-ci</w:t>
      </w:r>
      <w:r w:rsidRPr="00AD09CA">
        <w:t xml:space="preserve"> </w:t>
      </w:r>
      <w:r w:rsidR="00AD09CA" w:rsidRPr="00AD09CA">
        <w:t>a été en mesure de confirmer que la f</w:t>
      </w:r>
      <w:r w:rsidR="00AD09CA">
        <w:t>onction d</w:t>
      </w:r>
      <w:r w:rsidR="005138AD">
        <w:t>'</w:t>
      </w:r>
      <w:r w:rsidR="00AD09CA">
        <w:t>audit interne de l</w:t>
      </w:r>
      <w:r w:rsidR="005138AD">
        <w:t>'</w:t>
      </w:r>
      <w:r w:rsidR="00AD09CA">
        <w:t>UIT est globalement conforme aux normes et au code de déontologie</w:t>
      </w:r>
      <w:r w:rsidR="008B1451" w:rsidRPr="00AD09CA">
        <w:t>.</w:t>
      </w:r>
    </w:p>
    <w:p w14:paraId="70BB4DA5" w14:textId="77777777" w:rsidR="00665293" w:rsidRPr="00AD09CA" w:rsidRDefault="00665293" w:rsidP="00BA69CF">
      <w:pPr>
        <w:pStyle w:val="Reasons"/>
      </w:pPr>
    </w:p>
    <w:p w14:paraId="5C9EB2C5" w14:textId="77777777" w:rsidR="00897553" w:rsidRDefault="00665293" w:rsidP="00BA69CF">
      <w:pPr>
        <w:jc w:val="center"/>
      </w:pPr>
      <w:r>
        <w:t>______________</w:t>
      </w:r>
    </w:p>
    <w:sectPr w:rsidR="00897553" w:rsidSect="005C38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573CF" w14:textId="77777777" w:rsidR="008B42C6" w:rsidRDefault="008B42C6">
      <w:r>
        <w:separator/>
      </w:r>
    </w:p>
  </w:endnote>
  <w:endnote w:type="continuationSeparator" w:id="0">
    <w:p w14:paraId="2B95F32A" w14:textId="77777777" w:rsidR="008B42C6" w:rsidRDefault="008B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FAEA" w14:textId="1C52E027" w:rsidR="008B42C6" w:rsidRDefault="000A00A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C37B0">
      <w:t>P:\FRA\SG\CONSEIL\C20\000\044F.docx</w:t>
    </w:r>
    <w:r>
      <w:fldChar w:fldCharType="end"/>
    </w:r>
    <w:r w:rsidR="008B42C6">
      <w:tab/>
    </w:r>
    <w:r w:rsidR="008B42C6">
      <w:fldChar w:fldCharType="begin"/>
    </w:r>
    <w:r w:rsidR="008B42C6">
      <w:instrText xml:space="preserve"> savedate \@ dd.MM.yy </w:instrText>
    </w:r>
    <w:r w:rsidR="008B42C6">
      <w:fldChar w:fldCharType="separate"/>
    </w:r>
    <w:r>
      <w:t>19.05.20</w:t>
    </w:r>
    <w:r w:rsidR="008B42C6">
      <w:fldChar w:fldCharType="end"/>
    </w:r>
    <w:r w:rsidR="008B42C6">
      <w:tab/>
    </w:r>
    <w:r w:rsidR="008B42C6">
      <w:fldChar w:fldCharType="begin"/>
    </w:r>
    <w:r w:rsidR="008B42C6">
      <w:instrText xml:space="preserve"> printdate \@ dd.MM.yy </w:instrText>
    </w:r>
    <w:r w:rsidR="008B42C6">
      <w:fldChar w:fldCharType="separate"/>
    </w:r>
    <w:r w:rsidR="00BC37B0">
      <w:t>18.07.00</w:t>
    </w:r>
    <w:r w:rsidR="008B42C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2D41" w14:textId="46217477" w:rsidR="008B42C6" w:rsidRPr="000A00A9" w:rsidRDefault="000A00A9" w:rsidP="00BA69CF">
    <w:pPr>
      <w:pStyle w:val="Footer"/>
      <w:rPr>
        <w:color w:val="BFBFBF" w:themeColor="background1" w:themeShade="BF"/>
      </w:rPr>
    </w:pPr>
    <w:r w:rsidRPr="000A00A9">
      <w:rPr>
        <w:color w:val="BFBFBF" w:themeColor="background1" w:themeShade="BF"/>
      </w:rPr>
      <w:fldChar w:fldCharType="begin"/>
    </w:r>
    <w:r w:rsidRPr="000A00A9">
      <w:rPr>
        <w:color w:val="BFBFBF" w:themeColor="background1" w:themeShade="BF"/>
      </w:rPr>
      <w:instrText xml:space="preserve"> FILENAME \p  \* MERGEFORMAT </w:instrText>
    </w:r>
    <w:r w:rsidRPr="000A00A9">
      <w:rPr>
        <w:color w:val="BFBFBF" w:themeColor="background1" w:themeShade="BF"/>
      </w:rPr>
      <w:fldChar w:fldCharType="separate"/>
    </w:r>
    <w:r w:rsidR="00BC37B0" w:rsidRPr="000A00A9">
      <w:rPr>
        <w:color w:val="BFBFBF" w:themeColor="background1" w:themeShade="BF"/>
      </w:rPr>
      <w:t>P:\FRA\SG\CONSEIL\C20\000\044F.docx</w:t>
    </w:r>
    <w:r w:rsidRPr="000A00A9">
      <w:rPr>
        <w:color w:val="BFBFBF" w:themeColor="background1" w:themeShade="BF"/>
      </w:rPr>
      <w:fldChar w:fldCharType="end"/>
    </w:r>
    <w:r w:rsidR="008B42C6" w:rsidRPr="000A00A9">
      <w:rPr>
        <w:color w:val="BFBFBF" w:themeColor="background1" w:themeShade="BF"/>
      </w:rPr>
      <w:t xml:space="preserve"> (467354)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415FA" w14:textId="77777777" w:rsidR="008B42C6" w:rsidRDefault="008B42C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C901B" w14:textId="77777777" w:rsidR="008B42C6" w:rsidRDefault="008B42C6">
      <w:r>
        <w:t>____________________</w:t>
      </w:r>
    </w:p>
  </w:footnote>
  <w:footnote w:type="continuationSeparator" w:id="0">
    <w:p w14:paraId="366D8B59" w14:textId="77777777" w:rsidR="008B42C6" w:rsidRDefault="008B42C6">
      <w:r>
        <w:continuationSeparator/>
      </w:r>
    </w:p>
  </w:footnote>
  <w:footnote w:id="1">
    <w:p w14:paraId="7D65C9C0" w14:textId="77777777" w:rsidR="008B42C6" w:rsidRDefault="008B42C6" w:rsidP="00665293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Cs w:val="24"/>
          <w:lang w:val="fr-CH"/>
        </w:rPr>
        <w:t>Ordre de service 13/09, promulgué par le Secrétaire général le 27 juin 2013.</w:t>
      </w:r>
    </w:p>
  </w:footnote>
  <w:footnote w:id="2">
    <w:p w14:paraId="6DBC4E46" w14:textId="77777777" w:rsidR="008B42C6" w:rsidRDefault="008B42C6" w:rsidP="008B42C6">
      <w:pPr>
        <w:pStyle w:val="FootnoteText"/>
        <w:spacing w:before="40"/>
        <w:ind w:left="255" w:hanging="255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 xml:space="preserve"> </w:t>
      </w:r>
      <w:r>
        <w:rPr>
          <w:lang w:val="fr-CH"/>
        </w:rPr>
        <w:tab/>
      </w:r>
      <w:r>
        <w:rPr>
          <w:szCs w:val="24"/>
          <w:lang w:val="fr-CH"/>
        </w:rPr>
        <w:t xml:space="preserve">Institut des auditeurs internes, </w:t>
      </w:r>
      <w:hyperlink r:id="rId1" w:history="1">
        <w:r>
          <w:rPr>
            <w:rStyle w:val="Hyperlink"/>
          </w:rPr>
          <w:t>www.theiia.org</w:t>
        </w:r>
      </w:hyperlink>
      <w:r w:rsidRPr="00BA69CF">
        <w:rPr>
          <w:szCs w:val="24"/>
        </w:rPr>
        <w:t>.</w:t>
      </w:r>
    </w:p>
  </w:footnote>
  <w:footnote w:id="3">
    <w:p w14:paraId="3B0EC54B" w14:textId="77777777" w:rsidR="008B42C6" w:rsidRDefault="008B42C6" w:rsidP="00665293">
      <w:pPr>
        <w:pStyle w:val="FootnoteText"/>
        <w:spacing w:before="40"/>
        <w:ind w:left="255" w:hanging="255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 xml:space="preserve"> </w:t>
      </w:r>
      <w:r>
        <w:rPr>
          <w:lang w:val="fr-CH"/>
        </w:rPr>
        <w:tab/>
        <w:t>Ordre de service 13/09, promulgué par le Secrétaire général le 27 juin 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A87D" w14:textId="77777777" w:rsidR="008B42C6" w:rsidRDefault="008B42C6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4C087E5" w14:textId="77777777" w:rsidR="008B42C6" w:rsidRDefault="008B42C6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7849" w14:textId="19BEC9F9" w:rsidR="008B42C6" w:rsidRDefault="008B42C6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C37B0">
      <w:rPr>
        <w:noProof/>
      </w:rPr>
      <w:t>7</w:t>
    </w:r>
    <w:r>
      <w:rPr>
        <w:noProof/>
      </w:rPr>
      <w:fldChar w:fldCharType="end"/>
    </w:r>
  </w:p>
  <w:p w14:paraId="3C077C5C" w14:textId="77777777" w:rsidR="008B42C6" w:rsidRDefault="008B42C6" w:rsidP="00106B19">
    <w:pPr>
      <w:pStyle w:val="Header"/>
    </w:pPr>
    <w:r>
      <w:t>C20/44-F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D6F0B"/>
    <w:multiLevelType w:val="hybridMultilevel"/>
    <w:tmpl w:val="982C5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A8"/>
    <w:rsid w:val="000A00A9"/>
    <w:rsid w:val="000A13F5"/>
    <w:rsid w:val="000D0D0A"/>
    <w:rsid w:val="000D7ADC"/>
    <w:rsid w:val="00103163"/>
    <w:rsid w:val="0010577A"/>
    <w:rsid w:val="00106B19"/>
    <w:rsid w:val="0011215C"/>
    <w:rsid w:val="00115D93"/>
    <w:rsid w:val="001247A8"/>
    <w:rsid w:val="00125194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86E5B"/>
    <w:rsid w:val="002A5D44"/>
    <w:rsid w:val="002E0BC4"/>
    <w:rsid w:val="002E4904"/>
    <w:rsid w:val="002F1B76"/>
    <w:rsid w:val="00325459"/>
    <w:rsid w:val="0033568E"/>
    <w:rsid w:val="00342696"/>
    <w:rsid w:val="00355FF5"/>
    <w:rsid w:val="00361350"/>
    <w:rsid w:val="003C3FAE"/>
    <w:rsid w:val="004038CB"/>
    <w:rsid w:val="0040546F"/>
    <w:rsid w:val="0042404A"/>
    <w:rsid w:val="0044618F"/>
    <w:rsid w:val="00451A99"/>
    <w:rsid w:val="0046769A"/>
    <w:rsid w:val="00470164"/>
    <w:rsid w:val="00475FB3"/>
    <w:rsid w:val="004C37A9"/>
    <w:rsid w:val="004F259E"/>
    <w:rsid w:val="00511F1D"/>
    <w:rsid w:val="005138A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0231"/>
    <w:rsid w:val="006235CA"/>
    <w:rsid w:val="00643769"/>
    <w:rsid w:val="0065257F"/>
    <w:rsid w:val="006643AB"/>
    <w:rsid w:val="00665293"/>
    <w:rsid w:val="006949E6"/>
    <w:rsid w:val="006F7807"/>
    <w:rsid w:val="007210CD"/>
    <w:rsid w:val="00732045"/>
    <w:rsid w:val="007369DB"/>
    <w:rsid w:val="007711D6"/>
    <w:rsid w:val="00771432"/>
    <w:rsid w:val="007956C2"/>
    <w:rsid w:val="007A187E"/>
    <w:rsid w:val="007C72C2"/>
    <w:rsid w:val="007D4436"/>
    <w:rsid w:val="007F257A"/>
    <w:rsid w:val="007F3665"/>
    <w:rsid w:val="00800037"/>
    <w:rsid w:val="00861D73"/>
    <w:rsid w:val="00897553"/>
    <w:rsid w:val="008A4E87"/>
    <w:rsid w:val="008B1451"/>
    <w:rsid w:val="008B42C6"/>
    <w:rsid w:val="008D76E6"/>
    <w:rsid w:val="009063BF"/>
    <w:rsid w:val="0092392D"/>
    <w:rsid w:val="0093234A"/>
    <w:rsid w:val="009C307F"/>
    <w:rsid w:val="009C353C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09CA"/>
    <w:rsid w:val="00AD24EC"/>
    <w:rsid w:val="00B17BC4"/>
    <w:rsid w:val="00B309F9"/>
    <w:rsid w:val="00B32B60"/>
    <w:rsid w:val="00B61619"/>
    <w:rsid w:val="00B62A28"/>
    <w:rsid w:val="00B87990"/>
    <w:rsid w:val="00BA69CF"/>
    <w:rsid w:val="00BB4545"/>
    <w:rsid w:val="00BC37B0"/>
    <w:rsid w:val="00BD5873"/>
    <w:rsid w:val="00BE7F13"/>
    <w:rsid w:val="00C04BE3"/>
    <w:rsid w:val="00C25D29"/>
    <w:rsid w:val="00C27A7C"/>
    <w:rsid w:val="00C50310"/>
    <w:rsid w:val="00C5553F"/>
    <w:rsid w:val="00CA08ED"/>
    <w:rsid w:val="00CF183B"/>
    <w:rsid w:val="00D162A8"/>
    <w:rsid w:val="00D25A14"/>
    <w:rsid w:val="00D375CD"/>
    <w:rsid w:val="00D553A2"/>
    <w:rsid w:val="00D774D3"/>
    <w:rsid w:val="00D904E8"/>
    <w:rsid w:val="00DA08C3"/>
    <w:rsid w:val="00DB5A3E"/>
    <w:rsid w:val="00DC22AA"/>
    <w:rsid w:val="00DD4812"/>
    <w:rsid w:val="00DF74DD"/>
    <w:rsid w:val="00E25AD0"/>
    <w:rsid w:val="00EB2A9F"/>
    <w:rsid w:val="00EB6350"/>
    <w:rsid w:val="00F15B57"/>
    <w:rsid w:val="00F23514"/>
    <w:rsid w:val="00F427DB"/>
    <w:rsid w:val="00F46179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A1B628"/>
  <w15:docId w15:val="{2F710E6C-6F3D-4A47-8C47-C1654D67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665293"/>
    <w:rPr>
      <w:rFonts w:ascii="Calibri" w:hAnsi="Calibri"/>
      <w:b/>
      <w:sz w:val="2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665293"/>
    <w:rPr>
      <w:rFonts w:ascii="Calibri" w:hAnsi="Calibri"/>
      <w:sz w:val="24"/>
      <w:lang w:val="fr-FR" w:eastAsia="en-US"/>
    </w:rPr>
  </w:style>
  <w:style w:type="paragraph" w:customStyle="1" w:styleId="Default">
    <w:name w:val="Default"/>
    <w:rsid w:val="00F461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List Paragraph (numbered (a)),WB Para,List Paragraph1,Bullets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F4617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ListParagraphChar">
    <w:name w:val="List Paragraph Char"/>
    <w:aliases w:val="List Paragraph (numbered (a)) Char,WB Para Char,List Paragraph1 Char,Bullets Char,Lapis Bulleted List Char,Dot pt Char,F5 List Paragraph Char,No Spacing1 Char,List Paragraph Char Char Char Char,Indicator Text Char,Bullet 1 Char"/>
    <w:basedOn w:val="DefaultParagraphFont"/>
    <w:link w:val="ListParagraph"/>
    <w:uiPriority w:val="34"/>
    <w:locked/>
    <w:rsid w:val="00F46179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BA69CF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A69C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69C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Financial-Regulations/S-GEN-REG_RGTFIN-2018-PDF-F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ii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0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blue\dfs\sgo\INT_AUDIT\7.%20Internal%20Audits\Previous%20Follow-up%20registers\Internal%20audits%20-%20Follow-up%20register%20October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CH" sz="1400" b="0" i="0" baseline="0">
                <a:effectLst/>
              </a:rPr>
              <a:t>Importance des recommandations en cours/retardées</a:t>
            </a:r>
            <a:endParaRPr lang="en-US" sz="1400">
              <a:effectLst/>
            </a:endParaRPr>
          </a:p>
        </c:rich>
      </c:tx>
      <c:layout>
        <c:manualLayout>
          <c:xMode val="edge"/>
          <c:yMode val="edge"/>
          <c:x val="0.11520202020202021"/>
          <c:y val="6.452418447694038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3694444444444446"/>
          <c:w val="0.90286351706036749"/>
          <c:h val="0.5358639545056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'[Internal audits - Follow-up register October 2019.xls]Statistics'!$O$38</c:f>
              <c:strCache>
                <c:ptCount val="1"/>
                <c:pt idx="0">
                  <c:v>Critical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</a:ln>
          </c:spPr>
          <c:invertIfNegative val="0"/>
          <c:cat>
            <c:numRef>
              <c:f>'[Internal audits - Follow-up register October 2019.xls]Statistics'!$N$39:$N$47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'[Internal audits - Follow-up register October 2019.xls]Statistics'!$O$39:$O$47</c:f>
              <c:numCache>
                <c:formatCode>General</c:formatCode>
                <c:ptCount val="9"/>
                <c:pt idx="4">
                  <c:v>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0A-414B-9384-456B44AF291D}"/>
            </c:ext>
          </c:extLst>
        </c:ser>
        <c:ser>
          <c:idx val="1"/>
          <c:order val="1"/>
          <c:tx>
            <c:strRef>
              <c:f>'[Internal audits - Follow-up register October 2019.xls]Statistics'!$P$38</c:f>
              <c:strCache>
                <c:ptCount val="1"/>
                <c:pt idx="0">
                  <c:v>High 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cat>
            <c:numRef>
              <c:f>'[Internal audits - Follow-up register October 2019.xls]Statistics'!$N$39:$N$47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'[Internal audits - Follow-up register October 2019.xls]Statistics'!$P$39:$P$47</c:f>
              <c:numCache>
                <c:formatCode>General</c:formatCode>
                <c:ptCount val="9"/>
                <c:pt idx="0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0A-414B-9384-456B44AF291D}"/>
            </c:ext>
          </c:extLst>
        </c:ser>
        <c:ser>
          <c:idx val="2"/>
          <c:order val="2"/>
          <c:tx>
            <c:strRef>
              <c:f>'[Internal audits - Follow-up register October 2019.xls]Statistics'!$Q$38</c:f>
              <c:strCache>
                <c:ptCount val="1"/>
                <c:pt idx="0">
                  <c:v>Medium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numRef>
              <c:f>'[Internal audits - Follow-up register October 2019.xls]Statistics'!$N$39:$N$47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'[Internal audits - Follow-up register October 2019.xls]Statistics'!$Q$39:$Q$47</c:f>
              <c:numCache>
                <c:formatCode>General</c:formatCode>
                <c:ptCount val="9"/>
                <c:pt idx="0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7</c:v>
                </c:pt>
                <c:pt idx="7">
                  <c:v>7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0A-414B-9384-456B44AF291D}"/>
            </c:ext>
          </c:extLst>
        </c:ser>
        <c:ser>
          <c:idx val="3"/>
          <c:order val="3"/>
          <c:tx>
            <c:strRef>
              <c:f>'[Internal audits - Follow-up register October 2019.xls]Statistics'!$R$38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cat>
            <c:numRef>
              <c:f>'[Internal audits - Follow-up register October 2019.xls]Statistics'!$N$39:$N$47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'[Internal audits - Follow-up register October 2019.xls]Statistics'!$R$39:$R$47</c:f>
              <c:numCache>
                <c:formatCode>General</c:formatCode>
                <c:ptCount val="9"/>
                <c:pt idx="0">
                  <c:v>1</c:v>
                </c:pt>
                <c:pt idx="2">
                  <c:v>0</c:v>
                </c:pt>
                <c:pt idx="5">
                  <c:v>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0A-414B-9384-456B44AF2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5740511"/>
        <c:axId val="1"/>
      </c:barChart>
      <c:catAx>
        <c:axId val="185574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5574051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0370304943072268"/>
          <c:y val="0.8943957709511664"/>
          <c:w val="0.38852095608431991"/>
          <c:h val="7.2772540756349091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0.44543</cdr:x>
      <cdr:y>0.89856</cdr:y>
    </cdr:from>
    <cdr:to>
      <cdr:x>0.5074</cdr:x>
      <cdr:y>0.95451</cdr:y>
    </cdr:to>
    <cdr:sp macro="" textlink="">
      <cdr:nvSpPr>
        <cdr:cNvPr id="3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40153" y="1997049"/>
          <a:ext cx="311658" cy="12435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800"/>
            </a:spcBef>
            <a:spcAft>
              <a:spcPts val="0"/>
            </a:spcAft>
          </a:pPr>
          <a:r>
            <a:rPr lang="fr-CH" sz="800">
              <a:effectLst/>
              <a:latin typeface="+mn-lt"/>
              <a:ea typeface="+mn-ea"/>
              <a:cs typeface="+mn-cs"/>
            </a:rPr>
            <a:t>Élevée</a:t>
          </a:r>
          <a:endParaRPr lang="en-US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0.53091</cdr:x>
      <cdr:y>0.89856</cdr:y>
    </cdr:from>
    <cdr:to>
      <cdr:x>0.61639</cdr:x>
      <cdr:y>0.98085</cdr:y>
    </cdr:to>
    <cdr:sp macro="" textlink="">
      <cdr:nvSpPr>
        <cdr:cNvPr id="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70048" y="1997049"/>
          <a:ext cx="429895" cy="18288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</a:pPr>
          <a:r>
            <a:rPr lang="fr-FR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Moyenne</a:t>
          </a:r>
          <a:endParaRPr lang="en-US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9BDF-3A00-485D-8417-96142CDC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441AD-EDED-4682-AD2F-9A35EAE20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E3518-06E3-420C-882E-CBCA05951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9B332-46A2-4E54-93D8-38966031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2</TotalTime>
  <Pages>7</Pages>
  <Words>2620</Words>
  <Characters>14084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16671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l'auditeur interne sur les activités d'audit interne</dc:title>
  <dc:subject>Conseil 2020</dc:subject>
  <dc:creator>Royer, Veronique</dc:creator>
  <cp:keywords>C2020, C20</cp:keywords>
  <dc:description/>
  <cp:lastModifiedBy>Brouard, Ricarda</cp:lastModifiedBy>
  <cp:revision>2</cp:revision>
  <cp:lastPrinted>2000-07-18T08:55:00Z</cp:lastPrinted>
  <dcterms:created xsi:type="dcterms:W3CDTF">2020-05-19T08:23:00Z</dcterms:created>
  <dcterms:modified xsi:type="dcterms:W3CDTF">2020-05-19T08:23:00Z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