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8D839C6" w14:textId="77777777" w:rsidTr="006C7CC0">
        <w:trPr>
          <w:cantSplit/>
          <w:trHeight w:val="20"/>
        </w:trPr>
        <w:tc>
          <w:tcPr>
            <w:tcW w:w="6620" w:type="dxa"/>
          </w:tcPr>
          <w:p w14:paraId="366C899F" w14:textId="77777777" w:rsidR="00290728" w:rsidRPr="00290728" w:rsidRDefault="00290728" w:rsidP="0026373E">
            <w:pPr>
              <w:spacing w:before="240"/>
              <w:jc w:val="left"/>
              <w:rPr>
                <w:b/>
                <w:bCs/>
                <w:rtl/>
                <w:lang w:bidi="ar-EG"/>
              </w:rPr>
            </w:pPr>
            <w:r w:rsidRPr="006A793B">
              <w:rPr>
                <w:rFonts w:hint="cs"/>
                <w:b/>
                <w:bCs/>
                <w:w w:val="110"/>
                <w:sz w:val="30"/>
                <w:szCs w:val="30"/>
                <w:rtl/>
                <w:lang w:bidi="ar-EG"/>
              </w:rPr>
              <w:t xml:space="preserve">ال‍مجلس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7CE85A2C"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1FC5C17F" wp14:editId="009CEF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FA67201" w14:textId="77777777" w:rsidTr="009F66A8">
        <w:trPr>
          <w:cantSplit/>
          <w:trHeight w:val="20"/>
        </w:trPr>
        <w:tc>
          <w:tcPr>
            <w:tcW w:w="6620" w:type="dxa"/>
            <w:tcBorders>
              <w:bottom w:val="single" w:sz="12" w:space="0" w:color="auto"/>
            </w:tcBorders>
          </w:tcPr>
          <w:p w14:paraId="1A2D616F"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9FFA694" w14:textId="77777777" w:rsidR="00290728" w:rsidRPr="006A793B" w:rsidRDefault="00290728" w:rsidP="006A793B">
            <w:pPr>
              <w:spacing w:before="0" w:line="120" w:lineRule="auto"/>
              <w:rPr>
                <w:lang w:bidi="ar-EG"/>
              </w:rPr>
            </w:pPr>
          </w:p>
        </w:tc>
      </w:tr>
      <w:tr w:rsidR="00290728" w:rsidRPr="00290728" w14:paraId="3C09BC7A" w14:textId="77777777" w:rsidTr="009F66A8">
        <w:trPr>
          <w:cantSplit/>
          <w:trHeight w:val="20"/>
        </w:trPr>
        <w:tc>
          <w:tcPr>
            <w:tcW w:w="6620" w:type="dxa"/>
            <w:tcBorders>
              <w:top w:val="single" w:sz="12" w:space="0" w:color="auto"/>
            </w:tcBorders>
          </w:tcPr>
          <w:p w14:paraId="6F705BF7"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4484F722" w14:textId="77777777" w:rsidR="00290728" w:rsidRPr="00290728" w:rsidRDefault="00290728" w:rsidP="00290728">
            <w:pPr>
              <w:spacing w:before="60" w:after="60" w:line="260" w:lineRule="exact"/>
              <w:rPr>
                <w:b/>
                <w:bCs/>
                <w:lang w:bidi="ar-SY"/>
              </w:rPr>
            </w:pPr>
          </w:p>
        </w:tc>
      </w:tr>
      <w:tr w:rsidR="00290728" w:rsidRPr="00290728" w14:paraId="3DDECEEC" w14:textId="77777777" w:rsidTr="009F66A8">
        <w:trPr>
          <w:cantSplit/>
        </w:trPr>
        <w:tc>
          <w:tcPr>
            <w:tcW w:w="6620" w:type="dxa"/>
          </w:tcPr>
          <w:p w14:paraId="5C906817" w14:textId="2DBC0F9B" w:rsidR="00290728" w:rsidRPr="002F71D8" w:rsidRDefault="001B03B1" w:rsidP="001B03B1">
            <w:pPr>
              <w:spacing w:before="20" w:after="20" w:line="300" w:lineRule="exact"/>
              <w:rPr>
                <w:b/>
                <w:bCs/>
                <w:lang w:bidi="ar-EG"/>
              </w:rPr>
            </w:pPr>
            <w:r w:rsidRPr="001B03B1">
              <w:rPr>
                <w:rFonts w:hint="cs"/>
                <w:b/>
                <w:bCs/>
                <w:rtl/>
                <w:lang w:bidi="ar-EG"/>
              </w:rPr>
              <w:t xml:space="preserve">بند جدول الأعمال: </w:t>
            </w:r>
            <w:r w:rsidRPr="001B03B1">
              <w:rPr>
                <w:b/>
                <w:bCs/>
                <w:lang w:bidi="ar-EG"/>
              </w:rPr>
              <w:t>ADM 18</w:t>
            </w:r>
          </w:p>
        </w:tc>
        <w:tc>
          <w:tcPr>
            <w:tcW w:w="3052" w:type="dxa"/>
            <w:vAlign w:val="center"/>
          </w:tcPr>
          <w:p w14:paraId="2AF6170B" w14:textId="76FF12B4"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1B03B1">
              <w:rPr>
                <w:b/>
                <w:bCs/>
                <w:lang w:bidi="ar-SY"/>
              </w:rPr>
              <w:t>44</w:t>
            </w:r>
            <w:r w:rsidRPr="002F71D8">
              <w:rPr>
                <w:b/>
                <w:bCs/>
                <w:lang w:bidi="ar-SY"/>
              </w:rPr>
              <w:t>-A</w:t>
            </w:r>
          </w:p>
        </w:tc>
      </w:tr>
      <w:tr w:rsidR="00290728" w:rsidRPr="00290728" w14:paraId="007AE18B" w14:textId="77777777" w:rsidTr="009F66A8">
        <w:trPr>
          <w:cantSplit/>
        </w:trPr>
        <w:tc>
          <w:tcPr>
            <w:tcW w:w="6620" w:type="dxa"/>
          </w:tcPr>
          <w:p w14:paraId="27B509FB" w14:textId="77777777" w:rsidR="00290728" w:rsidRPr="002F71D8" w:rsidRDefault="00290728" w:rsidP="003C6B4F">
            <w:pPr>
              <w:spacing w:before="20" w:after="20" w:line="300" w:lineRule="exact"/>
              <w:rPr>
                <w:b/>
                <w:bCs/>
                <w:lang w:bidi="ar-SY"/>
              </w:rPr>
            </w:pPr>
          </w:p>
        </w:tc>
        <w:tc>
          <w:tcPr>
            <w:tcW w:w="3052" w:type="dxa"/>
            <w:vAlign w:val="center"/>
          </w:tcPr>
          <w:p w14:paraId="674C9848" w14:textId="45474466" w:rsidR="00290728" w:rsidRPr="002F71D8" w:rsidRDefault="001B03B1" w:rsidP="003C6B4F">
            <w:pPr>
              <w:spacing w:before="20" w:after="20" w:line="300" w:lineRule="exact"/>
              <w:rPr>
                <w:b/>
                <w:bCs/>
                <w:rtl/>
                <w:lang w:bidi="ar-EG"/>
              </w:rPr>
            </w:pPr>
            <w:r>
              <w:rPr>
                <w:b/>
                <w:bCs/>
                <w:lang w:bidi="ar-SY"/>
              </w:rPr>
              <w:t>27</w:t>
            </w:r>
            <w:r w:rsidR="00290728" w:rsidRPr="002F71D8">
              <w:rPr>
                <w:rFonts w:hint="cs"/>
                <w:b/>
                <w:bCs/>
                <w:rtl/>
                <w:lang w:bidi="ar-EG"/>
              </w:rPr>
              <w:t xml:space="preserve"> </w:t>
            </w:r>
            <w:r>
              <w:rPr>
                <w:rFonts w:hint="cs"/>
                <w:b/>
                <w:bCs/>
                <w:rtl/>
                <w:lang w:bidi="ar-EG"/>
              </w:rPr>
              <w:t>أبريل</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0FAEFA16" w14:textId="77777777" w:rsidTr="009F66A8">
        <w:trPr>
          <w:cantSplit/>
        </w:trPr>
        <w:tc>
          <w:tcPr>
            <w:tcW w:w="6620" w:type="dxa"/>
          </w:tcPr>
          <w:p w14:paraId="052B4DBE" w14:textId="77777777" w:rsidR="00290728" w:rsidRPr="002F71D8" w:rsidRDefault="00290728" w:rsidP="003C6B4F">
            <w:pPr>
              <w:spacing w:before="20" w:after="20" w:line="300" w:lineRule="exact"/>
              <w:rPr>
                <w:b/>
                <w:bCs/>
                <w:lang w:bidi="ar-EG"/>
              </w:rPr>
            </w:pPr>
          </w:p>
        </w:tc>
        <w:tc>
          <w:tcPr>
            <w:tcW w:w="3052" w:type="dxa"/>
            <w:vAlign w:val="center"/>
          </w:tcPr>
          <w:p w14:paraId="695226FF" w14:textId="77777777" w:rsidR="00290728" w:rsidRPr="001B03B1" w:rsidRDefault="00290728" w:rsidP="003C6B4F">
            <w:pPr>
              <w:spacing w:before="20" w:after="20" w:line="300" w:lineRule="exact"/>
              <w:rPr>
                <w:b/>
                <w:bCs/>
                <w:lang w:bidi="ar-SY"/>
              </w:rPr>
            </w:pPr>
            <w:r w:rsidRPr="001B03B1">
              <w:rPr>
                <w:b/>
                <w:bCs/>
                <w:rtl/>
                <w:lang w:bidi="ar-EG"/>
              </w:rPr>
              <w:t xml:space="preserve">الأصل: </w:t>
            </w:r>
            <w:r w:rsidR="006A793B" w:rsidRPr="001B03B1">
              <w:rPr>
                <w:rFonts w:hint="cs"/>
                <w:b/>
                <w:bCs/>
                <w:rtl/>
                <w:lang w:bidi="ar-EG"/>
              </w:rPr>
              <w:t>بالإنكليزية</w:t>
            </w:r>
          </w:p>
        </w:tc>
      </w:tr>
      <w:tr w:rsidR="001B03B1" w:rsidRPr="00290728" w14:paraId="54DF38B6" w14:textId="77777777" w:rsidTr="009F66A8">
        <w:trPr>
          <w:cantSplit/>
        </w:trPr>
        <w:tc>
          <w:tcPr>
            <w:tcW w:w="9672" w:type="dxa"/>
            <w:gridSpan w:val="2"/>
          </w:tcPr>
          <w:p w14:paraId="46BCD25E" w14:textId="1A0006DD" w:rsidR="001B03B1" w:rsidRPr="00290728" w:rsidRDefault="001B03B1" w:rsidP="001B03B1">
            <w:pPr>
              <w:pStyle w:val="Source"/>
              <w:rPr>
                <w:rtl/>
                <w:lang w:bidi="ar-EG"/>
              </w:rPr>
            </w:pPr>
            <w:r w:rsidRPr="002A2C11">
              <w:rPr>
                <w:rFonts w:hint="cs"/>
                <w:rtl/>
                <w:lang w:bidi="ar-SY"/>
              </w:rPr>
              <w:t>تقرير من الأمين العام</w:t>
            </w:r>
          </w:p>
        </w:tc>
      </w:tr>
      <w:tr w:rsidR="001B03B1" w:rsidRPr="00290728" w14:paraId="28FED561" w14:textId="77777777" w:rsidTr="009F66A8">
        <w:trPr>
          <w:cantSplit/>
        </w:trPr>
        <w:tc>
          <w:tcPr>
            <w:tcW w:w="9672" w:type="dxa"/>
            <w:gridSpan w:val="2"/>
          </w:tcPr>
          <w:p w14:paraId="128F92C9" w14:textId="30DA46EB" w:rsidR="001B03B1" w:rsidRPr="00383829" w:rsidRDefault="001B03B1" w:rsidP="001B03B1">
            <w:pPr>
              <w:pStyle w:val="Title1"/>
              <w:rPr>
                <w:rtl/>
              </w:rPr>
            </w:pPr>
            <w:r w:rsidRPr="002A2C11">
              <w:rPr>
                <w:rtl/>
              </w:rPr>
              <w:t xml:space="preserve">تقرير </w:t>
            </w:r>
            <w:r w:rsidRPr="002A2C11">
              <w:rPr>
                <w:rFonts w:hint="cs"/>
                <w:rtl/>
              </w:rPr>
              <w:t>المراجع</w:t>
            </w:r>
            <w:r w:rsidRPr="002A2C11">
              <w:rPr>
                <w:rtl/>
              </w:rPr>
              <w:t xml:space="preserve"> الداخلي عن أنشطة </w:t>
            </w:r>
            <w:r w:rsidRPr="002A2C11">
              <w:rPr>
                <w:rFonts w:hint="cs"/>
                <w:rtl/>
              </w:rPr>
              <w:t>المراجعة</w:t>
            </w:r>
            <w:r w:rsidRPr="002A2C11">
              <w:rPr>
                <w:rtl/>
              </w:rPr>
              <w:t xml:space="preserve"> الداخلية</w:t>
            </w:r>
          </w:p>
        </w:tc>
      </w:tr>
      <w:tr w:rsidR="00DC5FB0" w:rsidRPr="00290728" w14:paraId="405923FA" w14:textId="77777777" w:rsidTr="009F66A8">
        <w:trPr>
          <w:cantSplit/>
        </w:trPr>
        <w:tc>
          <w:tcPr>
            <w:tcW w:w="9672" w:type="dxa"/>
            <w:gridSpan w:val="2"/>
          </w:tcPr>
          <w:p w14:paraId="534CB218" w14:textId="77777777" w:rsidR="00DC5FB0" w:rsidRPr="00383829" w:rsidRDefault="00DC5FB0" w:rsidP="006A793B">
            <w:pPr>
              <w:rPr>
                <w:rtl/>
              </w:rPr>
            </w:pPr>
          </w:p>
        </w:tc>
      </w:tr>
    </w:tbl>
    <w:p w14:paraId="36C5FED2"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5CFB4190" w14:textId="77777777" w:rsidTr="00952F86">
        <w:trPr>
          <w:jc w:val="center"/>
        </w:trPr>
        <w:tc>
          <w:tcPr>
            <w:tcW w:w="8080" w:type="dxa"/>
          </w:tcPr>
          <w:p w14:paraId="64CD7F53" w14:textId="77777777" w:rsidR="00290728" w:rsidRPr="00290728" w:rsidRDefault="00290728" w:rsidP="00706D7A">
            <w:pPr>
              <w:rPr>
                <w:b/>
                <w:bCs/>
                <w:rtl/>
                <w:lang w:bidi="ar-SY"/>
              </w:rPr>
            </w:pPr>
            <w:r w:rsidRPr="00290728">
              <w:rPr>
                <w:rFonts w:hint="cs"/>
                <w:b/>
                <w:bCs/>
                <w:rtl/>
                <w:lang w:bidi="ar-SY"/>
              </w:rPr>
              <w:t>ملخص</w:t>
            </w:r>
          </w:p>
          <w:p w14:paraId="564E8CC0" w14:textId="77777777" w:rsidR="001B03B1" w:rsidRDefault="001B03B1" w:rsidP="001B03B1">
            <w:pPr>
              <w:rPr>
                <w:rtl/>
                <w:lang w:bidi="ar-SY"/>
              </w:rPr>
            </w:pPr>
            <w:r w:rsidRPr="002A2C11">
              <w:rPr>
                <w:rtl/>
              </w:rPr>
              <w:t>ي</w:t>
            </w:r>
            <w:r w:rsidRPr="002A2C11">
              <w:rPr>
                <w:rFonts w:hint="cs"/>
                <w:rtl/>
              </w:rPr>
              <w:t>ُغطي</w:t>
            </w:r>
            <w:r w:rsidRPr="002A2C11">
              <w:rPr>
                <w:rtl/>
              </w:rPr>
              <w:t xml:space="preserve"> هذا التقرير </w:t>
            </w:r>
            <w:r w:rsidRPr="002A2C11">
              <w:rPr>
                <w:rFonts w:hint="cs"/>
                <w:rtl/>
                <w:lang w:bidi="ar-EG"/>
              </w:rPr>
              <w:t>أنشطة المراجعة الداخلية</w:t>
            </w:r>
            <w:r w:rsidRPr="002A2C11">
              <w:rPr>
                <w:rtl/>
              </w:rPr>
              <w:t xml:space="preserve"> في</w:t>
            </w:r>
            <w:r w:rsidRPr="002A2C11">
              <w:rPr>
                <w:rFonts w:hint="cs"/>
                <w:rtl/>
              </w:rPr>
              <w:t> </w:t>
            </w:r>
            <w:r w:rsidRPr="002A2C11">
              <w:rPr>
                <w:rtl/>
              </w:rPr>
              <w:t xml:space="preserve">الفترة الممتدة من </w:t>
            </w:r>
            <w:r>
              <w:rPr>
                <w:rFonts w:hint="cs"/>
                <w:rtl/>
              </w:rPr>
              <w:t>مايو</w:t>
            </w:r>
            <w:r w:rsidRPr="002A2C11">
              <w:rPr>
                <w:rFonts w:hint="cs"/>
                <w:rtl/>
              </w:rPr>
              <w:t> </w:t>
            </w:r>
            <w:r w:rsidRPr="002A2C11">
              <w:rPr>
                <w:lang w:bidi="ar-SY"/>
              </w:rPr>
              <w:t>201</w:t>
            </w:r>
            <w:r>
              <w:rPr>
                <w:lang w:bidi="ar-SY"/>
              </w:rPr>
              <w:t>9</w:t>
            </w:r>
            <w:r w:rsidRPr="002A2C11">
              <w:rPr>
                <w:rtl/>
              </w:rPr>
              <w:t xml:space="preserve"> إلى </w:t>
            </w:r>
            <w:r w:rsidRPr="002A2C11">
              <w:rPr>
                <w:rFonts w:hint="cs"/>
                <w:rtl/>
                <w:lang w:bidi="ar-EG"/>
              </w:rPr>
              <w:t>أبريل</w:t>
            </w:r>
            <w:r w:rsidRPr="002A2C11">
              <w:rPr>
                <w:rFonts w:hint="eastAsia"/>
                <w:rtl/>
                <w:lang w:bidi="ar-EG"/>
              </w:rPr>
              <w:t> </w:t>
            </w:r>
            <w:r>
              <w:rPr>
                <w:lang w:bidi="ar-SY"/>
              </w:rPr>
              <w:t>2020</w:t>
            </w:r>
            <w:r w:rsidRPr="002A2C11">
              <w:rPr>
                <w:rtl/>
              </w:rPr>
              <w:t>.</w:t>
            </w:r>
          </w:p>
          <w:p w14:paraId="552571F9" w14:textId="77777777" w:rsidR="00290728" w:rsidRPr="00290728" w:rsidRDefault="00290728" w:rsidP="00706D7A">
            <w:pPr>
              <w:rPr>
                <w:b/>
                <w:bCs/>
                <w:rtl/>
                <w:lang w:bidi="ar-SY"/>
              </w:rPr>
            </w:pPr>
            <w:r w:rsidRPr="00290728">
              <w:rPr>
                <w:rFonts w:hint="cs"/>
                <w:b/>
                <w:bCs/>
                <w:rtl/>
                <w:lang w:bidi="ar-SY"/>
              </w:rPr>
              <w:t>الإجراء المطلوب</w:t>
            </w:r>
          </w:p>
          <w:p w14:paraId="3E20C87B" w14:textId="77777777" w:rsidR="001B03B1" w:rsidRDefault="001B03B1" w:rsidP="001B03B1">
            <w:pPr>
              <w:rPr>
                <w:rtl/>
                <w:lang w:bidi="ar-SY"/>
              </w:rPr>
            </w:pPr>
            <w:r w:rsidRPr="002A2C11">
              <w:rPr>
                <w:rFonts w:hint="cs"/>
                <w:rtl/>
                <w:lang w:bidi="ar-EG"/>
              </w:rPr>
              <w:t xml:space="preserve">يُحال هذا التقرير إلى المجلس لكي </w:t>
            </w:r>
            <w:r w:rsidRPr="002A2C11">
              <w:rPr>
                <w:rFonts w:hint="cs"/>
                <w:b/>
                <w:bCs/>
                <w:rtl/>
                <w:lang w:bidi="ar-EG"/>
              </w:rPr>
              <w:t>ينظر فيه</w:t>
            </w:r>
            <w:r w:rsidRPr="002A2C11">
              <w:rPr>
                <w:rFonts w:hint="cs"/>
                <w:rtl/>
                <w:lang w:bidi="ar-EG"/>
              </w:rPr>
              <w:t>.</w:t>
            </w:r>
          </w:p>
          <w:p w14:paraId="3F0C5181"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69F8586" w14:textId="77777777" w:rsidR="00290728" w:rsidRPr="00290728" w:rsidRDefault="00290728" w:rsidP="00290728">
            <w:pPr>
              <w:rPr>
                <w:b/>
                <w:bCs/>
                <w:rtl/>
                <w:lang w:bidi="ar-SY"/>
              </w:rPr>
            </w:pPr>
            <w:r w:rsidRPr="00290728">
              <w:rPr>
                <w:rFonts w:hint="cs"/>
                <w:b/>
                <w:bCs/>
                <w:rtl/>
                <w:lang w:bidi="ar-SY"/>
              </w:rPr>
              <w:t>المراجع</w:t>
            </w:r>
          </w:p>
          <w:p w14:paraId="40D24058" w14:textId="48E03F8C" w:rsidR="00290728" w:rsidRPr="00290728" w:rsidRDefault="00771207" w:rsidP="005409AC">
            <w:pPr>
              <w:spacing w:after="120"/>
              <w:jc w:val="left"/>
              <w:rPr>
                <w:i/>
                <w:iCs/>
                <w:rtl/>
                <w:lang w:bidi="ar-SY"/>
              </w:rPr>
            </w:pPr>
            <w:hyperlink r:id="rId12" w:history="1">
              <w:r w:rsidR="001B03B1" w:rsidRPr="00655FD5">
                <w:rPr>
                  <w:rStyle w:val="Hyperlink"/>
                  <w:i/>
                  <w:iCs/>
                  <w:rtl/>
                </w:rPr>
                <w:t xml:space="preserve">اللوائح المالية والقواعد المالية للاتحاد </w:t>
              </w:r>
              <w:r w:rsidR="001B03B1" w:rsidRPr="00655FD5">
                <w:rPr>
                  <w:rStyle w:val="Hyperlink"/>
                  <w:i/>
                  <w:iCs/>
                  <w:lang w:bidi="ar-SY"/>
                </w:rPr>
                <w:t>(2018)</w:t>
              </w:r>
              <w:r w:rsidR="001B03B1" w:rsidRPr="00655FD5">
                <w:rPr>
                  <w:rStyle w:val="Hyperlink"/>
                  <w:i/>
                  <w:iCs/>
                  <w:rtl/>
                </w:rPr>
                <w:t xml:space="preserve">، المادة </w:t>
              </w:r>
              <w:r w:rsidR="001B03B1" w:rsidRPr="00655FD5">
                <w:rPr>
                  <w:rStyle w:val="Hyperlink"/>
                  <w:i/>
                  <w:iCs/>
                  <w:lang w:bidi="ar-SY"/>
                </w:rPr>
                <w:t>29</w:t>
              </w:r>
            </w:hyperlink>
          </w:p>
        </w:tc>
      </w:tr>
    </w:tbl>
    <w:p w14:paraId="6AA8E2E0" w14:textId="27965749" w:rsidR="001B03B1" w:rsidRDefault="001B03B1" w:rsidP="001B03B1">
      <w:pPr>
        <w:rPr>
          <w:rtl/>
        </w:rPr>
      </w:pPr>
    </w:p>
    <w:p w14:paraId="4D9F5446" w14:textId="77777777" w:rsidR="001B03B1" w:rsidRDefault="001B03B1">
      <w:pPr>
        <w:tabs>
          <w:tab w:val="clear" w:pos="794"/>
        </w:tabs>
        <w:bidi w:val="0"/>
        <w:spacing w:before="0" w:after="160" w:line="259" w:lineRule="auto"/>
        <w:jc w:val="left"/>
        <w:rPr>
          <w:rtl/>
        </w:rPr>
      </w:pPr>
      <w:r>
        <w:rPr>
          <w:rtl/>
        </w:rPr>
        <w:br w:type="page"/>
      </w:r>
    </w:p>
    <w:p w14:paraId="66F0FF25" w14:textId="5206D1BB" w:rsidR="001B03B1" w:rsidRPr="00294638" w:rsidRDefault="001B03B1" w:rsidP="001B03B1">
      <w:pPr>
        <w:pStyle w:val="Heading1"/>
      </w:pPr>
      <w:r w:rsidRPr="00294638">
        <w:rPr>
          <w:rtl/>
        </w:rPr>
        <w:lastRenderedPageBreak/>
        <w:t>مقدمة</w:t>
      </w:r>
    </w:p>
    <w:p w14:paraId="46792042" w14:textId="77777777" w:rsidR="001B03B1" w:rsidRPr="00813B86" w:rsidRDefault="001B03B1" w:rsidP="001B03B1">
      <w:pPr>
        <w:rPr>
          <w:rtl/>
        </w:rPr>
      </w:pPr>
      <w:r w:rsidRPr="00813B86">
        <w:rPr>
          <w:lang w:bidi="ar-SY"/>
        </w:rPr>
        <w:t>1</w:t>
      </w:r>
      <w:r w:rsidRPr="00813B86">
        <w:rPr>
          <w:rtl/>
        </w:rPr>
        <w:tab/>
        <w:t>يُحال هذا التقرير إلى</w:t>
      </w:r>
      <w:r>
        <w:t xml:space="preserve"> </w:t>
      </w:r>
      <w:r w:rsidRPr="00813B86">
        <w:rPr>
          <w:rtl/>
        </w:rPr>
        <w:t>مجلس</w:t>
      </w:r>
      <w:r>
        <w:rPr>
          <w:rFonts w:hint="cs"/>
          <w:rtl/>
          <w:lang w:bidi="ar-EG"/>
        </w:rPr>
        <w:t xml:space="preserve"> الاتحاد</w:t>
      </w:r>
      <w:r>
        <w:rPr>
          <w:rFonts w:hint="cs"/>
          <w:rtl/>
        </w:rPr>
        <w:t>، و</w:t>
      </w:r>
      <w:r w:rsidRPr="00813B86">
        <w:rPr>
          <w:rtl/>
        </w:rPr>
        <w:t>قد أُعد عملاً بالمادة</w:t>
      </w:r>
      <w:r>
        <w:rPr>
          <w:rFonts w:hint="cs"/>
          <w:rtl/>
        </w:rPr>
        <w:t> </w:t>
      </w:r>
      <w:r w:rsidRPr="00813B86">
        <w:rPr>
          <w:lang w:bidi="ar-SY"/>
        </w:rPr>
        <w:t>29</w:t>
      </w:r>
      <w:r w:rsidRPr="00813B86">
        <w:rPr>
          <w:rtl/>
        </w:rPr>
        <w:t xml:space="preserve"> من اللوائح المالية</w:t>
      </w:r>
      <w:r>
        <w:rPr>
          <w:rFonts w:hint="cs"/>
          <w:rtl/>
        </w:rPr>
        <w:t> </w:t>
      </w:r>
      <w:r w:rsidRPr="00813B86">
        <w:rPr>
          <w:lang w:bidi="ar-SY"/>
        </w:rPr>
        <w:t>(2010)</w:t>
      </w:r>
      <w:r w:rsidRPr="00813B86">
        <w:rPr>
          <w:rtl/>
        </w:rPr>
        <w:t>. ووفقاً لميثاق المراجعة الداخلية في الاتحاد</w:t>
      </w:r>
      <w:r w:rsidRPr="00813B86">
        <w:rPr>
          <w:rFonts w:hint="cs"/>
          <w:rtl/>
        </w:rPr>
        <w:t>،</w:t>
      </w:r>
      <w:r w:rsidRPr="00813B86">
        <w:rPr>
          <w:rStyle w:val="FootnoteReference"/>
          <w:rtl/>
        </w:rPr>
        <w:footnoteReference w:id="1"/>
      </w:r>
      <w:r w:rsidRPr="00813B86">
        <w:rPr>
          <w:rtl/>
        </w:rPr>
        <w:t xml:space="preserve"> يقدَّم هذا التقرير إلى الأمين العام ويُعرض على المجلس لكي ينظر فيه. وي</w:t>
      </w:r>
      <w:r w:rsidRPr="00813B86">
        <w:rPr>
          <w:rFonts w:hint="cs"/>
          <w:rtl/>
        </w:rPr>
        <w:t>غطي</w:t>
      </w:r>
      <w:r w:rsidRPr="00813B86">
        <w:rPr>
          <w:rtl/>
        </w:rPr>
        <w:t xml:space="preserve"> هذا التقرير الأنشطة </w:t>
      </w:r>
      <w:proofErr w:type="spellStart"/>
      <w:r w:rsidRPr="00813B86">
        <w:rPr>
          <w:rtl/>
        </w:rPr>
        <w:t>المضطلَع</w:t>
      </w:r>
      <w:proofErr w:type="spellEnd"/>
      <w:r w:rsidRPr="00813B86">
        <w:rPr>
          <w:rtl/>
        </w:rPr>
        <w:t xml:space="preserve"> بها في</w:t>
      </w:r>
      <w:r w:rsidRPr="00813B86">
        <w:rPr>
          <w:rFonts w:hint="cs"/>
          <w:rtl/>
        </w:rPr>
        <w:t> </w:t>
      </w:r>
      <w:r w:rsidRPr="00813B86">
        <w:rPr>
          <w:rtl/>
        </w:rPr>
        <w:t>الفترة الممتدة من ما</w:t>
      </w:r>
      <w:proofErr w:type="spellStart"/>
      <w:r>
        <w:rPr>
          <w:rFonts w:hint="cs"/>
          <w:rtl/>
          <w:lang w:bidi="ar-EG"/>
        </w:rPr>
        <w:t>يو</w:t>
      </w:r>
      <w:proofErr w:type="spellEnd"/>
      <w:r>
        <w:rPr>
          <w:rFonts w:hint="cs"/>
          <w:rtl/>
        </w:rPr>
        <w:t> </w:t>
      </w:r>
      <w:r w:rsidRPr="00D239D4">
        <w:rPr>
          <w:lang w:bidi="ar-SY"/>
        </w:rPr>
        <w:t>201</w:t>
      </w:r>
      <w:r>
        <w:rPr>
          <w:lang w:bidi="ar-SY"/>
        </w:rPr>
        <w:t>9</w:t>
      </w:r>
      <w:r w:rsidRPr="00D239D4">
        <w:rPr>
          <w:rtl/>
        </w:rPr>
        <w:t xml:space="preserve"> </w:t>
      </w:r>
      <w:r w:rsidRPr="00D239D4">
        <w:rPr>
          <w:rFonts w:hint="cs"/>
          <w:rtl/>
        </w:rPr>
        <w:t>إلى</w:t>
      </w:r>
      <w:r w:rsidRPr="00D239D4">
        <w:rPr>
          <w:rtl/>
        </w:rPr>
        <w:t xml:space="preserve"> </w:t>
      </w:r>
      <w:r w:rsidRPr="00D239D4">
        <w:rPr>
          <w:rFonts w:hint="cs"/>
          <w:rtl/>
          <w:lang w:bidi="ar-EG"/>
        </w:rPr>
        <w:t>أبريل</w:t>
      </w:r>
      <w:r>
        <w:rPr>
          <w:rFonts w:hint="eastAsia"/>
          <w:rtl/>
          <w:lang w:bidi="ar-EG"/>
        </w:rPr>
        <w:t> </w:t>
      </w:r>
      <w:r>
        <w:rPr>
          <w:lang w:bidi="ar-EG"/>
        </w:rPr>
        <w:t>2020</w:t>
      </w:r>
      <w:r w:rsidRPr="00D239D4">
        <w:rPr>
          <w:rtl/>
        </w:rPr>
        <w:t>.</w:t>
      </w:r>
    </w:p>
    <w:p w14:paraId="2FD75A72" w14:textId="77777777" w:rsidR="001B03B1" w:rsidRPr="00140B22" w:rsidRDefault="001B03B1" w:rsidP="001B03B1">
      <w:pPr>
        <w:rPr>
          <w:rtl/>
          <w:lang w:val="en-CA" w:bidi="ar-EG"/>
        </w:rPr>
      </w:pPr>
      <w:r w:rsidRPr="00D239D4">
        <w:t>2</w:t>
      </w:r>
      <w:r w:rsidRPr="00D239D4">
        <w:rPr>
          <w:rtl/>
          <w:lang w:bidi="ar-EG"/>
        </w:rPr>
        <w:tab/>
      </w:r>
      <w:r w:rsidRPr="00D239D4">
        <w:rPr>
          <w:rFonts w:hint="cs"/>
          <w:rtl/>
        </w:rPr>
        <w:t xml:space="preserve">وخلال الفترة المشمولة بالتقرير، تألفت وحدة المراجعة الداخلية من </w:t>
      </w:r>
      <w:r>
        <w:rPr>
          <w:rFonts w:hint="cs"/>
          <w:rtl/>
        </w:rPr>
        <w:t xml:space="preserve">ثلاثة </w:t>
      </w:r>
      <w:r w:rsidRPr="00D239D4">
        <w:rPr>
          <w:rFonts w:hint="cs"/>
          <w:rtl/>
        </w:rPr>
        <w:t>موظفين من الفئة الفنية</w:t>
      </w:r>
      <w:r w:rsidRPr="00D239D4">
        <w:rPr>
          <w:rFonts w:hint="eastAsia"/>
          <w:rtl/>
        </w:rPr>
        <w:t> </w:t>
      </w:r>
      <w:r w:rsidRPr="00D239D4">
        <w:rPr>
          <w:rFonts w:hint="cs"/>
          <w:rtl/>
        </w:rPr>
        <w:t>-</w:t>
      </w:r>
      <w:r>
        <w:rPr>
          <w:rFonts w:hint="eastAsia"/>
          <w:rtl/>
        </w:rPr>
        <w:t> </w:t>
      </w:r>
      <w:r w:rsidRPr="00D239D4">
        <w:rPr>
          <w:rFonts w:hint="cs"/>
          <w:rtl/>
        </w:rPr>
        <w:t>موظف بدرجة</w:t>
      </w:r>
      <w:r w:rsidRPr="00D239D4">
        <w:rPr>
          <w:rFonts w:hint="eastAsia"/>
          <w:rtl/>
        </w:rPr>
        <w:t> </w:t>
      </w:r>
      <w:r w:rsidRPr="00D239D4">
        <w:rPr>
          <w:rFonts w:hint="cs"/>
          <w:rtl/>
        </w:rPr>
        <w:t>ف</w:t>
      </w:r>
      <w:r>
        <w:rPr>
          <w:rtl/>
        </w:rPr>
        <w:noBreakHyphen/>
      </w:r>
      <w:r w:rsidRPr="00D239D4">
        <w:rPr>
          <w:lang w:val="en-CA"/>
        </w:rPr>
        <w:t>5</w:t>
      </w:r>
      <w:r w:rsidRPr="00D239D4">
        <w:rPr>
          <w:rFonts w:hint="cs"/>
          <w:rtl/>
          <w:lang w:val="en-CA" w:bidi="ar-EG"/>
        </w:rPr>
        <w:t xml:space="preserve"> (رئيس</w:t>
      </w:r>
      <w:r w:rsidRPr="00D239D4">
        <w:rPr>
          <w:rFonts w:hint="eastAsia"/>
          <w:rtl/>
          <w:lang w:val="en-CA" w:bidi="ar-EG"/>
        </w:rPr>
        <w:t> </w:t>
      </w:r>
      <w:r w:rsidRPr="00D239D4">
        <w:rPr>
          <w:rFonts w:hint="cs"/>
          <w:rtl/>
          <w:lang w:val="en-CA" w:bidi="ar-EG"/>
        </w:rPr>
        <w:t>الوحدة) وموظف بدرجة ف</w:t>
      </w:r>
      <w:r>
        <w:rPr>
          <w:rtl/>
          <w:lang w:val="en-CA" w:bidi="ar-EG"/>
        </w:rPr>
        <w:noBreakHyphen/>
      </w:r>
      <w:r>
        <w:rPr>
          <w:lang w:bidi="ar-EG"/>
        </w:rPr>
        <w:t>3</w:t>
      </w:r>
      <w:r>
        <w:rPr>
          <w:rFonts w:hint="cs"/>
          <w:rtl/>
          <w:lang w:bidi="ar-EG"/>
        </w:rPr>
        <w:t xml:space="preserve"> (مراجع</w:t>
      </w:r>
      <w:r>
        <w:rPr>
          <w:rFonts w:hint="eastAsia"/>
          <w:rtl/>
          <w:lang w:bidi="ar-EG"/>
        </w:rPr>
        <w:t> </w:t>
      </w:r>
      <w:r>
        <w:rPr>
          <w:rFonts w:hint="cs"/>
          <w:rtl/>
          <w:lang w:bidi="ar-EG"/>
        </w:rPr>
        <w:t xml:space="preserve">داخلي) </w:t>
      </w:r>
      <w:r w:rsidRPr="00D239D4">
        <w:rPr>
          <w:rFonts w:hint="cs"/>
          <w:rtl/>
          <w:lang w:val="en-CA" w:bidi="ar-EG"/>
        </w:rPr>
        <w:t>و</w:t>
      </w:r>
      <w:r>
        <w:rPr>
          <w:rFonts w:hint="cs"/>
          <w:rtl/>
          <w:lang w:val="en-CA" w:bidi="ar-EG"/>
        </w:rPr>
        <w:t xml:space="preserve">كذلك </w:t>
      </w:r>
      <w:r w:rsidRPr="00D239D4">
        <w:rPr>
          <w:rFonts w:hint="cs"/>
          <w:rtl/>
          <w:lang w:val="en-CA" w:bidi="ar-EG"/>
        </w:rPr>
        <w:t>موظف بدرجة ف-</w:t>
      </w:r>
      <w:r w:rsidRPr="00D239D4">
        <w:rPr>
          <w:lang w:val="en-CA" w:bidi="ar-EG"/>
        </w:rPr>
        <w:t>2</w:t>
      </w:r>
      <w:r>
        <w:rPr>
          <w:rFonts w:hint="cs"/>
          <w:rtl/>
          <w:lang w:val="en-CA" w:bidi="ar-EG"/>
        </w:rPr>
        <w:t xml:space="preserve"> (مراجع داخلي مبتدئ). </w:t>
      </w:r>
      <w:r w:rsidRPr="00D239D4">
        <w:rPr>
          <w:rFonts w:hint="cs"/>
          <w:rtl/>
          <w:lang w:val="en-CA" w:bidi="ar-EG"/>
        </w:rPr>
        <w:t>وكان هناك موظف من فئة الخدمات العامة (مساعد مراجع) يعمل في</w:t>
      </w:r>
      <w:r w:rsidRPr="00D239D4">
        <w:rPr>
          <w:rFonts w:hint="eastAsia"/>
          <w:rtl/>
          <w:lang w:val="en-CA" w:bidi="ar-EG"/>
        </w:rPr>
        <w:t> </w:t>
      </w:r>
      <w:r w:rsidRPr="00D239D4">
        <w:rPr>
          <w:rFonts w:hint="cs"/>
          <w:rtl/>
          <w:lang w:val="en-CA" w:bidi="ar-EG"/>
        </w:rPr>
        <w:t xml:space="preserve">الوحدة على أساس دوام كامل. </w:t>
      </w:r>
      <w:r w:rsidRPr="00D239D4">
        <w:rPr>
          <w:rFonts w:hint="cs"/>
          <w:rtl/>
        </w:rPr>
        <w:t xml:space="preserve">ومن ثم </w:t>
      </w:r>
      <w:r w:rsidRPr="00D239D4">
        <w:rPr>
          <w:rtl/>
        </w:rPr>
        <w:t xml:space="preserve">تتألف الوحدة حالياً من ثلاثة موظفين من </w:t>
      </w:r>
      <w:r w:rsidRPr="006E76A1">
        <w:rPr>
          <w:rtl/>
        </w:rPr>
        <w:t>الفئة الفنية</w:t>
      </w:r>
      <w:r w:rsidRPr="00D239D4">
        <w:rPr>
          <w:rtl/>
        </w:rPr>
        <w:t xml:space="preserve"> وموظف </w:t>
      </w:r>
      <w:r w:rsidRPr="00D239D4">
        <w:rPr>
          <w:rFonts w:hint="cs"/>
          <w:rtl/>
        </w:rPr>
        <w:t>واحد</w:t>
      </w:r>
      <w:r w:rsidRPr="00D239D4">
        <w:rPr>
          <w:rtl/>
        </w:rPr>
        <w:t xml:space="preserve"> من فئة الخدمات العامة</w:t>
      </w:r>
      <w:r w:rsidRPr="00D239D4">
        <w:t>.</w:t>
      </w:r>
    </w:p>
    <w:p w14:paraId="73B5926A" w14:textId="3548A092" w:rsidR="001B03B1" w:rsidRPr="00813B86" w:rsidRDefault="001B03B1" w:rsidP="001B03B1">
      <w:pPr>
        <w:rPr>
          <w:rtl/>
        </w:rPr>
      </w:pPr>
      <w:r w:rsidRPr="00813B86">
        <w:t>3</w:t>
      </w:r>
      <w:r w:rsidRPr="00813B86">
        <w:rPr>
          <w:rtl/>
        </w:rPr>
        <w:tab/>
      </w:r>
      <w:r w:rsidRPr="00813B86">
        <w:rPr>
          <w:rFonts w:hint="cs"/>
          <w:rtl/>
        </w:rPr>
        <w:t>و</w:t>
      </w:r>
      <w:r w:rsidRPr="00813B86">
        <w:rPr>
          <w:rtl/>
        </w:rPr>
        <w:t>تؤكد وحدة المراجعة الداخلية</w:t>
      </w:r>
      <w:r>
        <w:rPr>
          <w:rFonts w:hint="cs"/>
          <w:rtl/>
        </w:rPr>
        <w:t> </w:t>
      </w:r>
      <w:r w:rsidRPr="00813B86">
        <w:t>(IA)</w:t>
      </w:r>
      <w:r w:rsidRPr="00813B86">
        <w:rPr>
          <w:rtl/>
        </w:rPr>
        <w:t xml:space="preserve"> أنها تجري مراجعاتها وفقاً للمعايير الدولية للممارسة المهنية للمراجعة الداخلية ومدونة قواعد السلوك التي وضعها معهد المراجعين الداخليين</w:t>
      </w:r>
      <w:r w:rsidRPr="00813B86">
        <w:rPr>
          <w:rStyle w:val="FootnoteReference"/>
          <w:rtl/>
        </w:rPr>
        <w:footnoteReference w:id="2"/>
      </w:r>
      <w:r w:rsidR="003C2100">
        <w:rPr>
          <w:rFonts w:hint="eastAsia"/>
          <w:rtl/>
        </w:rPr>
        <w:t> </w:t>
      </w:r>
      <w:r w:rsidRPr="00813B86">
        <w:t>(IIA)</w:t>
      </w:r>
      <w:r w:rsidRPr="00813B86">
        <w:rPr>
          <w:rtl/>
        </w:rPr>
        <w:t>، ولأحكام ميثاق المراجعة الداخلية في الاتحاد</w:t>
      </w:r>
      <w:r w:rsidRPr="00813B86">
        <w:rPr>
          <w:rFonts w:hint="cs"/>
          <w:rtl/>
        </w:rPr>
        <w:t>.</w:t>
      </w:r>
      <w:r w:rsidRPr="00813B86">
        <w:rPr>
          <w:rStyle w:val="FootnoteReference"/>
          <w:rtl/>
        </w:rPr>
        <w:footnoteReference w:id="3"/>
      </w:r>
      <w:r w:rsidRPr="00813B86">
        <w:rPr>
          <w:rtl/>
        </w:rPr>
        <w:t xml:space="preserve"> وبالإضافة</w:t>
      </w:r>
      <w:r>
        <w:rPr>
          <w:rFonts w:hint="eastAsia"/>
          <w:rtl/>
        </w:rPr>
        <w:t> </w:t>
      </w:r>
      <w:r w:rsidRPr="00813B86">
        <w:rPr>
          <w:rtl/>
        </w:rPr>
        <w:t>إلى ذلك، تؤكد وحدة المراجعة الداخلية فيما</w:t>
      </w:r>
      <w:r>
        <w:rPr>
          <w:rFonts w:hint="cs"/>
          <w:rtl/>
        </w:rPr>
        <w:t> </w:t>
      </w:r>
      <w:r w:rsidRPr="00813B86">
        <w:rPr>
          <w:rtl/>
        </w:rPr>
        <w:t>يخص الفترة المشمولة بهذا التقرير أنه لم يكن لموظفيها أي سلطة إدارية ولم</w:t>
      </w:r>
      <w:r w:rsidRPr="00813B86">
        <w:rPr>
          <w:rFonts w:hint="cs"/>
          <w:rtl/>
        </w:rPr>
        <w:t> </w:t>
      </w:r>
      <w:r w:rsidRPr="00813B86">
        <w:rPr>
          <w:rtl/>
        </w:rPr>
        <w:t>يتولوا أي مسؤولية عن أي من الأنشطة التي جرت مراجعتها ولم يؤدوا أي وظائف محاسبية أو</w:t>
      </w:r>
      <w:r>
        <w:rPr>
          <w:rFonts w:hint="cs"/>
          <w:rtl/>
        </w:rPr>
        <w:t> </w:t>
      </w:r>
      <w:r w:rsidRPr="00813B86">
        <w:rPr>
          <w:rtl/>
        </w:rPr>
        <w:t>تشغيلية ضمن الاتحاد.</w:t>
      </w:r>
    </w:p>
    <w:p w14:paraId="17BEE5E5" w14:textId="77777777" w:rsidR="001B03B1" w:rsidRPr="00813B86" w:rsidRDefault="001B03B1" w:rsidP="001B03B1">
      <w:pPr>
        <w:pStyle w:val="Heading1"/>
        <w:rPr>
          <w:rtl/>
        </w:rPr>
      </w:pPr>
      <w:r w:rsidRPr="00813B86">
        <w:rPr>
          <w:rtl/>
        </w:rPr>
        <w:t>توجُّه أنشطة المراجعة الداخلية ونطاقها</w:t>
      </w:r>
    </w:p>
    <w:p w14:paraId="11863F90" w14:textId="58A33F34" w:rsidR="001B03B1" w:rsidRPr="008D38F8" w:rsidRDefault="001B03B1" w:rsidP="001B03B1">
      <w:pPr>
        <w:rPr>
          <w:rtl/>
          <w:lang w:val="fr-FR" w:bidi="ar-EG"/>
        </w:rPr>
      </w:pPr>
      <w:r w:rsidRPr="00813B86">
        <w:t>4</w:t>
      </w:r>
      <w:r w:rsidRPr="00813B86">
        <w:rPr>
          <w:rtl/>
        </w:rPr>
        <w:tab/>
      </w:r>
      <w:r>
        <w:rPr>
          <w:rFonts w:hint="cs"/>
          <w:rtl/>
        </w:rPr>
        <w:t>تماشياً</w:t>
      </w:r>
      <w:r w:rsidRPr="00813B86">
        <w:rPr>
          <w:rFonts w:hint="cs"/>
          <w:rtl/>
        </w:rPr>
        <w:t xml:space="preserve"> مع ميثاق المراجعة الداخلية، استعرضت</w:t>
      </w:r>
      <w:r w:rsidRPr="00813B86">
        <w:rPr>
          <w:rFonts w:hint="cs"/>
          <w:rtl/>
          <w:lang w:bidi="ar-EG"/>
        </w:rPr>
        <w:t xml:space="preserve"> </w:t>
      </w:r>
      <w:r w:rsidRPr="00813B86">
        <w:rPr>
          <w:rtl/>
        </w:rPr>
        <w:t>اللجنة الاستشارية المستقلة للإدارة </w:t>
      </w:r>
      <w:r w:rsidRPr="00813B86">
        <w:t>(IMAC)</w:t>
      </w:r>
      <w:r>
        <w:rPr>
          <w:rFonts w:hint="cs"/>
          <w:rtl/>
        </w:rPr>
        <w:t xml:space="preserve"> </w:t>
      </w:r>
      <w:r w:rsidRPr="00813B86">
        <w:rPr>
          <w:rFonts w:hint="cs"/>
          <w:rtl/>
        </w:rPr>
        <w:t xml:space="preserve">خطة المراجعة الداخلية </w:t>
      </w:r>
      <w:r w:rsidRPr="002707B1">
        <w:rPr>
          <w:rFonts w:hint="cs"/>
          <w:rtl/>
        </w:rPr>
        <w:t>لعام</w:t>
      </w:r>
      <w:r w:rsidRPr="002707B1">
        <w:rPr>
          <w:rFonts w:hint="eastAsia"/>
          <w:rtl/>
        </w:rPr>
        <w:t> </w:t>
      </w:r>
      <w:r>
        <w:t>2019</w:t>
      </w:r>
      <w:r>
        <w:rPr>
          <w:rFonts w:hint="cs"/>
          <w:rtl/>
          <w:lang w:bidi="ar-EG"/>
        </w:rPr>
        <w:t xml:space="preserve"> </w:t>
      </w:r>
      <w:r>
        <w:rPr>
          <w:rFonts w:hint="cs"/>
          <w:rtl/>
        </w:rPr>
        <w:t xml:space="preserve">في اجتماعها الثاني والعشرين ووافق عليها الأمين العام في </w:t>
      </w:r>
      <w:r>
        <w:t>26</w:t>
      </w:r>
      <w:r>
        <w:rPr>
          <w:rFonts w:hint="eastAsia"/>
          <w:rtl/>
          <w:lang w:bidi="ar-EG"/>
        </w:rPr>
        <w:t> </w:t>
      </w:r>
      <w:r>
        <w:rPr>
          <w:rFonts w:hint="cs"/>
          <w:rtl/>
          <w:lang w:bidi="ar-EG"/>
        </w:rPr>
        <w:t>مارس</w:t>
      </w:r>
      <w:r>
        <w:rPr>
          <w:rFonts w:hint="eastAsia"/>
          <w:rtl/>
          <w:lang w:bidi="ar-EG"/>
        </w:rPr>
        <w:t> </w:t>
      </w:r>
      <w:r>
        <w:rPr>
          <w:lang w:bidi="ar-EG"/>
        </w:rPr>
        <w:t>2019</w:t>
      </w:r>
      <w:r>
        <w:rPr>
          <w:rFonts w:hint="cs"/>
          <w:rtl/>
          <w:lang w:bidi="ar-EG"/>
        </w:rPr>
        <w:t>. و</w:t>
      </w:r>
      <w:r>
        <w:rPr>
          <w:rFonts w:hint="cs"/>
          <w:rtl/>
          <w:lang w:bidi="ar"/>
        </w:rPr>
        <w:t>فيما يتعلق</w:t>
      </w:r>
      <w:r w:rsidRPr="00EE25CB">
        <w:rPr>
          <w:rFonts w:hint="cs"/>
          <w:rtl/>
          <w:lang w:bidi="ar"/>
        </w:rPr>
        <w:t xml:space="preserve"> </w:t>
      </w:r>
      <w:r>
        <w:rPr>
          <w:rFonts w:hint="cs"/>
          <w:rtl/>
          <w:lang w:bidi="ar"/>
        </w:rPr>
        <w:t>بال</w:t>
      </w:r>
      <w:r w:rsidRPr="00EE25CB">
        <w:rPr>
          <w:rFonts w:hint="cs"/>
          <w:rtl/>
          <w:lang w:bidi="ar"/>
        </w:rPr>
        <w:t xml:space="preserve">عام 2020، لم </w:t>
      </w:r>
      <w:r>
        <w:rPr>
          <w:rFonts w:hint="cs"/>
          <w:rtl/>
          <w:lang w:bidi="ar"/>
        </w:rPr>
        <w:t>تُعَدّ</w:t>
      </w:r>
      <w:r w:rsidRPr="00EE25CB">
        <w:rPr>
          <w:rFonts w:hint="cs"/>
          <w:rtl/>
          <w:lang w:bidi="ar"/>
        </w:rPr>
        <w:t xml:space="preserve"> </w:t>
      </w:r>
      <w:r w:rsidRPr="00813B86">
        <w:rPr>
          <w:rFonts w:hint="cs"/>
          <w:rtl/>
        </w:rPr>
        <w:t xml:space="preserve">خطة </w:t>
      </w:r>
      <w:r>
        <w:rPr>
          <w:rFonts w:hint="cs"/>
          <w:rtl/>
        </w:rPr>
        <w:t>ل</w:t>
      </w:r>
      <w:r w:rsidRPr="00813B86">
        <w:rPr>
          <w:rFonts w:hint="cs"/>
          <w:rtl/>
        </w:rPr>
        <w:t xml:space="preserve">لمراجعة الداخلية </w:t>
      </w:r>
      <w:r w:rsidRPr="00EE25CB">
        <w:rPr>
          <w:rFonts w:hint="cs"/>
          <w:rtl/>
          <w:lang w:bidi="ar"/>
        </w:rPr>
        <w:t>حتى الآن، ويرجع ذلك أساسا</w:t>
      </w:r>
      <w:r>
        <w:rPr>
          <w:rFonts w:hint="cs"/>
          <w:rtl/>
          <w:lang w:bidi="ar"/>
        </w:rPr>
        <w:t>ً</w:t>
      </w:r>
      <w:r w:rsidRPr="00EE25CB">
        <w:rPr>
          <w:rFonts w:hint="cs"/>
          <w:rtl/>
          <w:lang w:bidi="ar"/>
        </w:rPr>
        <w:t xml:space="preserve"> إلى </w:t>
      </w:r>
      <w:r>
        <w:rPr>
          <w:rFonts w:hint="cs"/>
          <w:rtl/>
          <w:lang w:val="fr-FR" w:bidi="ar-EG"/>
        </w:rPr>
        <w:t>المشاركة الكبيرة ل</w:t>
      </w:r>
      <w:r w:rsidRPr="00D239D4">
        <w:rPr>
          <w:rFonts w:hint="cs"/>
          <w:rtl/>
        </w:rPr>
        <w:t xml:space="preserve">وحدة المراجعة الداخلية </w:t>
      </w:r>
      <w:r w:rsidRPr="00EE25CB">
        <w:rPr>
          <w:rFonts w:hint="cs"/>
          <w:rtl/>
          <w:lang w:bidi="ar"/>
        </w:rPr>
        <w:t xml:space="preserve">في </w:t>
      </w:r>
      <w:r>
        <w:rPr>
          <w:rFonts w:hint="cs"/>
          <w:rtl/>
          <w:lang w:bidi="ar"/>
        </w:rPr>
        <w:t xml:space="preserve">أعمال </w:t>
      </w:r>
      <w:r w:rsidRPr="00D35F42">
        <w:rPr>
          <w:rFonts w:hint="cs"/>
          <w:rtl/>
          <w:lang w:bidi="ar"/>
        </w:rPr>
        <w:t>التحقيقات التي</w:t>
      </w:r>
      <w:r>
        <w:rPr>
          <w:rFonts w:hint="cs"/>
          <w:rtl/>
          <w:lang w:bidi="ar"/>
        </w:rPr>
        <w:t xml:space="preserve"> استمرت</w:t>
      </w:r>
      <w:r w:rsidRPr="00D35F42">
        <w:rPr>
          <w:rFonts w:hint="cs"/>
          <w:rtl/>
          <w:lang w:bidi="ar"/>
        </w:rPr>
        <w:t xml:space="preserve"> </w:t>
      </w:r>
      <w:r>
        <w:rPr>
          <w:rFonts w:hint="cs"/>
          <w:rtl/>
          <w:lang w:bidi="ar"/>
        </w:rPr>
        <w:t>حتى وقت طويل من</w:t>
      </w:r>
      <w:r w:rsidRPr="00D35F42">
        <w:rPr>
          <w:rFonts w:hint="cs"/>
          <w:rtl/>
          <w:lang w:bidi="ar"/>
        </w:rPr>
        <w:t xml:space="preserve"> عام 2020، وست</w:t>
      </w:r>
      <w:r>
        <w:rPr>
          <w:rFonts w:hint="cs"/>
          <w:rtl/>
          <w:lang w:bidi="ar"/>
        </w:rPr>
        <w:t>تواصل</w:t>
      </w:r>
      <w:r w:rsidRPr="00D35F42">
        <w:rPr>
          <w:rFonts w:hint="cs"/>
          <w:rtl/>
          <w:lang w:bidi="ar"/>
        </w:rPr>
        <w:t xml:space="preserve"> حتى اعتماد </w:t>
      </w:r>
      <w:r>
        <w:rPr>
          <w:rFonts w:hint="cs"/>
          <w:rtl/>
          <w:lang w:bidi="ar"/>
        </w:rPr>
        <w:t>وظيفة</w:t>
      </w:r>
      <w:r w:rsidRPr="00D35F42">
        <w:rPr>
          <w:rFonts w:hint="cs"/>
          <w:rtl/>
          <w:lang w:bidi="ar"/>
        </w:rPr>
        <w:t xml:space="preserve"> المحقق وتعيين شاغل </w:t>
      </w:r>
      <w:r>
        <w:rPr>
          <w:rFonts w:hint="cs"/>
          <w:rtl/>
          <w:lang w:bidi="ar"/>
        </w:rPr>
        <w:t>لل</w:t>
      </w:r>
      <w:r w:rsidRPr="00D35F42">
        <w:rPr>
          <w:rFonts w:hint="cs"/>
          <w:rtl/>
          <w:lang w:bidi="ar"/>
        </w:rPr>
        <w:t xml:space="preserve">وظيفة. ويستند عمل </w:t>
      </w:r>
      <w:r>
        <w:rPr>
          <w:rFonts w:hint="cs"/>
          <w:rtl/>
          <w:lang w:bidi="ar"/>
        </w:rPr>
        <w:t>وحدة ال</w:t>
      </w:r>
      <w:r w:rsidRPr="00D35F42">
        <w:rPr>
          <w:rFonts w:hint="cs"/>
          <w:rtl/>
        </w:rPr>
        <w:t>مراجع</w:t>
      </w:r>
      <w:r w:rsidRPr="00D239D4">
        <w:rPr>
          <w:rFonts w:hint="cs"/>
          <w:rtl/>
        </w:rPr>
        <w:t xml:space="preserve">ة الداخلية </w:t>
      </w:r>
      <w:r>
        <w:rPr>
          <w:rFonts w:hint="cs"/>
          <w:rtl/>
          <w:lang w:bidi="ar"/>
        </w:rPr>
        <w:t>في مجال</w:t>
      </w:r>
      <w:r w:rsidRPr="00EE25CB">
        <w:rPr>
          <w:rFonts w:hint="cs"/>
          <w:rtl/>
          <w:lang w:bidi="ar"/>
        </w:rPr>
        <w:t xml:space="preserve"> التحقيقات</w:t>
      </w:r>
      <w:r>
        <w:rPr>
          <w:rFonts w:hint="cs"/>
          <w:rtl/>
          <w:lang w:bidi="ar"/>
        </w:rPr>
        <w:t xml:space="preserve"> إلى</w:t>
      </w:r>
      <w:r>
        <w:rPr>
          <w:rFonts w:hint="cs"/>
          <w:rtl/>
          <w:lang w:val="fr-FR" w:bidi="ar"/>
        </w:rPr>
        <w:t xml:space="preserve"> </w:t>
      </w:r>
      <w:r>
        <w:rPr>
          <w:rFonts w:hint="cs"/>
          <w:rtl/>
          <w:lang w:bidi="ar-EG"/>
        </w:rPr>
        <w:t xml:space="preserve">ميثاق المراجعة الداخلية الذي ينص أيضاً </w:t>
      </w:r>
      <w:r w:rsidRPr="00A566A6">
        <w:rPr>
          <w:rFonts w:hint="cs"/>
          <w:i/>
          <w:iCs/>
          <w:rtl/>
          <w:lang w:bidi="ar-EG"/>
        </w:rPr>
        <w:t>على أن تقوم وحدة المراجعة الداخلية بالتحقيق في ادعاءات أو</w:t>
      </w:r>
      <w:r>
        <w:rPr>
          <w:rFonts w:hint="cs"/>
          <w:i/>
          <w:iCs/>
          <w:rtl/>
          <w:lang w:bidi="ar-EG"/>
        </w:rPr>
        <w:t xml:space="preserve"> شبهات</w:t>
      </w:r>
      <w:r w:rsidRPr="00A566A6">
        <w:rPr>
          <w:rFonts w:hint="cs"/>
          <w:i/>
          <w:iCs/>
          <w:rtl/>
          <w:lang w:bidi="ar-EG"/>
        </w:rPr>
        <w:t xml:space="preserve"> الاحتيال أو</w:t>
      </w:r>
      <w:r>
        <w:rPr>
          <w:rFonts w:hint="eastAsia"/>
          <w:i/>
          <w:iCs/>
          <w:rtl/>
          <w:lang w:bidi="ar-EG"/>
        </w:rPr>
        <w:t> </w:t>
      </w:r>
      <w:r w:rsidRPr="00A566A6">
        <w:rPr>
          <w:rFonts w:hint="cs"/>
          <w:i/>
          <w:iCs/>
          <w:rtl/>
          <w:lang w:bidi="ar-EG"/>
        </w:rPr>
        <w:t>سوء</w:t>
      </w:r>
      <w:r>
        <w:rPr>
          <w:rFonts w:hint="cs"/>
          <w:i/>
          <w:iCs/>
          <w:rtl/>
          <w:lang w:bidi="ar-EG"/>
        </w:rPr>
        <w:t xml:space="preserve"> كما يمكنها تقديم</w:t>
      </w:r>
      <w:r w:rsidRPr="00A566A6">
        <w:rPr>
          <w:rFonts w:hint="cs"/>
          <w:i/>
          <w:iCs/>
          <w:rtl/>
          <w:lang w:bidi="ar-EG"/>
        </w:rPr>
        <w:t xml:space="preserve"> خدمات استشارية داخل الاتحاد</w:t>
      </w:r>
      <w:r>
        <w:rPr>
          <w:rFonts w:hint="cs"/>
          <w:rtl/>
          <w:lang w:bidi="ar-EG"/>
        </w:rPr>
        <w:t>.</w:t>
      </w:r>
    </w:p>
    <w:p w14:paraId="664121B8" w14:textId="56B4295A" w:rsidR="001B03B1" w:rsidRPr="007D3DE3" w:rsidRDefault="001B03B1" w:rsidP="001B03B1">
      <w:pPr>
        <w:rPr>
          <w:spacing w:val="-2"/>
          <w:rtl/>
          <w:lang w:val="en-CA" w:bidi="ar-EG"/>
        </w:rPr>
      </w:pPr>
      <w:r w:rsidRPr="007D3DE3">
        <w:rPr>
          <w:spacing w:val="-2"/>
        </w:rPr>
        <w:t>5</w:t>
      </w:r>
      <w:r w:rsidRPr="007D3DE3">
        <w:rPr>
          <w:spacing w:val="-2"/>
          <w:rtl/>
        </w:rPr>
        <w:tab/>
      </w:r>
      <w:r w:rsidRPr="007D3DE3">
        <w:rPr>
          <w:rFonts w:hint="cs"/>
          <w:spacing w:val="-2"/>
          <w:rtl/>
        </w:rPr>
        <w:t>و</w:t>
      </w:r>
      <w:r w:rsidRPr="007D3DE3">
        <w:rPr>
          <w:spacing w:val="-2"/>
          <w:rtl/>
        </w:rPr>
        <w:t xml:space="preserve">تقدِّم وحدة المراجعة الداخلية </w:t>
      </w:r>
      <w:r>
        <w:rPr>
          <w:rFonts w:hint="cs"/>
          <w:spacing w:val="-2"/>
          <w:rtl/>
        </w:rPr>
        <w:t>بشكل منهجي</w:t>
      </w:r>
      <w:r w:rsidRPr="007D3DE3">
        <w:rPr>
          <w:spacing w:val="-2"/>
          <w:rtl/>
        </w:rPr>
        <w:t xml:space="preserve"> نسخاً من تقارير المراجعة الداخلية إلى المراجع الخارجي لحسابات الاتحاد واللجنة الاستشارية المستقلة للإدارة </w:t>
      </w:r>
      <w:r w:rsidRPr="007D3DE3">
        <w:rPr>
          <w:spacing w:val="-2"/>
        </w:rPr>
        <w:t>(IMAC)</w:t>
      </w:r>
      <w:r w:rsidRPr="007D3DE3">
        <w:rPr>
          <w:spacing w:val="-2"/>
          <w:rtl/>
        </w:rPr>
        <w:t>. ووفقاً للمادة</w:t>
      </w:r>
      <w:r>
        <w:rPr>
          <w:rFonts w:hint="cs"/>
          <w:spacing w:val="-2"/>
          <w:rtl/>
        </w:rPr>
        <w:t> </w:t>
      </w:r>
      <w:r w:rsidRPr="007D3DE3">
        <w:rPr>
          <w:spacing w:val="-2"/>
        </w:rPr>
        <w:t>5.29</w:t>
      </w:r>
      <w:r w:rsidRPr="007D3DE3">
        <w:rPr>
          <w:spacing w:val="-2"/>
          <w:rtl/>
        </w:rPr>
        <w:t xml:space="preserve"> من اللوائح المالية للاتحاد، يمكن أن ت</w:t>
      </w:r>
      <w:r>
        <w:rPr>
          <w:rFonts w:hint="cs"/>
          <w:spacing w:val="-2"/>
          <w:rtl/>
        </w:rPr>
        <w:t>ُ</w:t>
      </w:r>
      <w:r w:rsidRPr="007D3DE3">
        <w:rPr>
          <w:spacing w:val="-2"/>
          <w:rtl/>
        </w:rPr>
        <w:t xml:space="preserve">تاح التقارير النهائية للمراجعة الداخلية </w:t>
      </w:r>
      <w:r>
        <w:rPr>
          <w:rFonts w:hint="cs"/>
          <w:spacing w:val="-2"/>
          <w:rtl/>
        </w:rPr>
        <w:t>ل</w:t>
      </w:r>
      <w:r w:rsidRPr="007D3DE3">
        <w:rPr>
          <w:spacing w:val="-2"/>
          <w:rtl/>
        </w:rPr>
        <w:t>لدول الأعضاء أو</w:t>
      </w:r>
      <w:r>
        <w:rPr>
          <w:rFonts w:hint="cs"/>
          <w:spacing w:val="-2"/>
          <w:rtl/>
        </w:rPr>
        <w:t> </w:t>
      </w:r>
      <w:r w:rsidRPr="007D3DE3">
        <w:rPr>
          <w:spacing w:val="-2"/>
          <w:rtl/>
        </w:rPr>
        <w:t>ممثليها المعيَّنين.</w:t>
      </w:r>
      <w:r w:rsidRPr="007D3DE3">
        <w:rPr>
          <w:rFonts w:hint="cs"/>
          <w:spacing w:val="-2"/>
          <w:rtl/>
        </w:rPr>
        <w:t xml:space="preserve"> </w:t>
      </w:r>
      <w:r>
        <w:rPr>
          <w:rFonts w:hint="cs"/>
          <w:spacing w:val="-2"/>
          <w:rtl/>
        </w:rPr>
        <w:t>وتم إنشاء آلية تيسير</w:t>
      </w:r>
      <w:r w:rsidRPr="007D3DE3">
        <w:rPr>
          <w:rFonts w:hint="cs"/>
          <w:spacing w:val="-2"/>
          <w:rtl/>
        </w:rPr>
        <w:t xml:space="preserve"> منذ أكتوبر</w:t>
      </w:r>
      <w:r>
        <w:rPr>
          <w:rFonts w:hint="eastAsia"/>
          <w:spacing w:val="-2"/>
          <w:rtl/>
        </w:rPr>
        <w:t> </w:t>
      </w:r>
      <w:r w:rsidRPr="007D3DE3">
        <w:rPr>
          <w:spacing w:val="-2"/>
          <w:lang w:val="en-CA"/>
        </w:rPr>
        <w:t>2015</w:t>
      </w:r>
      <w:r w:rsidRPr="007D3DE3">
        <w:rPr>
          <w:rFonts w:hint="cs"/>
          <w:spacing w:val="-2"/>
          <w:rtl/>
          <w:lang w:val="en-CA" w:bidi="ar-EG"/>
        </w:rPr>
        <w:t xml:space="preserve"> لل</w:t>
      </w:r>
      <w:r>
        <w:rPr>
          <w:rFonts w:hint="cs"/>
          <w:spacing w:val="-2"/>
          <w:rtl/>
          <w:lang w:val="en-CA" w:bidi="ar-EG"/>
        </w:rPr>
        <w:t>نفاذ</w:t>
      </w:r>
      <w:r w:rsidRPr="007D3DE3">
        <w:rPr>
          <w:rFonts w:hint="cs"/>
          <w:spacing w:val="-2"/>
          <w:rtl/>
          <w:lang w:val="en-CA" w:bidi="ar-EG"/>
        </w:rPr>
        <w:t xml:space="preserve"> </w:t>
      </w:r>
      <w:r>
        <w:rPr>
          <w:rFonts w:hint="cs"/>
          <w:spacing w:val="-2"/>
          <w:rtl/>
          <w:lang w:val="en-CA" w:bidi="ar-EG"/>
        </w:rPr>
        <w:t>إ</w:t>
      </w:r>
      <w:r w:rsidRPr="007D3DE3">
        <w:rPr>
          <w:rFonts w:hint="cs"/>
          <w:spacing w:val="-2"/>
          <w:rtl/>
          <w:lang w:val="en-CA" w:bidi="ar-EG"/>
        </w:rPr>
        <w:t xml:space="preserve">لى تقارير المراجعة الداخلية. وخلال الفترة المشمولة بالتقرير، </w:t>
      </w:r>
      <w:r w:rsidRPr="00CE56A1">
        <w:rPr>
          <w:rFonts w:hint="cs"/>
          <w:spacing w:val="-2"/>
          <w:rtl/>
          <w:lang w:val="en-CA" w:bidi="ar-EG"/>
        </w:rPr>
        <w:t>لم</w:t>
      </w:r>
      <w:r>
        <w:rPr>
          <w:rFonts w:hint="eastAsia"/>
          <w:spacing w:val="-2"/>
          <w:rtl/>
          <w:lang w:val="en-CA" w:bidi="ar-EG"/>
        </w:rPr>
        <w:t> </w:t>
      </w:r>
      <w:r>
        <w:rPr>
          <w:rFonts w:hint="cs"/>
          <w:spacing w:val="-2"/>
          <w:rtl/>
          <w:lang w:val="en-CA" w:bidi="ar-EG"/>
        </w:rPr>
        <w:t>ترد</w:t>
      </w:r>
      <w:r w:rsidRPr="00CE56A1">
        <w:rPr>
          <w:rFonts w:hint="cs"/>
          <w:spacing w:val="-2"/>
          <w:rtl/>
          <w:lang w:val="en-CA" w:bidi="ar-EG"/>
        </w:rPr>
        <w:t xml:space="preserve"> أي طلبات للحصول على تقارير المراجعة الداخلية</w:t>
      </w:r>
      <w:r w:rsidRPr="007D3DE3">
        <w:rPr>
          <w:rFonts w:hint="cs"/>
          <w:spacing w:val="-2"/>
          <w:rtl/>
          <w:lang w:val="en-CA" w:bidi="ar-EG"/>
        </w:rPr>
        <w:t xml:space="preserve"> </w:t>
      </w:r>
      <w:r w:rsidRPr="007D3DE3">
        <w:rPr>
          <w:rFonts w:hint="cs"/>
          <w:color w:val="000000"/>
          <w:spacing w:val="-2"/>
          <w:rtl/>
        </w:rPr>
        <w:t>من خلال</w:t>
      </w:r>
      <w:r w:rsidRPr="007D3DE3">
        <w:rPr>
          <w:color w:val="000000"/>
          <w:spacing w:val="-2"/>
          <w:rtl/>
        </w:rPr>
        <w:t xml:space="preserve"> الآلية المتاحة </w:t>
      </w:r>
      <w:r w:rsidRPr="007D3DE3">
        <w:rPr>
          <w:rFonts w:hint="cs"/>
          <w:color w:val="000000"/>
          <w:spacing w:val="-2"/>
          <w:rtl/>
        </w:rPr>
        <w:t>على الخط</w:t>
      </w:r>
      <w:r w:rsidRPr="007D3DE3">
        <w:rPr>
          <w:rFonts w:hint="cs"/>
          <w:spacing w:val="-2"/>
          <w:rtl/>
          <w:lang w:val="en-CA" w:bidi="ar-EG"/>
        </w:rPr>
        <w:t>.</w:t>
      </w:r>
    </w:p>
    <w:p w14:paraId="6BB788B3" w14:textId="24A3B516" w:rsidR="001B03B1" w:rsidRPr="00813B86" w:rsidRDefault="001B03B1" w:rsidP="001B03B1">
      <w:pPr>
        <w:pStyle w:val="Heading1"/>
        <w:rPr>
          <w:rtl/>
        </w:rPr>
      </w:pPr>
      <w:r w:rsidRPr="00813B86">
        <w:rPr>
          <w:rtl/>
        </w:rPr>
        <w:t xml:space="preserve">أهداف </w:t>
      </w:r>
      <w:r>
        <w:rPr>
          <w:rFonts w:hint="cs"/>
          <w:rtl/>
        </w:rPr>
        <w:t>المهام</w:t>
      </w:r>
      <w:r w:rsidRPr="005F4E1F">
        <w:rPr>
          <w:rtl/>
        </w:rPr>
        <w:t xml:space="preserve"> المتصلة بالتزامات تأكيد</w:t>
      </w:r>
      <w:r w:rsidRPr="00813B86">
        <w:rPr>
          <w:rtl/>
        </w:rPr>
        <w:t xml:space="preserve"> صحة ال</w:t>
      </w:r>
      <w:r>
        <w:rPr>
          <w:rtl/>
        </w:rPr>
        <w:t xml:space="preserve">بيانات </w:t>
      </w:r>
      <w:r>
        <w:rPr>
          <w:rFonts w:hint="cs"/>
          <w:rtl/>
        </w:rPr>
        <w:t>واستنتاجاتها</w:t>
      </w:r>
    </w:p>
    <w:p w14:paraId="7B043AB4" w14:textId="2F20654B" w:rsidR="001B03B1" w:rsidRPr="00813B86" w:rsidRDefault="001B03B1" w:rsidP="001B03B1">
      <w:pPr>
        <w:rPr>
          <w:rtl/>
        </w:rPr>
      </w:pPr>
      <w:r w:rsidRPr="00813B86">
        <w:t>6</w:t>
      </w:r>
      <w:r w:rsidRPr="00813B86">
        <w:rPr>
          <w:rtl/>
        </w:rPr>
        <w:tab/>
        <w:t xml:space="preserve">تتمثل أهداف </w:t>
      </w:r>
      <w:r>
        <w:rPr>
          <w:rFonts w:hint="cs"/>
          <w:rtl/>
        </w:rPr>
        <w:t>المهام</w:t>
      </w:r>
      <w:r w:rsidRPr="00813B86">
        <w:rPr>
          <w:rtl/>
        </w:rPr>
        <w:t xml:space="preserve"> المتصلة بالتزامات تأكيد صحة البيانات في تقييم ما</w:t>
      </w:r>
      <w:r>
        <w:rPr>
          <w:rFonts w:hint="cs"/>
          <w:rtl/>
        </w:rPr>
        <w:t> </w:t>
      </w:r>
      <w:r w:rsidRPr="00813B86">
        <w:rPr>
          <w:rtl/>
        </w:rPr>
        <w:t>يلي: ’</w:t>
      </w:r>
      <w:proofErr w:type="gramStart"/>
      <w:r w:rsidRPr="00813B86">
        <w:t>1</w:t>
      </w:r>
      <w:r w:rsidRPr="00813B86">
        <w:rPr>
          <w:rtl/>
        </w:rPr>
        <w:t>‘</w:t>
      </w:r>
      <w:r>
        <w:rPr>
          <w:rFonts w:hint="cs"/>
          <w:rtl/>
          <w:lang w:bidi="ar-EG"/>
        </w:rPr>
        <w:t xml:space="preserve"> </w:t>
      </w:r>
      <w:r w:rsidRPr="00813B86">
        <w:rPr>
          <w:rtl/>
        </w:rPr>
        <w:t>جوانب</w:t>
      </w:r>
      <w:proofErr w:type="gramEnd"/>
      <w:r w:rsidRPr="00813B86">
        <w:rPr>
          <w:rtl/>
        </w:rPr>
        <w:t xml:space="preserve"> </w:t>
      </w:r>
      <w:r>
        <w:rPr>
          <w:rFonts w:hint="cs"/>
          <w:rtl/>
        </w:rPr>
        <w:t>الإدارة في</w:t>
      </w:r>
      <w:r>
        <w:rPr>
          <w:rFonts w:hint="eastAsia"/>
          <w:rtl/>
        </w:rPr>
        <w:t> </w:t>
      </w:r>
      <w:r w:rsidRPr="00813B86">
        <w:rPr>
          <w:rtl/>
        </w:rPr>
        <w:t>عمليات الاتحاد التي جرت مراجعتها</w:t>
      </w:r>
      <w:r w:rsidRPr="00813B86">
        <w:rPr>
          <w:rFonts w:hint="cs"/>
          <w:rtl/>
        </w:rPr>
        <w:t>؛</w:t>
      </w:r>
      <w:r w:rsidRPr="00813B86">
        <w:rPr>
          <w:rtl/>
        </w:rPr>
        <w:t xml:space="preserve"> ’</w:t>
      </w:r>
      <w:r w:rsidRPr="00813B86">
        <w:t>2</w:t>
      </w:r>
      <w:r w:rsidRPr="00813B86">
        <w:rPr>
          <w:rtl/>
        </w:rPr>
        <w:t>‘</w:t>
      </w:r>
      <w:r w:rsidRPr="00813B86">
        <w:rPr>
          <w:rFonts w:hint="eastAsia"/>
          <w:rtl/>
        </w:rPr>
        <w:t> </w:t>
      </w:r>
      <w:r w:rsidRPr="00813B86">
        <w:rPr>
          <w:rtl/>
        </w:rPr>
        <w:t>ممارسات إدارة المخاطر</w:t>
      </w:r>
      <w:r w:rsidRPr="00813B86">
        <w:rPr>
          <w:rFonts w:hint="cs"/>
          <w:rtl/>
        </w:rPr>
        <w:t>؛</w:t>
      </w:r>
      <w:r w:rsidRPr="00813B86">
        <w:rPr>
          <w:rtl/>
        </w:rPr>
        <w:t xml:space="preserve"> ’</w:t>
      </w:r>
      <w:r w:rsidRPr="00813B86">
        <w:t>3</w:t>
      </w:r>
      <w:r w:rsidRPr="00813B86">
        <w:rPr>
          <w:rtl/>
        </w:rPr>
        <w:t>‘</w:t>
      </w:r>
      <w:r w:rsidRPr="00813B86">
        <w:rPr>
          <w:rFonts w:hint="eastAsia"/>
          <w:rtl/>
        </w:rPr>
        <w:t> </w:t>
      </w:r>
      <w:r w:rsidRPr="00813B86">
        <w:rPr>
          <w:rtl/>
        </w:rPr>
        <w:t xml:space="preserve">فعالية الضوابط (الداخلية). وتصنَّف التوصيات الناتجة عن أعمال المراجعة من حيث الأولوية بحسب أثر القصور </w:t>
      </w:r>
      <w:r>
        <w:rPr>
          <w:rFonts w:hint="cs"/>
          <w:rtl/>
        </w:rPr>
        <w:t>المحتمل وأرجحية وقوعه</w:t>
      </w:r>
      <w:r w:rsidRPr="00813B86">
        <w:rPr>
          <w:rtl/>
        </w:rPr>
        <w:t xml:space="preserve"> (</w:t>
      </w:r>
      <w:r w:rsidRPr="00DA7CEF">
        <w:rPr>
          <w:rtl/>
        </w:rPr>
        <w:t>كبير</w:t>
      </w:r>
      <w:r w:rsidRPr="00813B86">
        <w:rPr>
          <w:rtl/>
        </w:rPr>
        <w:t xml:space="preserve">، متوسط، </w:t>
      </w:r>
      <w:r>
        <w:rPr>
          <w:rFonts w:hint="cs"/>
          <w:rtl/>
        </w:rPr>
        <w:t>ضئيل</w:t>
      </w:r>
      <w:r w:rsidRPr="00813B86">
        <w:rPr>
          <w:rtl/>
        </w:rPr>
        <w:t>).</w:t>
      </w:r>
    </w:p>
    <w:p w14:paraId="6C4CF902" w14:textId="08DAC325" w:rsidR="001B03B1" w:rsidRPr="00813B86" w:rsidRDefault="001B03B1" w:rsidP="001B03B1">
      <w:pPr>
        <w:rPr>
          <w:rtl/>
        </w:rPr>
      </w:pPr>
      <w:r>
        <w:rPr>
          <w:rFonts w:hint="cs"/>
          <w:rtl/>
          <w:lang w:bidi="ar-EG"/>
        </w:rPr>
        <w:t>واستناداً إلى</w:t>
      </w:r>
      <w:r w:rsidRPr="00813B86">
        <w:rPr>
          <w:rFonts w:hint="cs"/>
          <w:rtl/>
        </w:rPr>
        <w:t xml:space="preserve"> مختلف</w:t>
      </w:r>
      <w:r w:rsidRPr="00813B86">
        <w:rPr>
          <w:rtl/>
        </w:rPr>
        <w:t xml:space="preserve"> </w:t>
      </w:r>
      <w:r>
        <w:rPr>
          <w:rFonts w:hint="cs"/>
          <w:rtl/>
        </w:rPr>
        <w:t>المهام</w:t>
      </w:r>
      <w:r w:rsidRPr="00813B86">
        <w:rPr>
          <w:rtl/>
        </w:rPr>
        <w:t xml:space="preserve"> المتصلة بالتزامات تأكيد صحة البيانات</w:t>
      </w:r>
      <w:r w:rsidRPr="00813B86">
        <w:rPr>
          <w:rFonts w:hint="cs"/>
          <w:rtl/>
        </w:rPr>
        <w:t xml:space="preserve"> </w:t>
      </w:r>
      <w:proofErr w:type="spellStart"/>
      <w:r w:rsidRPr="00813B86">
        <w:rPr>
          <w:rFonts w:hint="cs"/>
          <w:rtl/>
        </w:rPr>
        <w:t>المضطلع</w:t>
      </w:r>
      <w:proofErr w:type="spellEnd"/>
      <w:r w:rsidRPr="00813B86">
        <w:rPr>
          <w:rFonts w:hint="cs"/>
          <w:rtl/>
        </w:rPr>
        <w:t xml:space="preserve"> بها</w:t>
      </w:r>
      <w:r>
        <w:rPr>
          <w:rFonts w:hint="cs"/>
          <w:rtl/>
        </w:rPr>
        <w:t xml:space="preserve"> سابقاً</w:t>
      </w:r>
      <w:r w:rsidRPr="00813B86">
        <w:rPr>
          <w:rFonts w:hint="cs"/>
          <w:rtl/>
        </w:rPr>
        <w:t xml:space="preserve">، خلصت وحدة المراجعة الداخلية </w:t>
      </w:r>
      <w:r>
        <w:rPr>
          <w:rFonts w:hint="cs"/>
          <w:rtl/>
        </w:rPr>
        <w:t>إلى أن</w:t>
      </w:r>
      <w:r>
        <w:rPr>
          <w:rFonts w:hint="eastAsia"/>
          <w:rtl/>
        </w:rPr>
        <w:t> </w:t>
      </w:r>
      <w:r>
        <w:rPr>
          <w:rFonts w:hint="cs"/>
          <w:rtl/>
        </w:rPr>
        <w:t>الحاجة تدعو عموماً إلى تحسين</w:t>
      </w:r>
      <w:r w:rsidRPr="00633E92">
        <w:rPr>
          <w:rFonts w:hint="cs"/>
          <w:rtl/>
        </w:rPr>
        <w:t xml:space="preserve"> الإدارة </w:t>
      </w:r>
      <w:r w:rsidRPr="003A5EC2">
        <w:rPr>
          <w:rFonts w:hint="cs"/>
          <w:rtl/>
        </w:rPr>
        <w:t xml:space="preserve">وإدارة </w:t>
      </w:r>
      <w:proofErr w:type="gramStart"/>
      <w:r w:rsidRPr="003A5EC2">
        <w:rPr>
          <w:rFonts w:hint="cs"/>
          <w:rtl/>
        </w:rPr>
        <w:t>مخاطر</w:t>
      </w:r>
      <w:proofErr w:type="gramEnd"/>
      <w:r w:rsidRPr="003A5EC2">
        <w:rPr>
          <w:rFonts w:hint="cs"/>
          <w:rtl/>
        </w:rPr>
        <w:t xml:space="preserve"> </w:t>
      </w:r>
      <w:r>
        <w:rPr>
          <w:rFonts w:hint="cs"/>
          <w:rtl/>
        </w:rPr>
        <w:t xml:space="preserve">العمليات المستعرضة وجعل </w:t>
      </w:r>
      <w:r w:rsidRPr="00633E92">
        <w:rPr>
          <w:rFonts w:hint="cs"/>
          <w:rtl/>
        </w:rPr>
        <w:t xml:space="preserve">الضوابط </w:t>
      </w:r>
      <w:r>
        <w:rPr>
          <w:rFonts w:hint="cs"/>
          <w:rtl/>
        </w:rPr>
        <w:t xml:space="preserve">أكثر فعالية في مختلف المجالات التي </w:t>
      </w:r>
      <w:r>
        <w:rPr>
          <w:rFonts w:hint="cs"/>
          <w:rtl/>
          <w:lang w:bidi="ar-EG"/>
        </w:rPr>
        <w:t>خضعت للمراجعة</w:t>
      </w:r>
      <w:r w:rsidRPr="00813B86">
        <w:rPr>
          <w:rFonts w:hint="cs"/>
          <w:rtl/>
        </w:rPr>
        <w:t xml:space="preserve">. </w:t>
      </w:r>
      <w:r>
        <w:rPr>
          <w:rFonts w:hint="cs"/>
          <w:rtl/>
        </w:rPr>
        <w:t>و</w:t>
      </w:r>
      <w:r w:rsidRPr="00813B86">
        <w:rPr>
          <w:rFonts w:hint="cs"/>
          <w:rtl/>
        </w:rPr>
        <w:t xml:space="preserve">ستسمح التحسينات في هذه المجالات لوحدة المراجعة الداخلية بتزويد الأمين العام </w:t>
      </w:r>
      <w:r>
        <w:rPr>
          <w:rFonts w:hint="cs"/>
          <w:rtl/>
        </w:rPr>
        <w:t>ب</w:t>
      </w:r>
      <w:r w:rsidRPr="00813B86">
        <w:rPr>
          <w:rFonts w:hint="cs"/>
          <w:rtl/>
        </w:rPr>
        <w:t xml:space="preserve">تأكيدات معقولة تفيد بأن هناك </w:t>
      </w:r>
      <w:r>
        <w:rPr>
          <w:rFonts w:hint="cs"/>
          <w:rtl/>
        </w:rPr>
        <w:t>إدارة</w:t>
      </w:r>
      <w:r w:rsidRPr="00813B86">
        <w:rPr>
          <w:rFonts w:hint="cs"/>
          <w:rtl/>
        </w:rPr>
        <w:t xml:space="preserve"> وإدارة للمخاطر كافيتين وأن الضوابط فع</w:t>
      </w:r>
      <w:r>
        <w:rPr>
          <w:rFonts w:hint="cs"/>
          <w:rtl/>
        </w:rPr>
        <w:t>ّ</w:t>
      </w:r>
      <w:r w:rsidRPr="00813B86">
        <w:rPr>
          <w:rFonts w:hint="cs"/>
          <w:rtl/>
        </w:rPr>
        <w:t>الة.</w:t>
      </w:r>
      <w:r w:rsidRPr="00813B86">
        <w:rPr>
          <w:rtl/>
        </w:rPr>
        <w:t xml:space="preserve"> وتُتخذ بدعم من الأمين العام تدابير لتنفيذ التوصيات التي قدِّمت إلى الإدارة، ما سيزيد من تعزيز قدرة الاتحاد على النهوض بالمهام المنوطة به في إطار</w:t>
      </w:r>
      <w:r w:rsidRPr="00813B86">
        <w:rPr>
          <w:rFonts w:hint="cs"/>
          <w:rtl/>
        </w:rPr>
        <w:t> </w:t>
      </w:r>
      <w:r>
        <w:rPr>
          <w:rtl/>
        </w:rPr>
        <w:t>ولايته.</w:t>
      </w:r>
    </w:p>
    <w:p w14:paraId="5FF9B809" w14:textId="77777777" w:rsidR="001B03B1" w:rsidRPr="002D30D9" w:rsidRDefault="001B03B1" w:rsidP="001B03B1">
      <w:pPr>
        <w:rPr>
          <w:rtl/>
          <w:lang w:bidi="ar-EG"/>
        </w:rPr>
      </w:pPr>
      <w:r w:rsidRPr="001101E1">
        <w:t>7</w:t>
      </w:r>
      <w:r w:rsidRPr="001101E1">
        <w:rPr>
          <w:rtl/>
        </w:rPr>
        <w:tab/>
      </w:r>
      <w:r w:rsidRPr="001101E1">
        <w:rPr>
          <w:rFonts w:hint="cs"/>
          <w:rtl/>
          <w:lang w:bidi="ar-EG"/>
        </w:rPr>
        <w:t>و</w:t>
      </w:r>
      <w:r w:rsidRPr="001101E1">
        <w:rPr>
          <w:rFonts w:hint="cs"/>
          <w:rtl/>
        </w:rPr>
        <w:t>ت</w:t>
      </w:r>
      <w:r>
        <w:rPr>
          <w:rFonts w:hint="cs"/>
          <w:rtl/>
        </w:rPr>
        <w:t>ُ</w:t>
      </w:r>
      <w:r w:rsidRPr="001101E1">
        <w:rPr>
          <w:rFonts w:hint="cs"/>
          <w:rtl/>
        </w:rPr>
        <w:t>تابع وحدة المراجعة الداخلية</w:t>
      </w:r>
      <w:r w:rsidRPr="001101E1">
        <w:rPr>
          <w:rtl/>
        </w:rPr>
        <w:t xml:space="preserve"> تنفيذ </w:t>
      </w:r>
      <w:r w:rsidRPr="001101E1">
        <w:rPr>
          <w:rFonts w:hint="cs"/>
          <w:rtl/>
        </w:rPr>
        <w:t>الإجراءات</w:t>
      </w:r>
      <w:r w:rsidRPr="001101E1">
        <w:rPr>
          <w:rtl/>
        </w:rPr>
        <w:t xml:space="preserve"> </w:t>
      </w:r>
      <w:proofErr w:type="spellStart"/>
      <w:r w:rsidRPr="001101E1">
        <w:rPr>
          <w:rtl/>
        </w:rPr>
        <w:t>الموصى</w:t>
      </w:r>
      <w:proofErr w:type="spellEnd"/>
      <w:r w:rsidRPr="001101E1">
        <w:rPr>
          <w:rtl/>
        </w:rPr>
        <w:t xml:space="preserve"> بها، وذلك بحسب الاقتضاء وعند الاقتضاء</w:t>
      </w:r>
      <w:r w:rsidRPr="001101E1">
        <w:rPr>
          <w:rFonts w:hint="cs"/>
          <w:rtl/>
        </w:rPr>
        <w:t>.</w:t>
      </w:r>
    </w:p>
    <w:p w14:paraId="0A162A48" w14:textId="77777777" w:rsidR="001B03B1" w:rsidRPr="00CE0A19" w:rsidRDefault="001B03B1" w:rsidP="001B03B1">
      <w:pPr>
        <w:rPr>
          <w:i/>
          <w:iCs/>
          <w:rtl/>
        </w:rPr>
      </w:pPr>
      <w:r w:rsidRPr="00CE0A19">
        <w:rPr>
          <w:i/>
          <w:iCs/>
          <w:rtl/>
        </w:rPr>
        <w:t>وقد</w:t>
      </w:r>
      <w:r w:rsidRPr="00CE0A19">
        <w:rPr>
          <w:rFonts w:hint="cs"/>
          <w:i/>
          <w:iCs/>
          <w:rtl/>
        </w:rPr>
        <w:t> </w:t>
      </w:r>
      <w:r w:rsidRPr="00CE0A19">
        <w:rPr>
          <w:i/>
          <w:iCs/>
          <w:rtl/>
        </w:rPr>
        <w:t>نُفِّذ</w:t>
      </w:r>
      <w:r>
        <w:rPr>
          <w:rFonts w:hint="cs"/>
          <w:i/>
          <w:iCs/>
          <w:rtl/>
        </w:rPr>
        <w:t>ت</w:t>
      </w:r>
      <w:r w:rsidRPr="00CE0A19">
        <w:rPr>
          <w:i/>
          <w:iCs/>
          <w:rtl/>
        </w:rPr>
        <w:t xml:space="preserve"> المهم</w:t>
      </w:r>
      <w:r>
        <w:rPr>
          <w:rFonts w:hint="cs"/>
          <w:i/>
          <w:iCs/>
          <w:rtl/>
        </w:rPr>
        <w:t>ة التالية</w:t>
      </w:r>
      <w:r w:rsidRPr="00CE0A19">
        <w:rPr>
          <w:i/>
          <w:iCs/>
          <w:rtl/>
        </w:rPr>
        <w:t xml:space="preserve"> المتصلة بالتزامات تأكيد صحة البيانات:</w:t>
      </w:r>
    </w:p>
    <w:p w14:paraId="0F60CD0C" w14:textId="1796975E" w:rsidR="001B03B1" w:rsidRPr="001F6BA9" w:rsidRDefault="001B03B1" w:rsidP="001B03B1">
      <w:pPr>
        <w:pStyle w:val="Headingb"/>
        <w:rPr>
          <w:i/>
          <w:iCs/>
          <w:lang w:val="fr-FR"/>
        </w:rPr>
      </w:pPr>
      <w:r w:rsidRPr="005639AF">
        <w:rPr>
          <w:rFonts w:hint="cs"/>
          <w:i/>
          <w:iCs/>
          <w:rtl/>
        </w:rPr>
        <w:lastRenderedPageBreak/>
        <w:t>ألف -</w:t>
      </w:r>
      <w:r w:rsidRPr="005639AF">
        <w:rPr>
          <w:i/>
          <w:iCs/>
          <w:rtl/>
        </w:rPr>
        <w:tab/>
      </w:r>
      <w:r>
        <w:rPr>
          <w:rFonts w:hint="cs"/>
          <w:i/>
          <w:iCs/>
          <w:rtl/>
          <w:lang w:bidi="ar-EG"/>
        </w:rPr>
        <w:t>تفتيش متعلق ب</w:t>
      </w:r>
      <w:r>
        <w:rPr>
          <w:rFonts w:hint="cs"/>
          <w:i/>
          <w:iCs/>
          <w:rtl/>
          <w:lang w:bidi="ar"/>
        </w:rPr>
        <w:t>ال</w:t>
      </w:r>
      <w:r w:rsidRPr="001F6BA9">
        <w:rPr>
          <w:rFonts w:hint="cs"/>
          <w:i/>
          <w:iCs/>
          <w:rtl/>
          <w:lang w:bidi="ar"/>
        </w:rPr>
        <w:t xml:space="preserve">أنشطة </w:t>
      </w:r>
      <w:r>
        <w:rPr>
          <w:rFonts w:hint="cs"/>
          <w:i/>
          <w:iCs/>
          <w:rtl/>
          <w:lang w:bidi="ar"/>
        </w:rPr>
        <w:t>و</w:t>
      </w:r>
      <w:r w:rsidRPr="001F6BA9">
        <w:rPr>
          <w:rFonts w:hint="cs"/>
          <w:i/>
          <w:iCs/>
          <w:rtl/>
          <w:lang w:bidi="ar"/>
        </w:rPr>
        <w:t>المشاريع والمبادرات الإقليمية</w:t>
      </w:r>
      <w:r>
        <w:rPr>
          <w:rFonts w:hint="cs"/>
          <w:i/>
          <w:iCs/>
          <w:rtl/>
          <w:lang w:bidi="ar"/>
        </w:rPr>
        <w:t xml:space="preserve"> والإجراءات في ال</w:t>
      </w:r>
      <w:r w:rsidRPr="001F6BA9">
        <w:rPr>
          <w:rFonts w:hint="cs"/>
          <w:i/>
          <w:iCs/>
          <w:rtl/>
          <w:lang w:bidi="ar"/>
        </w:rPr>
        <w:t xml:space="preserve">مكاتب الإقليمية / </w:t>
      </w:r>
      <w:r>
        <w:rPr>
          <w:rFonts w:hint="cs"/>
          <w:i/>
          <w:iCs/>
          <w:rtl/>
          <w:lang w:bidi="ar"/>
        </w:rPr>
        <w:t>مكاتب المناطق</w:t>
      </w:r>
    </w:p>
    <w:p w14:paraId="0FA70461" w14:textId="77777777" w:rsidR="001B03B1" w:rsidRPr="00DD27ED" w:rsidRDefault="001B03B1" w:rsidP="001B03B1">
      <w:pPr>
        <w:rPr>
          <w:lang w:val="fr-FR" w:bidi="ar-EG"/>
        </w:rPr>
      </w:pPr>
      <w:r w:rsidRPr="00771207">
        <w:rPr>
          <w:lang w:val="fr-FR"/>
        </w:rPr>
        <w:t>8</w:t>
      </w:r>
      <w:r w:rsidRPr="001101E1">
        <w:rPr>
          <w:rtl/>
          <w:lang w:bidi="ar-EG"/>
        </w:rPr>
        <w:tab/>
      </w:r>
      <w:r>
        <w:rPr>
          <w:rFonts w:hint="cs"/>
          <w:rtl/>
        </w:rPr>
        <w:t xml:space="preserve">أجرت وحدة المراجعة الداخلية تفتيشاً يتعلق بمراجعة أنشطة </w:t>
      </w:r>
      <w:r w:rsidRPr="00DD27ED">
        <w:rPr>
          <w:rFonts w:hint="cs"/>
          <w:rtl/>
        </w:rPr>
        <w:t xml:space="preserve">المكاتب الإقليمية/ مكاتب المناطق </w:t>
      </w:r>
      <w:r>
        <w:rPr>
          <w:rFonts w:hint="cs"/>
          <w:rtl/>
        </w:rPr>
        <w:t>في الفترة الممتدة من يناير</w:t>
      </w:r>
      <w:r>
        <w:rPr>
          <w:rFonts w:hint="eastAsia"/>
          <w:rtl/>
        </w:rPr>
        <w:t> </w:t>
      </w:r>
      <w:r w:rsidRPr="00771207">
        <w:rPr>
          <w:lang w:val="fr-FR"/>
        </w:rPr>
        <w:t>2008</w:t>
      </w:r>
      <w:r>
        <w:rPr>
          <w:rFonts w:hint="cs"/>
          <w:rtl/>
          <w:lang w:bidi="ar-EG"/>
        </w:rPr>
        <w:t xml:space="preserve"> إلى مارس</w:t>
      </w:r>
      <w:r>
        <w:rPr>
          <w:rFonts w:hint="eastAsia"/>
          <w:rtl/>
          <w:lang w:bidi="ar-EG"/>
        </w:rPr>
        <w:t> </w:t>
      </w:r>
      <w:r w:rsidRPr="00771207">
        <w:rPr>
          <w:lang w:val="fr-FR" w:bidi="ar-EG"/>
        </w:rPr>
        <w:t>2019</w:t>
      </w:r>
      <w:r>
        <w:rPr>
          <w:rFonts w:hint="cs"/>
          <w:rtl/>
          <w:lang w:bidi="ar-EG"/>
        </w:rPr>
        <w:t xml:space="preserve">. </w:t>
      </w:r>
      <w:r>
        <w:rPr>
          <w:rFonts w:hint="cs"/>
          <w:rtl/>
          <w:lang w:bidi="ar"/>
        </w:rPr>
        <w:t>و</w:t>
      </w:r>
      <w:r w:rsidRPr="00DD27ED">
        <w:rPr>
          <w:rFonts w:hint="cs"/>
          <w:rtl/>
          <w:lang w:bidi="ar"/>
        </w:rPr>
        <w:t xml:space="preserve">استعرض هذا التفتيش </w:t>
      </w:r>
      <w:r>
        <w:rPr>
          <w:rFonts w:hint="cs"/>
          <w:rtl/>
          <w:lang w:bidi="ar"/>
        </w:rPr>
        <w:t xml:space="preserve">عينة من </w:t>
      </w:r>
      <w:r w:rsidRPr="00DD27ED">
        <w:rPr>
          <w:rFonts w:hint="cs"/>
          <w:rtl/>
          <w:lang w:bidi="ar"/>
        </w:rPr>
        <w:t>المشاريع والمبادرات والإجراءات التي نفذ</w:t>
      </w:r>
      <w:r>
        <w:rPr>
          <w:rFonts w:hint="cs"/>
          <w:rtl/>
          <w:lang w:bidi="ar"/>
        </w:rPr>
        <w:t>ت</w:t>
      </w:r>
      <w:r w:rsidRPr="00DD27ED">
        <w:rPr>
          <w:rFonts w:hint="cs"/>
          <w:rtl/>
          <w:lang w:bidi="ar"/>
        </w:rPr>
        <w:t xml:space="preserve">ها </w:t>
      </w:r>
      <w:r w:rsidRPr="00DD27ED">
        <w:rPr>
          <w:rFonts w:hint="cs"/>
          <w:rtl/>
        </w:rPr>
        <w:t xml:space="preserve">المكاتب الإقليمية/ مكاتب المناطق </w:t>
      </w:r>
      <w:r>
        <w:rPr>
          <w:rFonts w:hint="cs"/>
          <w:rtl/>
        </w:rPr>
        <w:t>التابعة ل</w:t>
      </w:r>
      <w:r w:rsidRPr="00DD27ED">
        <w:rPr>
          <w:rFonts w:hint="cs"/>
          <w:rtl/>
          <w:lang w:bidi="ar"/>
        </w:rPr>
        <w:t xml:space="preserve">مكتب تنمية الاتصالات، </w:t>
      </w:r>
      <w:r>
        <w:rPr>
          <w:rFonts w:hint="cs"/>
          <w:rtl/>
          <w:lang w:bidi="ar"/>
        </w:rPr>
        <w:t xml:space="preserve">بالإضافة إلى </w:t>
      </w:r>
      <w:r w:rsidRPr="00DD27ED">
        <w:rPr>
          <w:rFonts w:hint="cs"/>
          <w:rtl/>
          <w:lang w:bidi="ar"/>
        </w:rPr>
        <w:t xml:space="preserve">بعض المشاريع العالمية </w:t>
      </w:r>
      <w:r>
        <w:rPr>
          <w:rFonts w:hint="cs"/>
          <w:rtl/>
          <w:lang w:bidi="ar"/>
        </w:rPr>
        <w:t>ذات</w:t>
      </w:r>
      <w:r w:rsidRPr="00DD27ED">
        <w:rPr>
          <w:rFonts w:hint="cs"/>
          <w:rtl/>
          <w:lang w:bidi="ar"/>
        </w:rPr>
        <w:t xml:space="preserve"> التأثير في المناطق.</w:t>
      </w:r>
    </w:p>
    <w:p w14:paraId="155FA780" w14:textId="0739A6A7" w:rsidR="001B03B1" w:rsidRDefault="001B03B1" w:rsidP="001B03B1">
      <w:pPr>
        <w:keepNext/>
        <w:keepLines/>
        <w:rPr>
          <w:rtl/>
          <w:lang w:bidi="ar-EG"/>
        </w:rPr>
      </w:pPr>
      <w:r w:rsidRPr="00771207">
        <w:rPr>
          <w:lang w:val="fr-FR"/>
        </w:rPr>
        <w:t>9</w:t>
      </w:r>
      <w:r>
        <w:rPr>
          <w:rtl/>
          <w:lang w:bidi="ar-EG"/>
        </w:rPr>
        <w:tab/>
      </w:r>
      <w:r>
        <w:rPr>
          <w:rFonts w:hint="cs"/>
          <w:rtl/>
          <w:lang w:bidi="ar-EG"/>
        </w:rPr>
        <w:t xml:space="preserve">خلصت وحدة المراجعة الداخلية إلى الاستنتاجات التالية </w:t>
      </w:r>
      <w:r w:rsidRPr="00384856">
        <w:rPr>
          <w:rtl/>
          <w:lang w:bidi="ar-EG"/>
        </w:rPr>
        <w:t>بشأن عدد من المسائل</w:t>
      </w:r>
      <w:r>
        <w:rPr>
          <w:rFonts w:hint="cs"/>
          <w:rtl/>
          <w:lang w:bidi="ar-EG"/>
        </w:rPr>
        <w:t>، باعتبارها</w:t>
      </w:r>
      <w:r w:rsidRPr="00384856">
        <w:rPr>
          <w:rFonts w:hint="cs"/>
          <w:rtl/>
          <w:lang w:bidi="ar-EG"/>
        </w:rPr>
        <w:t xml:space="preserve"> </w:t>
      </w:r>
      <w:r>
        <w:rPr>
          <w:rFonts w:hint="cs"/>
          <w:rtl/>
          <w:lang w:bidi="ar-EG"/>
        </w:rPr>
        <w:t>مسائل حاسمة (الفقرة أ) أدناه) وذات أولوية عالية (الفقرة ب) أدناه</w:t>
      </w:r>
      <w:proofErr w:type="gramStart"/>
      <w:r>
        <w:rPr>
          <w:rFonts w:hint="cs"/>
          <w:rtl/>
          <w:lang w:bidi="ar-EG"/>
        </w:rPr>
        <w:t>):</w:t>
      </w:r>
      <w:proofErr w:type="gramEnd"/>
    </w:p>
    <w:p w14:paraId="11A99E10" w14:textId="04086DF1" w:rsidR="001B03B1" w:rsidRPr="001B03B1" w:rsidRDefault="001B03B1" w:rsidP="001B03B1">
      <w:pPr>
        <w:pStyle w:val="enumlev1"/>
        <w:rPr>
          <w:lang w:val="fr-FR"/>
        </w:rPr>
      </w:pPr>
      <w:r w:rsidRPr="001B03B1">
        <w:rPr>
          <w:rFonts w:hint="eastAsia"/>
          <w:rtl/>
        </w:rPr>
        <w:t> </w:t>
      </w:r>
      <w:proofErr w:type="gramStart"/>
      <w:r w:rsidRPr="001B03B1">
        <w:rPr>
          <w:rFonts w:hint="cs"/>
          <w:rtl/>
        </w:rPr>
        <w:t>أ</w:t>
      </w:r>
      <w:r w:rsidRPr="001B03B1">
        <w:rPr>
          <w:rFonts w:hint="eastAsia"/>
          <w:rtl/>
        </w:rPr>
        <w:t> </w:t>
      </w:r>
      <w:r w:rsidRPr="001B03B1">
        <w:rPr>
          <w:rFonts w:hint="cs"/>
          <w:rtl/>
        </w:rPr>
        <w:t>)</w:t>
      </w:r>
      <w:proofErr w:type="gramEnd"/>
      <w:r w:rsidRPr="001B03B1">
        <w:rPr>
          <w:rtl/>
        </w:rPr>
        <w:tab/>
      </w:r>
      <w:r w:rsidRPr="001B03B1">
        <w:rPr>
          <w:rFonts w:hint="cs"/>
          <w:rtl/>
          <w:lang w:bidi="ar-EG"/>
        </w:rPr>
        <w:t>تبيَّن أن</w:t>
      </w:r>
      <w:r w:rsidRPr="001B03B1">
        <w:rPr>
          <w:rFonts w:hint="cs"/>
          <w:rtl/>
        </w:rPr>
        <w:t xml:space="preserve"> المبادئ التوجيهية لإدارة المشاريع أصبحت متقادمة، مع وجود أوجه قصور كبيرة في مرحلة التخطيط للمشروع. وتبيّن أيضاً أن عمليات المساءلة والأدوار والمسؤوليات غير واضحة على مستويات مدير المشروع، ومنسقه والمدير الإقليمي. وأوصي بمراجعة وتوضيح المسؤوليات والأدوار وعمليات المساءلة المتعلقة بالوظائف المذكورة أعلاه بعد الانتهاء من وضع المبادئ التوجيهية الجديدة لإدارة المشاريع. وستشمل المراجعة </w:t>
      </w:r>
      <w:r w:rsidRPr="001B03B1">
        <w:rPr>
          <w:rtl/>
        </w:rPr>
        <w:t>هيكل</w:t>
      </w:r>
      <w:r w:rsidRPr="001B03B1">
        <w:rPr>
          <w:rFonts w:hint="cs"/>
          <w:rtl/>
        </w:rPr>
        <w:t>اً</w:t>
      </w:r>
      <w:r w:rsidRPr="001B03B1">
        <w:rPr>
          <w:rtl/>
        </w:rPr>
        <w:t xml:space="preserve"> </w:t>
      </w:r>
      <w:r w:rsidRPr="001B03B1">
        <w:rPr>
          <w:rFonts w:hint="cs"/>
          <w:rtl/>
        </w:rPr>
        <w:t>ل</w:t>
      </w:r>
      <w:r w:rsidRPr="001B03B1">
        <w:rPr>
          <w:rtl/>
        </w:rPr>
        <w:t xml:space="preserve">إدارة </w:t>
      </w:r>
      <w:r w:rsidRPr="001B03B1">
        <w:rPr>
          <w:rFonts w:hint="cs"/>
          <w:rtl/>
        </w:rPr>
        <w:t xml:space="preserve">المشاريع بروابط واضحة مع نهج الإدارة على أساس النتائج وإطار المساءلة في الاتحاد. وعلاوةً على ذلك، وفيما يتعلق بتوظيف واستخدام الخبراء </w:t>
      </w:r>
      <w:r w:rsidRPr="001B03B1">
        <w:rPr>
          <w:rFonts w:hint="cs"/>
          <w:rtl/>
          <w:lang w:bidi="ar-EG"/>
        </w:rPr>
        <w:t xml:space="preserve">بعقود </w:t>
      </w:r>
      <w:r w:rsidRPr="001B03B1">
        <w:rPr>
          <w:rFonts w:hint="cs"/>
          <w:rtl/>
        </w:rPr>
        <w:t>اتفاقات الخدمة الخاصة</w:t>
      </w:r>
      <w:r w:rsidRPr="001B03B1">
        <w:rPr>
          <w:rFonts w:hint="eastAsia"/>
          <w:rtl/>
        </w:rPr>
        <w:t> </w:t>
      </w:r>
      <w:r w:rsidRPr="001B03B1">
        <w:rPr>
          <w:rFonts w:hint="cs"/>
          <w:rtl/>
        </w:rPr>
        <w:t>(</w:t>
      </w:r>
      <w:r w:rsidRPr="001B03B1">
        <w:rPr>
          <w:rFonts w:hint="cs"/>
          <w:lang w:val="fr-FR"/>
        </w:rPr>
        <w:t>SSA</w:t>
      </w:r>
      <w:r w:rsidRPr="001B03B1">
        <w:rPr>
          <w:rFonts w:hint="cs"/>
          <w:rtl/>
        </w:rPr>
        <w:t xml:space="preserve">)، </w:t>
      </w:r>
      <w:r w:rsidRPr="001B03B1">
        <w:rPr>
          <w:rFonts w:hint="cs"/>
          <w:rtl/>
          <w:lang w:bidi="ar-EG"/>
        </w:rPr>
        <w:t>لا تُعَدّ عمليات</w:t>
      </w:r>
      <w:r w:rsidRPr="001B03B1">
        <w:rPr>
          <w:rFonts w:hint="cs"/>
          <w:rtl/>
        </w:rPr>
        <w:t xml:space="preserve"> إدارة المخاطر كافيةً ولا الضوابط فعالةً. وقد أوصي بالنظر على وجه السرعة في الإجراءات والممارسات المناسبة للاتحاد من أجل التعامل بشكل مناسب مع توظيف وإدارة استخدام ال</w:t>
      </w:r>
      <w:r w:rsidRPr="001B03B1">
        <w:rPr>
          <w:rFonts w:hint="cs"/>
          <w:rtl/>
          <w:lang w:bidi="ar-EG"/>
        </w:rPr>
        <w:t xml:space="preserve">خبراء بعقود </w:t>
      </w:r>
      <w:r w:rsidRPr="001B03B1">
        <w:rPr>
          <w:rFonts w:hint="cs"/>
          <w:rtl/>
        </w:rPr>
        <w:t xml:space="preserve">اتفاقات الخدمة الخاصة. </w:t>
      </w:r>
    </w:p>
    <w:p w14:paraId="33218702" w14:textId="52F4BBD3" w:rsidR="001B03B1" w:rsidRPr="005C149D" w:rsidRDefault="001B03B1" w:rsidP="001B03B1">
      <w:pPr>
        <w:pStyle w:val="enumlev1"/>
        <w:rPr>
          <w:lang w:val="fr-FR"/>
        </w:rPr>
      </w:pPr>
      <w:r>
        <w:rPr>
          <w:rFonts w:hint="cs"/>
          <w:rtl/>
        </w:rPr>
        <w:t>ب)</w:t>
      </w:r>
      <w:r>
        <w:rPr>
          <w:rtl/>
        </w:rPr>
        <w:tab/>
      </w:r>
      <w:r>
        <w:rPr>
          <w:rFonts w:hint="cs"/>
          <w:rtl/>
        </w:rPr>
        <w:t>وفيما يتعلق</w:t>
      </w:r>
      <w:r w:rsidRPr="005C149D">
        <w:rPr>
          <w:rFonts w:hint="cs"/>
          <w:rtl/>
        </w:rPr>
        <w:t xml:space="preserve"> </w:t>
      </w:r>
      <w:r>
        <w:rPr>
          <w:rFonts w:hint="cs"/>
          <w:rtl/>
        </w:rPr>
        <w:t>ب</w:t>
      </w:r>
      <w:r w:rsidRPr="005C149D">
        <w:rPr>
          <w:rFonts w:hint="cs"/>
          <w:rtl/>
        </w:rPr>
        <w:t xml:space="preserve">مشروعين رئيسيين في العينة، </w:t>
      </w:r>
      <w:r>
        <w:rPr>
          <w:rFonts w:hint="cs"/>
          <w:rtl/>
        </w:rPr>
        <w:t>تبيّن</w:t>
      </w:r>
      <w:r w:rsidRPr="005C149D">
        <w:rPr>
          <w:rFonts w:hint="cs"/>
          <w:rtl/>
        </w:rPr>
        <w:t xml:space="preserve"> أن هناك أوجه قصور كبيرة </w:t>
      </w:r>
      <w:r>
        <w:rPr>
          <w:rFonts w:hint="cs"/>
          <w:rtl/>
        </w:rPr>
        <w:t>خاصةً</w:t>
      </w:r>
      <w:r w:rsidRPr="005C149D">
        <w:rPr>
          <w:rFonts w:hint="cs"/>
          <w:rtl/>
        </w:rPr>
        <w:t xml:space="preserve"> على مستوى التخطيط والإعداد والتنفيذ وال</w:t>
      </w:r>
      <w:r>
        <w:rPr>
          <w:rFonts w:hint="cs"/>
          <w:rtl/>
        </w:rPr>
        <w:t>مراقبة</w:t>
      </w:r>
      <w:r w:rsidRPr="005C149D">
        <w:rPr>
          <w:rFonts w:hint="cs"/>
          <w:rtl/>
        </w:rPr>
        <w:t xml:space="preserve"> واستخدام الخبراء والمشتريات. وأوصي باعتماد خطط ملموسة </w:t>
      </w:r>
      <w:r>
        <w:rPr>
          <w:rFonts w:hint="cs"/>
          <w:rtl/>
        </w:rPr>
        <w:t>خارطة</w:t>
      </w:r>
      <w:r w:rsidRPr="005C149D">
        <w:rPr>
          <w:rFonts w:hint="cs"/>
          <w:rtl/>
        </w:rPr>
        <w:t xml:space="preserve"> طريق بشأن كيفية مواصلة/استكمال تنفيذ هذين المشروعين. واعت</w:t>
      </w:r>
      <w:r>
        <w:rPr>
          <w:rFonts w:hint="cs"/>
          <w:rtl/>
        </w:rPr>
        <w:t>ُ</w:t>
      </w:r>
      <w:r w:rsidRPr="005C149D">
        <w:rPr>
          <w:rFonts w:hint="cs"/>
          <w:rtl/>
        </w:rPr>
        <w:t xml:space="preserve">برت </w:t>
      </w:r>
      <w:r>
        <w:rPr>
          <w:rFonts w:hint="cs"/>
          <w:rtl/>
        </w:rPr>
        <w:t xml:space="preserve">عملية </w:t>
      </w:r>
      <w:r w:rsidRPr="005C149D">
        <w:rPr>
          <w:rFonts w:hint="cs"/>
          <w:rtl/>
        </w:rPr>
        <w:t xml:space="preserve">إدارة المخاطر </w:t>
      </w:r>
      <w:r>
        <w:rPr>
          <w:rFonts w:hint="cs"/>
          <w:rtl/>
        </w:rPr>
        <w:t>المتعلقة ب</w:t>
      </w:r>
      <w:r w:rsidRPr="005C149D">
        <w:rPr>
          <w:rFonts w:hint="cs"/>
          <w:rtl/>
        </w:rPr>
        <w:t xml:space="preserve">جميع المشاريع وإجراءات </w:t>
      </w:r>
      <w:r>
        <w:rPr>
          <w:rFonts w:hint="cs"/>
          <w:rtl/>
        </w:rPr>
        <w:t xml:space="preserve">الخطط </w:t>
      </w:r>
      <w:r w:rsidRPr="005C149D">
        <w:rPr>
          <w:rFonts w:hint="cs"/>
          <w:rtl/>
        </w:rPr>
        <w:t xml:space="preserve">التشغيلية غير كافية. </w:t>
      </w:r>
      <w:r w:rsidRPr="00C4749A">
        <w:rPr>
          <w:rFonts w:hint="cs"/>
          <w:rtl/>
        </w:rPr>
        <w:t xml:space="preserve">وأوصي بتطوير إجراءات وأدوات ومعايير </w:t>
      </w:r>
      <w:r>
        <w:rPr>
          <w:rFonts w:hint="cs"/>
          <w:rtl/>
        </w:rPr>
        <w:t>لإدارة</w:t>
      </w:r>
      <w:r w:rsidRPr="00C4749A">
        <w:rPr>
          <w:rFonts w:hint="cs"/>
          <w:rtl/>
        </w:rPr>
        <w:t xml:space="preserve"> المخاطر على نطاق مكتب تنمية الاتصالات </w:t>
      </w:r>
      <w:r>
        <w:rPr>
          <w:rFonts w:hint="cs"/>
          <w:rtl/>
        </w:rPr>
        <w:t xml:space="preserve">ككل </w:t>
      </w:r>
      <w:r w:rsidRPr="00C4749A">
        <w:rPr>
          <w:rFonts w:hint="cs"/>
          <w:rtl/>
        </w:rPr>
        <w:t xml:space="preserve">على مستوى المشاريع وفيما يتعلق بإجراءات الميزانية العادية. وتبيّن أن الأدوات المتعلقة بالمعلومات </w:t>
      </w:r>
      <w:r>
        <w:rPr>
          <w:rFonts w:hint="cs"/>
          <w:rtl/>
        </w:rPr>
        <w:t>والاتصال</w:t>
      </w:r>
      <w:r w:rsidRPr="00C4749A">
        <w:rPr>
          <w:rFonts w:hint="cs"/>
          <w:rtl/>
        </w:rPr>
        <w:t xml:space="preserve"> في</w:t>
      </w:r>
      <w:r w:rsidRPr="005C149D">
        <w:rPr>
          <w:rFonts w:hint="cs"/>
          <w:rtl/>
        </w:rPr>
        <w:t xml:space="preserve"> مكتب تنمية الاتصالات غير فعالة</w:t>
      </w:r>
      <w:r>
        <w:rPr>
          <w:rFonts w:hint="cs"/>
          <w:rtl/>
        </w:rPr>
        <w:t>،</w:t>
      </w:r>
      <w:r w:rsidRPr="005C149D">
        <w:rPr>
          <w:rFonts w:hint="cs"/>
          <w:rtl/>
        </w:rPr>
        <w:t xml:space="preserve"> وأوص</w:t>
      </w:r>
      <w:r>
        <w:rPr>
          <w:rFonts w:hint="cs"/>
          <w:rtl/>
        </w:rPr>
        <w:t>ي</w:t>
      </w:r>
      <w:r w:rsidRPr="005C149D">
        <w:rPr>
          <w:rFonts w:hint="cs"/>
          <w:rtl/>
        </w:rPr>
        <w:t xml:space="preserve"> بتحديد هذه الأدوات بهدف دعم </w:t>
      </w:r>
      <w:r>
        <w:rPr>
          <w:rFonts w:hint="cs"/>
          <w:rtl/>
        </w:rPr>
        <w:t>ال</w:t>
      </w:r>
      <w:r w:rsidRPr="005C149D">
        <w:rPr>
          <w:rFonts w:hint="cs"/>
          <w:rtl/>
        </w:rPr>
        <w:t xml:space="preserve">مكتب بشكل أفضل، ولا سيما تعزيز </w:t>
      </w:r>
      <w:r>
        <w:rPr>
          <w:rFonts w:hint="cs"/>
          <w:rtl/>
        </w:rPr>
        <w:t>جمع المعلومات عن</w:t>
      </w:r>
      <w:r w:rsidRPr="005C149D">
        <w:rPr>
          <w:rFonts w:hint="cs"/>
          <w:rtl/>
        </w:rPr>
        <w:t xml:space="preserve"> المشاريع والمبادرات وإجراءات الميزانية العادية و</w:t>
      </w:r>
      <w:r>
        <w:rPr>
          <w:rFonts w:hint="cs"/>
          <w:rtl/>
        </w:rPr>
        <w:t>مراقبتها</w:t>
      </w:r>
      <w:r w:rsidRPr="005C149D">
        <w:rPr>
          <w:rFonts w:hint="cs"/>
          <w:rtl/>
        </w:rPr>
        <w:t xml:space="preserve"> </w:t>
      </w:r>
      <w:r>
        <w:rPr>
          <w:rFonts w:hint="cs"/>
          <w:rtl/>
        </w:rPr>
        <w:t>وإعداد التقارير عنها</w:t>
      </w:r>
      <w:r w:rsidRPr="005C149D">
        <w:rPr>
          <w:rFonts w:hint="cs"/>
          <w:rtl/>
        </w:rPr>
        <w:t xml:space="preserve">. </w:t>
      </w:r>
      <w:r>
        <w:rPr>
          <w:rFonts w:hint="cs"/>
          <w:rtl/>
        </w:rPr>
        <w:t>وفيما يتصل ب</w:t>
      </w:r>
      <w:r w:rsidRPr="005C149D">
        <w:rPr>
          <w:rFonts w:hint="cs"/>
          <w:rtl/>
        </w:rPr>
        <w:t xml:space="preserve">أحداث مكتب تنمية الاتصالات في المناطق، تبين أن المراقبة غير كافية وأن هناك </w:t>
      </w:r>
      <w:proofErr w:type="gramStart"/>
      <w:r w:rsidRPr="005C149D">
        <w:rPr>
          <w:rFonts w:hint="cs"/>
          <w:rtl/>
        </w:rPr>
        <w:t>مخاطر</w:t>
      </w:r>
      <w:proofErr w:type="gramEnd"/>
      <w:r w:rsidRPr="005C149D">
        <w:rPr>
          <w:rFonts w:hint="cs"/>
          <w:rtl/>
        </w:rPr>
        <w:t xml:space="preserve"> عالية تتمثل في عدم استخدام الموارد بكفاءة وفعالية. وأوصي بتنفيذ </w:t>
      </w:r>
      <w:r>
        <w:rPr>
          <w:rFonts w:hint="cs"/>
          <w:rtl/>
          <w:lang w:bidi="ar-EG"/>
        </w:rPr>
        <w:t>ضوابط</w:t>
      </w:r>
      <w:r w:rsidRPr="005C149D">
        <w:rPr>
          <w:rFonts w:hint="cs"/>
          <w:rtl/>
        </w:rPr>
        <w:t xml:space="preserve"> مسبقة و</w:t>
      </w:r>
      <w:r>
        <w:rPr>
          <w:rFonts w:hint="cs"/>
          <w:rtl/>
        </w:rPr>
        <w:t>لاحقة</w:t>
      </w:r>
      <w:r w:rsidRPr="005C149D">
        <w:rPr>
          <w:rFonts w:hint="cs"/>
          <w:rtl/>
        </w:rPr>
        <w:t xml:space="preserve"> </w:t>
      </w:r>
      <w:r>
        <w:rPr>
          <w:rFonts w:hint="cs"/>
          <w:rtl/>
        </w:rPr>
        <w:t xml:space="preserve">على عملية </w:t>
      </w:r>
      <w:r w:rsidRPr="005C149D">
        <w:rPr>
          <w:rFonts w:hint="cs"/>
          <w:rtl/>
        </w:rPr>
        <w:t xml:space="preserve">تنظيم الأحداث (ورش </w:t>
      </w:r>
      <w:r>
        <w:rPr>
          <w:rFonts w:hint="cs"/>
          <w:rtl/>
        </w:rPr>
        <w:t>ال</w:t>
      </w:r>
      <w:r w:rsidRPr="005C149D">
        <w:rPr>
          <w:rFonts w:hint="cs"/>
          <w:rtl/>
        </w:rPr>
        <w:t xml:space="preserve">عمل، </w:t>
      </w:r>
      <w:r>
        <w:rPr>
          <w:rFonts w:hint="cs"/>
          <w:rtl/>
        </w:rPr>
        <w:t>الحلقات الدراسية</w:t>
      </w:r>
      <w:r w:rsidRPr="005C149D">
        <w:rPr>
          <w:rFonts w:hint="cs"/>
          <w:rtl/>
        </w:rPr>
        <w:t xml:space="preserve">، </w:t>
      </w:r>
      <w:r>
        <w:rPr>
          <w:rFonts w:hint="cs"/>
          <w:rtl/>
        </w:rPr>
        <w:t>المؤتمرات</w:t>
      </w:r>
      <w:r w:rsidRPr="005C149D">
        <w:rPr>
          <w:rFonts w:hint="cs"/>
          <w:rtl/>
        </w:rPr>
        <w:t xml:space="preserve">). </w:t>
      </w:r>
      <w:r>
        <w:rPr>
          <w:rFonts w:hint="cs"/>
          <w:rtl/>
        </w:rPr>
        <w:t>و</w:t>
      </w:r>
      <w:r w:rsidRPr="005C149D">
        <w:rPr>
          <w:rFonts w:hint="cs"/>
          <w:rtl/>
        </w:rPr>
        <w:t>أوصي أيضا</w:t>
      </w:r>
      <w:r>
        <w:rPr>
          <w:rFonts w:hint="cs"/>
          <w:rtl/>
        </w:rPr>
        <w:t>ً</w:t>
      </w:r>
      <w:r w:rsidRPr="005C149D">
        <w:rPr>
          <w:rFonts w:hint="cs"/>
          <w:rtl/>
        </w:rPr>
        <w:t xml:space="preserve"> بتقييم الأنظمة والضوابط الحالية المتعلقة </w:t>
      </w:r>
      <w:r>
        <w:rPr>
          <w:rFonts w:hint="cs"/>
          <w:rtl/>
        </w:rPr>
        <w:t>بمراقبة</w:t>
      </w:r>
      <w:r w:rsidRPr="005C149D">
        <w:rPr>
          <w:rFonts w:hint="cs"/>
          <w:rtl/>
        </w:rPr>
        <w:t xml:space="preserve"> </w:t>
      </w:r>
      <w:r>
        <w:rPr>
          <w:rFonts w:hint="cs"/>
          <w:rtl/>
        </w:rPr>
        <w:t>المشاريع</w:t>
      </w:r>
      <w:r w:rsidRPr="005C149D">
        <w:rPr>
          <w:rFonts w:hint="cs"/>
          <w:rtl/>
        </w:rPr>
        <w:t xml:space="preserve"> بهدف </w:t>
      </w:r>
      <w:r>
        <w:rPr>
          <w:rFonts w:hint="cs"/>
          <w:rtl/>
        </w:rPr>
        <w:t>'</w:t>
      </w:r>
      <w:r>
        <w:rPr>
          <w:rFonts w:hint="cs"/>
          <w:rtl/>
          <w:lang w:bidi="ar-EG"/>
        </w:rPr>
        <w:t>1</w:t>
      </w:r>
      <w:r>
        <w:rPr>
          <w:rFonts w:hint="cs"/>
          <w:rtl/>
        </w:rPr>
        <w:t>'</w:t>
      </w:r>
      <w:r>
        <w:rPr>
          <w:rFonts w:hint="eastAsia"/>
          <w:rtl/>
        </w:rPr>
        <w:t> </w:t>
      </w:r>
      <w:r w:rsidRPr="005C149D">
        <w:rPr>
          <w:rFonts w:hint="cs"/>
          <w:rtl/>
        </w:rPr>
        <w:t>تحديد التحسينات على مستوى تبادل المعلومات</w:t>
      </w:r>
      <w:r>
        <w:rPr>
          <w:rFonts w:hint="cs"/>
          <w:rtl/>
        </w:rPr>
        <w:t>،</w:t>
      </w:r>
      <w:r w:rsidRPr="005C149D">
        <w:rPr>
          <w:rFonts w:hint="cs"/>
          <w:rtl/>
        </w:rPr>
        <w:t xml:space="preserve"> </w:t>
      </w:r>
      <w:r>
        <w:rPr>
          <w:rFonts w:hint="cs"/>
          <w:rtl/>
        </w:rPr>
        <w:t>'</w:t>
      </w:r>
      <w:r w:rsidRPr="00771207">
        <w:rPr>
          <w:lang w:val="fr-FR" w:bidi="ar-EG"/>
        </w:rPr>
        <w:t>2</w:t>
      </w:r>
      <w:r>
        <w:rPr>
          <w:rFonts w:hint="cs"/>
          <w:rtl/>
        </w:rPr>
        <w:t>'</w:t>
      </w:r>
      <w:r w:rsidRPr="005C149D">
        <w:rPr>
          <w:rFonts w:hint="cs"/>
          <w:rtl/>
        </w:rPr>
        <w:t xml:space="preserve"> و</w:t>
      </w:r>
      <w:r>
        <w:rPr>
          <w:rFonts w:hint="cs"/>
          <w:rtl/>
        </w:rPr>
        <w:t>ا</w:t>
      </w:r>
      <w:r w:rsidRPr="005C149D">
        <w:rPr>
          <w:rFonts w:hint="cs"/>
          <w:rtl/>
        </w:rPr>
        <w:t>تخاذ التدابير المناسبة ضد مديري المشاريع الذين لا</w:t>
      </w:r>
      <w:r>
        <w:rPr>
          <w:rFonts w:hint="eastAsia"/>
          <w:rtl/>
        </w:rPr>
        <w:t> </w:t>
      </w:r>
      <w:r>
        <w:rPr>
          <w:rFonts w:hint="cs"/>
          <w:rtl/>
        </w:rPr>
        <w:t>يعدّون التقارير</w:t>
      </w:r>
      <w:r w:rsidRPr="005C149D">
        <w:rPr>
          <w:rFonts w:hint="cs"/>
          <w:rtl/>
        </w:rPr>
        <w:t xml:space="preserve"> عن تنفيذ </w:t>
      </w:r>
      <w:r>
        <w:rPr>
          <w:rFonts w:hint="cs"/>
          <w:rtl/>
        </w:rPr>
        <w:t>المشاريع</w:t>
      </w:r>
      <w:r w:rsidRPr="005C149D">
        <w:rPr>
          <w:rFonts w:hint="cs"/>
          <w:rtl/>
        </w:rPr>
        <w:t xml:space="preserve"> بشكل </w:t>
      </w:r>
      <w:r>
        <w:rPr>
          <w:rFonts w:hint="cs"/>
          <w:rtl/>
        </w:rPr>
        <w:t>ملائم</w:t>
      </w:r>
      <w:r w:rsidRPr="005C149D">
        <w:rPr>
          <w:rFonts w:hint="cs"/>
          <w:rtl/>
        </w:rPr>
        <w:t xml:space="preserve"> وفي الوقت المناسب.</w:t>
      </w:r>
    </w:p>
    <w:p w14:paraId="28451E3C" w14:textId="75BBA7CF" w:rsidR="001B03B1" w:rsidRPr="005C149D" w:rsidRDefault="001B03B1" w:rsidP="001B03B1">
      <w:pPr>
        <w:rPr>
          <w:lang w:val="fr-FR" w:bidi="ar-EG"/>
        </w:rPr>
      </w:pPr>
      <w:r w:rsidRPr="00771207">
        <w:rPr>
          <w:lang w:val="fr-FR"/>
        </w:rPr>
        <w:t>10</w:t>
      </w:r>
      <w:r>
        <w:rPr>
          <w:rtl/>
          <w:lang w:bidi="ar-EG"/>
        </w:rPr>
        <w:tab/>
      </w:r>
      <w:r>
        <w:rPr>
          <w:rFonts w:hint="cs"/>
          <w:rtl/>
          <w:lang w:bidi="ar-EG"/>
        </w:rPr>
        <w:t>و</w:t>
      </w:r>
      <w:r w:rsidRPr="005C149D">
        <w:rPr>
          <w:rFonts w:hint="cs"/>
          <w:rtl/>
          <w:lang w:bidi="ar"/>
        </w:rPr>
        <w:t>وافق</w:t>
      </w:r>
      <w:r>
        <w:rPr>
          <w:rFonts w:hint="cs"/>
          <w:rtl/>
          <w:lang w:bidi="ar"/>
        </w:rPr>
        <w:t>ت</w:t>
      </w:r>
      <w:r w:rsidRPr="005C149D">
        <w:rPr>
          <w:rFonts w:hint="cs"/>
          <w:rtl/>
          <w:lang w:bidi="ar"/>
        </w:rPr>
        <w:t xml:space="preserve"> مدير</w:t>
      </w:r>
      <w:r>
        <w:rPr>
          <w:rFonts w:hint="cs"/>
          <w:rtl/>
          <w:lang w:bidi="ar"/>
        </w:rPr>
        <w:t>ة</w:t>
      </w:r>
      <w:r w:rsidRPr="005C149D">
        <w:rPr>
          <w:rFonts w:hint="cs"/>
          <w:rtl/>
          <w:lang w:bidi="ar"/>
        </w:rPr>
        <w:t xml:space="preserve"> مكتب تنمية الاتصالات ورئيس </w:t>
      </w:r>
      <w:r>
        <w:rPr>
          <w:rFonts w:hint="cs"/>
          <w:rtl/>
          <w:lang w:bidi="ar"/>
        </w:rPr>
        <w:t>دائرة</w:t>
      </w:r>
      <w:r w:rsidRPr="005C149D">
        <w:rPr>
          <w:rFonts w:hint="cs"/>
          <w:rtl/>
          <w:lang w:bidi="ar"/>
        </w:rPr>
        <w:t xml:space="preserve"> إدارة الموارد البشرية على جميع التوصيات المقدمة، </w:t>
      </w:r>
      <w:r>
        <w:rPr>
          <w:rFonts w:hint="cs"/>
          <w:rtl/>
          <w:lang w:bidi="ar"/>
        </w:rPr>
        <w:t xml:space="preserve">وتعهدا </w:t>
      </w:r>
      <w:r w:rsidRPr="005C149D">
        <w:rPr>
          <w:rFonts w:hint="cs"/>
          <w:rtl/>
          <w:lang w:bidi="ar"/>
        </w:rPr>
        <w:t xml:space="preserve">بتنفيذها على الفور. </w:t>
      </w:r>
      <w:r>
        <w:rPr>
          <w:rFonts w:hint="cs"/>
          <w:rtl/>
          <w:lang w:bidi="ar"/>
        </w:rPr>
        <w:t>و</w:t>
      </w:r>
      <w:r w:rsidRPr="005C149D">
        <w:rPr>
          <w:rFonts w:hint="cs"/>
          <w:rtl/>
          <w:lang w:bidi="ar"/>
        </w:rPr>
        <w:t>علاوة</w:t>
      </w:r>
      <w:r>
        <w:rPr>
          <w:rFonts w:hint="cs"/>
          <w:rtl/>
          <w:lang w:bidi="ar"/>
        </w:rPr>
        <w:t>ً</w:t>
      </w:r>
      <w:r w:rsidRPr="005C149D">
        <w:rPr>
          <w:rFonts w:hint="cs"/>
          <w:rtl/>
          <w:lang w:bidi="ar"/>
        </w:rPr>
        <w:t xml:space="preserve"> على ذلك، يلاحظ أن </w:t>
      </w:r>
      <w:r>
        <w:rPr>
          <w:rFonts w:hint="cs"/>
          <w:rtl/>
          <w:lang w:bidi="ar"/>
        </w:rPr>
        <w:t xml:space="preserve">هناك </w:t>
      </w:r>
      <w:r w:rsidRPr="005C149D">
        <w:rPr>
          <w:rFonts w:hint="cs"/>
          <w:rtl/>
          <w:lang w:bidi="ar"/>
        </w:rPr>
        <w:t>تقييم</w:t>
      </w:r>
      <w:r>
        <w:rPr>
          <w:rFonts w:hint="cs"/>
          <w:rtl/>
          <w:lang w:bidi="ar"/>
        </w:rPr>
        <w:t>اً</w:t>
      </w:r>
      <w:r w:rsidRPr="005C149D">
        <w:rPr>
          <w:rFonts w:hint="cs"/>
          <w:rtl/>
          <w:lang w:bidi="ar"/>
        </w:rPr>
        <w:t xml:space="preserve"> </w:t>
      </w:r>
      <w:r>
        <w:rPr>
          <w:rFonts w:hint="cs"/>
          <w:rtl/>
          <w:lang w:bidi="ar"/>
        </w:rPr>
        <w:t>ل</w:t>
      </w:r>
      <w:r w:rsidRPr="005C149D">
        <w:rPr>
          <w:rFonts w:hint="cs"/>
          <w:rtl/>
          <w:lang w:bidi="ar"/>
        </w:rPr>
        <w:t>تكنولوجيا المعلومات قيد التنفيذ مع</w:t>
      </w:r>
      <w:r>
        <w:rPr>
          <w:rFonts w:hint="cs"/>
          <w:rtl/>
          <w:lang w:bidi="ar"/>
        </w:rPr>
        <w:t xml:space="preserve"> التخطيط لإجراء</w:t>
      </w:r>
      <w:r w:rsidRPr="005C149D">
        <w:rPr>
          <w:rFonts w:hint="cs"/>
          <w:rtl/>
          <w:lang w:bidi="ar"/>
        </w:rPr>
        <w:t xml:space="preserve"> تجديد كامل لأدوات مكتب تنمية الاتصالات، بما في ذلك </w:t>
      </w:r>
      <w:r>
        <w:rPr>
          <w:rFonts w:hint="cs"/>
          <w:rtl/>
          <w:lang w:bidi="ar"/>
        </w:rPr>
        <w:t>إنشاء</w:t>
      </w:r>
      <w:r w:rsidRPr="005C149D">
        <w:rPr>
          <w:rFonts w:hint="cs"/>
          <w:rtl/>
          <w:lang w:bidi="ar"/>
        </w:rPr>
        <w:t xml:space="preserve"> لوحات معلومات </w:t>
      </w:r>
      <w:r>
        <w:rPr>
          <w:rFonts w:hint="cs"/>
          <w:rtl/>
          <w:lang w:bidi="ar"/>
        </w:rPr>
        <w:t>تعمل</w:t>
      </w:r>
      <w:r w:rsidRPr="005C149D">
        <w:rPr>
          <w:rFonts w:hint="cs"/>
          <w:rtl/>
          <w:lang w:bidi="ar"/>
        </w:rPr>
        <w:t xml:space="preserve"> </w:t>
      </w:r>
      <w:r>
        <w:rPr>
          <w:rFonts w:hint="cs"/>
          <w:rtl/>
          <w:lang w:bidi="ar"/>
        </w:rPr>
        <w:t xml:space="preserve">في </w:t>
      </w:r>
      <w:r w:rsidRPr="005C149D">
        <w:rPr>
          <w:rFonts w:hint="cs"/>
          <w:rtl/>
          <w:lang w:bidi="ar"/>
        </w:rPr>
        <w:t xml:space="preserve">الوقت </w:t>
      </w:r>
      <w:r>
        <w:rPr>
          <w:rFonts w:hint="cs"/>
          <w:rtl/>
          <w:lang w:bidi="ar"/>
        </w:rPr>
        <w:t>الفعلي</w:t>
      </w:r>
      <w:r w:rsidRPr="005C149D">
        <w:rPr>
          <w:rFonts w:hint="cs"/>
          <w:rtl/>
          <w:lang w:bidi="ar"/>
        </w:rPr>
        <w:t xml:space="preserve">. </w:t>
      </w:r>
      <w:r>
        <w:rPr>
          <w:rFonts w:hint="cs"/>
          <w:rtl/>
          <w:lang w:bidi="ar"/>
        </w:rPr>
        <w:t>وهناك</w:t>
      </w:r>
      <w:r w:rsidRPr="005C149D">
        <w:rPr>
          <w:rFonts w:hint="cs"/>
          <w:rtl/>
          <w:lang w:bidi="ar"/>
        </w:rPr>
        <w:t xml:space="preserve"> بعض الإجراءات لتنفيذ التوصيات </w:t>
      </w:r>
      <w:r>
        <w:rPr>
          <w:rFonts w:hint="cs"/>
          <w:rtl/>
          <w:lang w:bidi="ar"/>
        </w:rPr>
        <w:t>جاري اتخاذها أو اتخذت بالفعل</w:t>
      </w:r>
      <w:r w:rsidRPr="005C149D">
        <w:rPr>
          <w:rFonts w:hint="cs"/>
          <w:rtl/>
          <w:lang w:bidi="ar"/>
        </w:rPr>
        <w:t>.</w:t>
      </w:r>
    </w:p>
    <w:p w14:paraId="7EA5BAB6" w14:textId="77777777" w:rsidR="001B03B1" w:rsidRDefault="001B03B1" w:rsidP="001B03B1">
      <w:pPr>
        <w:pStyle w:val="Heading1"/>
        <w:rPr>
          <w:rtl/>
        </w:rPr>
      </w:pPr>
      <w:r>
        <w:rPr>
          <w:rFonts w:hint="cs"/>
          <w:rtl/>
        </w:rPr>
        <w:t>التحقيقات التي اضطلعت بها وحدة المراجعة الداخلية</w:t>
      </w:r>
    </w:p>
    <w:p w14:paraId="36F8CCEE" w14:textId="3B219594" w:rsidR="001B03B1" w:rsidRPr="005F041E" w:rsidRDefault="001B03B1" w:rsidP="001B03B1">
      <w:pPr>
        <w:rPr>
          <w:spacing w:val="4"/>
          <w:lang w:val="fr-FR" w:bidi="ar-EG"/>
        </w:rPr>
      </w:pPr>
      <w:r>
        <w:rPr>
          <w:spacing w:val="4"/>
          <w:lang w:bidi="ar-EG"/>
        </w:rPr>
        <w:t>11</w:t>
      </w:r>
      <w:r>
        <w:rPr>
          <w:rFonts w:hint="cs"/>
          <w:spacing w:val="4"/>
          <w:rtl/>
          <w:lang w:bidi="ar-EG"/>
        </w:rPr>
        <w:tab/>
      </w:r>
      <w:r>
        <w:rPr>
          <w:rFonts w:hint="cs"/>
          <w:spacing w:val="4"/>
          <w:rtl/>
          <w:lang w:bidi="ar"/>
        </w:rPr>
        <w:t>انتهت</w:t>
      </w:r>
      <w:r w:rsidRPr="005F041E">
        <w:rPr>
          <w:rFonts w:hint="cs"/>
          <w:spacing w:val="4"/>
          <w:rtl/>
          <w:lang w:bidi="ar"/>
        </w:rPr>
        <w:t xml:space="preserve"> </w:t>
      </w:r>
      <w:r w:rsidRPr="005F041E">
        <w:rPr>
          <w:rFonts w:hint="cs"/>
          <w:spacing w:val="4"/>
          <w:rtl/>
        </w:rPr>
        <w:t>وحدة المراجعة الداخلية</w:t>
      </w:r>
      <w:r w:rsidRPr="005F041E">
        <w:rPr>
          <w:rFonts w:hint="cs"/>
          <w:spacing w:val="4"/>
          <w:rtl/>
          <w:lang w:bidi="ar"/>
        </w:rPr>
        <w:t xml:space="preserve">، بصفتها التحقيقية، </w:t>
      </w:r>
      <w:r>
        <w:rPr>
          <w:rFonts w:hint="cs"/>
          <w:spacing w:val="4"/>
          <w:rtl/>
          <w:lang w:bidi="ar"/>
        </w:rPr>
        <w:t xml:space="preserve">من إجراء </w:t>
      </w:r>
      <w:r w:rsidRPr="005F041E">
        <w:rPr>
          <w:rFonts w:hint="cs"/>
          <w:spacing w:val="4"/>
          <w:rtl/>
          <w:lang w:bidi="ar"/>
        </w:rPr>
        <w:t xml:space="preserve">تحقيقين وهي الآن </w:t>
      </w:r>
      <w:r>
        <w:rPr>
          <w:rFonts w:hint="cs"/>
          <w:spacing w:val="4"/>
          <w:rtl/>
          <w:lang w:bidi="ar"/>
        </w:rPr>
        <w:t>ب</w:t>
      </w:r>
      <w:r w:rsidRPr="005F041E">
        <w:rPr>
          <w:rFonts w:hint="cs"/>
          <w:spacing w:val="4"/>
          <w:rtl/>
          <w:lang w:bidi="ar"/>
        </w:rPr>
        <w:t xml:space="preserve">صدد إجراء ست تحقيقات. </w:t>
      </w:r>
      <w:r>
        <w:rPr>
          <w:rFonts w:hint="cs"/>
          <w:spacing w:val="4"/>
          <w:rtl/>
          <w:lang w:bidi="ar"/>
        </w:rPr>
        <w:t>و</w:t>
      </w:r>
      <w:r w:rsidRPr="005F041E">
        <w:rPr>
          <w:rFonts w:hint="cs"/>
          <w:spacing w:val="4"/>
          <w:rtl/>
          <w:lang w:bidi="ar"/>
        </w:rPr>
        <w:t xml:space="preserve">قدمت </w:t>
      </w:r>
      <w:r>
        <w:rPr>
          <w:rFonts w:hint="cs"/>
          <w:spacing w:val="4"/>
          <w:rtl/>
          <w:lang w:bidi="ar"/>
        </w:rPr>
        <w:t>الوحدة أيضاً</w:t>
      </w:r>
      <w:r w:rsidRPr="005F041E">
        <w:rPr>
          <w:rFonts w:hint="cs"/>
          <w:spacing w:val="4"/>
          <w:rtl/>
          <w:lang w:bidi="ar"/>
        </w:rPr>
        <w:t xml:space="preserve"> دعماً مكثفاً </w:t>
      </w:r>
      <w:r>
        <w:rPr>
          <w:rFonts w:hint="cs"/>
          <w:spacing w:val="4"/>
          <w:rtl/>
          <w:lang w:bidi="ar"/>
        </w:rPr>
        <w:t>إلى ال</w:t>
      </w:r>
      <w:r w:rsidRPr="005F041E">
        <w:rPr>
          <w:rFonts w:hint="cs"/>
          <w:spacing w:val="4"/>
          <w:rtl/>
          <w:lang w:bidi="ar"/>
        </w:rPr>
        <w:t xml:space="preserve">محققين الخارجيين </w:t>
      </w:r>
      <w:r>
        <w:rPr>
          <w:rFonts w:hint="cs"/>
          <w:spacing w:val="4"/>
          <w:rtl/>
          <w:lang w:bidi="ar"/>
        </w:rPr>
        <w:t>فيما يتعلق بتحقيقين</w:t>
      </w:r>
      <w:r w:rsidRPr="005F041E">
        <w:rPr>
          <w:rFonts w:hint="cs"/>
          <w:spacing w:val="4"/>
          <w:rtl/>
          <w:lang w:bidi="ar"/>
        </w:rPr>
        <w:t>.</w:t>
      </w:r>
    </w:p>
    <w:p w14:paraId="01DAA733" w14:textId="77777777" w:rsidR="001B03B1" w:rsidRDefault="001B03B1" w:rsidP="001B03B1">
      <w:pPr>
        <w:rPr>
          <w:spacing w:val="4"/>
          <w:rtl/>
          <w:lang w:bidi="ar-EG"/>
        </w:rPr>
      </w:pPr>
      <w:r w:rsidRPr="00771207">
        <w:rPr>
          <w:spacing w:val="4"/>
          <w:lang w:val="fr-FR" w:bidi="ar-EG"/>
        </w:rPr>
        <w:t>12</w:t>
      </w:r>
      <w:r>
        <w:rPr>
          <w:spacing w:val="4"/>
          <w:rtl/>
          <w:lang w:bidi="ar-EG"/>
        </w:rPr>
        <w:tab/>
      </w:r>
      <w:r>
        <w:rPr>
          <w:rFonts w:hint="cs"/>
          <w:spacing w:val="4"/>
          <w:rtl/>
          <w:lang w:bidi="ar-EG"/>
        </w:rPr>
        <w:t>و</w:t>
      </w:r>
      <w:r w:rsidRPr="005F041E">
        <w:rPr>
          <w:rFonts w:hint="cs"/>
          <w:spacing w:val="4"/>
          <w:rtl/>
          <w:lang w:bidi="ar"/>
        </w:rPr>
        <w:t xml:space="preserve">انتهت </w:t>
      </w:r>
      <w:r w:rsidRPr="005F041E">
        <w:rPr>
          <w:rFonts w:hint="cs"/>
          <w:spacing w:val="4"/>
          <w:rtl/>
        </w:rPr>
        <w:t>وحدة المراجعة الداخلية</w:t>
      </w:r>
      <w:r>
        <w:rPr>
          <w:rFonts w:hint="cs"/>
          <w:spacing w:val="4"/>
          <w:rtl/>
        </w:rPr>
        <w:t xml:space="preserve"> </w:t>
      </w:r>
      <w:r w:rsidRPr="005F041E">
        <w:rPr>
          <w:rFonts w:hint="cs"/>
          <w:spacing w:val="4"/>
          <w:rtl/>
          <w:lang w:bidi="ar"/>
        </w:rPr>
        <w:t xml:space="preserve">من إجراء </w:t>
      </w:r>
      <w:proofErr w:type="gramStart"/>
      <w:r w:rsidRPr="005F041E">
        <w:rPr>
          <w:rFonts w:hint="cs"/>
          <w:spacing w:val="4"/>
          <w:rtl/>
          <w:lang w:bidi="ar"/>
        </w:rPr>
        <w:t>تحقيقين</w:t>
      </w:r>
      <w:r>
        <w:rPr>
          <w:rFonts w:hint="cs"/>
          <w:spacing w:val="4"/>
          <w:rtl/>
          <w:lang w:bidi="ar-EG"/>
        </w:rPr>
        <w:t>:</w:t>
      </w:r>
      <w:proofErr w:type="gramEnd"/>
    </w:p>
    <w:p w14:paraId="3C4CEFBF" w14:textId="1D4C76A9" w:rsidR="001B03B1" w:rsidRPr="005F041E" w:rsidRDefault="001B03B1" w:rsidP="001B03B1">
      <w:pPr>
        <w:pStyle w:val="enumlev1"/>
        <w:rPr>
          <w:rtl/>
        </w:rPr>
      </w:pPr>
      <w:r>
        <w:rPr>
          <w:rFonts w:hint="eastAsia"/>
          <w:rtl/>
          <w:lang w:bidi="ar-EG"/>
        </w:rPr>
        <w:t> </w:t>
      </w:r>
      <w:proofErr w:type="gramStart"/>
      <w:r>
        <w:rPr>
          <w:rFonts w:hint="cs"/>
          <w:rtl/>
          <w:lang w:bidi="ar-EG"/>
        </w:rPr>
        <w:t>أ</w:t>
      </w:r>
      <w:r>
        <w:rPr>
          <w:rFonts w:hint="eastAsia"/>
          <w:rtl/>
          <w:lang w:bidi="ar-EG"/>
        </w:rPr>
        <w:t> </w:t>
      </w:r>
      <w:r>
        <w:rPr>
          <w:rFonts w:hint="cs"/>
          <w:rtl/>
          <w:lang w:bidi="ar-EG"/>
        </w:rPr>
        <w:t>)</w:t>
      </w:r>
      <w:proofErr w:type="gramEnd"/>
      <w:r>
        <w:rPr>
          <w:rtl/>
          <w:lang w:bidi="ar-EG"/>
        </w:rPr>
        <w:tab/>
      </w:r>
      <w:r w:rsidRPr="005F041E">
        <w:rPr>
          <w:rFonts w:hint="cs"/>
          <w:rtl/>
        </w:rPr>
        <w:t xml:space="preserve">تحقيق رسمي في شكوى </w:t>
      </w:r>
      <w:r>
        <w:rPr>
          <w:rFonts w:hint="cs"/>
          <w:rtl/>
        </w:rPr>
        <w:t>بشأن</w:t>
      </w:r>
      <w:r w:rsidRPr="005F041E">
        <w:rPr>
          <w:rFonts w:hint="cs"/>
          <w:rtl/>
        </w:rPr>
        <w:t xml:space="preserve"> </w:t>
      </w:r>
      <w:r>
        <w:rPr>
          <w:rFonts w:hint="cs"/>
          <w:rtl/>
        </w:rPr>
        <w:t>'</w:t>
      </w:r>
      <w:r>
        <w:rPr>
          <w:rFonts w:hint="cs"/>
          <w:rtl/>
          <w:lang w:bidi="ar-EG"/>
        </w:rPr>
        <w:t>1</w:t>
      </w:r>
      <w:r>
        <w:rPr>
          <w:rFonts w:hint="cs"/>
          <w:rtl/>
        </w:rPr>
        <w:t>'</w:t>
      </w:r>
      <w:r w:rsidRPr="005C149D">
        <w:rPr>
          <w:rFonts w:hint="cs"/>
          <w:rtl/>
        </w:rPr>
        <w:t xml:space="preserve"> </w:t>
      </w:r>
      <w:r>
        <w:rPr>
          <w:rFonts w:hint="cs"/>
          <w:rtl/>
        </w:rPr>
        <w:t xml:space="preserve">توجه </w:t>
      </w:r>
      <w:r w:rsidRPr="005F041E">
        <w:rPr>
          <w:rFonts w:hint="cs"/>
          <w:rtl/>
        </w:rPr>
        <w:t xml:space="preserve">مشرفين سابقين </w:t>
      </w:r>
      <w:r>
        <w:rPr>
          <w:rFonts w:hint="cs"/>
          <w:rtl/>
        </w:rPr>
        <w:t>ب</w:t>
      </w:r>
      <w:r w:rsidRPr="005F041E">
        <w:rPr>
          <w:rFonts w:hint="cs"/>
          <w:rtl/>
        </w:rPr>
        <w:t xml:space="preserve">سلوك غير لائق مزعوم تجاه مقدم الشكوى، </w:t>
      </w:r>
      <w:r>
        <w:rPr>
          <w:rFonts w:hint="cs"/>
          <w:rtl/>
        </w:rPr>
        <w:t>'</w:t>
      </w:r>
      <w:r>
        <w:rPr>
          <w:lang w:bidi="ar-EG"/>
        </w:rPr>
        <w:t>2</w:t>
      </w:r>
      <w:r>
        <w:rPr>
          <w:rFonts w:hint="cs"/>
          <w:rtl/>
        </w:rPr>
        <w:t>'</w:t>
      </w:r>
      <w:r w:rsidRPr="005C149D">
        <w:rPr>
          <w:rFonts w:hint="cs"/>
          <w:rtl/>
        </w:rPr>
        <w:t xml:space="preserve"> </w:t>
      </w:r>
      <w:r>
        <w:rPr>
          <w:rFonts w:hint="cs"/>
          <w:rtl/>
        </w:rPr>
        <w:t>و</w:t>
      </w:r>
      <w:r w:rsidRPr="005F041E">
        <w:rPr>
          <w:rFonts w:hint="cs"/>
          <w:rtl/>
        </w:rPr>
        <w:t xml:space="preserve">انتهاك مزعوم لسياسة مكافحة الاحتيال من مشرفين سابقين، </w:t>
      </w:r>
      <w:r>
        <w:rPr>
          <w:rFonts w:hint="cs"/>
          <w:rtl/>
        </w:rPr>
        <w:t>'</w:t>
      </w:r>
      <w:r>
        <w:rPr>
          <w:lang w:bidi="ar-EG"/>
        </w:rPr>
        <w:t>3</w:t>
      </w:r>
      <w:r>
        <w:rPr>
          <w:rFonts w:hint="cs"/>
          <w:rtl/>
        </w:rPr>
        <w:t>'</w:t>
      </w:r>
      <w:r w:rsidRPr="005C149D">
        <w:rPr>
          <w:rFonts w:hint="cs"/>
          <w:rtl/>
        </w:rPr>
        <w:t xml:space="preserve"> و</w:t>
      </w:r>
      <w:r w:rsidRPr="005F041E">
        <w:rPr>
          <w:rFonts w:hint="cs"/>
          <w:rtl/>
        </w:rPr>
        <w:t xml:space="preserve">انتقام مزعوم </w:t>
      </w:r>
      <w:r>
        <w:rPr>
          <w:rFonts w:hint="cs"/>
          <w:rtl/>
        </w:rPr>
        <w:t xml:space="preserve">بسبب </w:t>
      </w:r>
      <w:r w:rsidRPr="005F041E">
        <w:rPr>
          <w:rFonts w:hint="cs"/>
          <w:rtl/>
        </w:rPr>
        <w:t xml:space="preserve">إبلاغ عن سوء سلوك </w:t>
      </w:r>
      <w:r>
        <w:rPr>
          <w:rFonts w:hint="cs"/>
          <w:rtl/>
        </w:rPr>
        <w:t xml:space="preserve">مُقدم </w:t>
      </w:r>
      <w:r w:rsidRPr="005F041E">
        <w:rPr>
          <w:rFonts w:hint="cs"/>
          <w:rtl/>
        </w:rPr>
        <w:t xml:space="preserve">من المشتكي ضد أحد المشرفين. </w:t>
      </w:r>
      <w:r>
        <w:rPr>
          <w:rFonts w:hint="cs"/>
          <w:rtl/>
        </w:rPr>
        <w:t>وكلّف</w:t>
      </w:r>
      <w:r w:rsidRPr="005F041E">
        <w:rPr>
          <w:rFonts w:hint="cs"/>
          <w:rtl/>
        </w:rPr>
        <w:t xml:space="preserve"> الاتحاد محقق</w:t>
      </w:r>
      <w:r>
        <w:rPr>
          <w:rFonts w:hint="cs"/>
          <w:rtl/>
        </w:rPr>
        <w:t>اً</w:t>
      </w:r>
      <w:r w:rsidRPr="005F041E">
        <w:rPr>
          <w:rFonts w:hint="cs"/>
          <w:rtl/>
        </w:rPr>
        <w:t xml:space="preserve"> خارجي</w:t>
      </w:r>
      <w:r>
        <w:rPr>
          <w:rFonts w:hint="cs"/>
          <w:rtl/>
        </w:rPr>
        <w:t>اً</w:t>
      </w:r>
      <w:r w:rsidRPr="005F041E">
        <w:rPr>
          <w:rFonts w:hint="cs"/>
          <w:rtl/>
        </w:rPr>
        <w:t xml:space="preserve"> </w:t>
      </w:r>
      <w:r>
        <w:rPr>
          <w:rFonts w:hint="cs"/>
          <w:rtl/>
        </w:rPr>
        <w:t xml:space="preserve">بالتحقيق، </w:t>
      </w:r>
      <w:r w:rsidRPr="00F43E45">
        <w:rPr>
          <w:rtl/>
        </w:rPr>
        <w:t>بدعم من موظفي وحدة المراجعة الداخلية</w:t>
      </w:r>
      <w:r w:rsidRPr="005F041E">
        <w:rPr>
          <w:rFonts w:hint="cs"/>
          <w:rtl/>
        </w:rPr>
        <w:t xml:space="preserve"> في</w:t>
      </w:r>
      <w:r>
        <w:rPr>
          <w:rFonts w:hint="eastAsia"/>
          <w:rtl/>
        </w:rPr>
        <w:t> </w:t>
      </w:r>
      <w:r w:rsidRPr="005F041E">
        <w:rPr>
          <w:rFonts w:hint="cs"/>
          <w:rtl/>
        </w:rPr>
        <w:t xml:space="preserve">السلوك غير </w:t>
      </w:r>
      <w:r>
        <w:rPr>
          <w:rFonts w:hint="cs"/>
          <w:rtl/>
        </w:rPr>
        <w:t>اللائ</w:t>
      </w:r>
      <w:r>
        <w:rPr>
          <w:rtl/>
        </w:rPr>
        <w:t>ق</w:t>
      </w:r>
      <w:r w:rsidRPr="005F041E">
        <w:rPr>
          <w:rFonts w:hint="cs"/>
          <w:rtl/>
        </w:rPr>
        <w:t xml:space="preserve"> المزعوم </w:t>
      </w:r>
      <w:r>
        <w:rPr>
          <w:rFonts w:hint="cs"/>
          <w:rtl/>
        </w:rPr>
        <w:t>الصادر ع</w:t>
      </w:r>
      <w:r w:rsidRPr="005F041E">
        <w:rPr>
          <w:rFonts w:hint="cs"/>
          <w:rtl/>
        </w:rPr>
        <w:t xml:space="preserve">ن </w:t>
      </w:r>
      <w:r>
        <w:rPr>
          <w:rFonts w:hint="cs"/>
          <w:rtl/>
        </w:rPr>
        <w:t>ال</w:t>
      </w:r>
      <w:r w:rsidRPr="005F041E">
        <w:rPr>
          <w:rFonts w:hint="cs"/>
          <w:rtl/>
        </w:rPr>
        <w:t xml:space="preserve">مشرفين </w:t>
      </w:r>
      <w:r>
        <w:rPr>
          <w:rFonts w:hint="cs"/>
          <w:rtl/>
        </w:rPr>
        <w:t>ال</w:t>
      </w:r>
      <w:r w:rsidRPr="005F041E">
        <w:rPr>
          <w:rFonts w:hint="cs"/>
          <w:rtl/>
        </w:rPr>
        <w:t>سابقين تجاه مقدم الشكوى (</w:t>
      </w:r>
      <w:r>
        <w:rPr>
          <w:rFonts w:hint="cs"/>
          <w:rtl/>
        </w:rPr>
        <w:t>استُكمل</w:t>
      </w:r>
      <w:r w:rsidRPr="005F041E">
        <w:rPr>
          <w:rFonts w:hint="cs"/>
          <w:rtl/>
        </w:rPr>
        <w:t xml:space="preserve"> التحقيق بأكمله في</w:t>
      </w:r>
      <w:r>
        <w:rPr>
          <w:rFonts w:hint="eastAsia"/>
          <w:rtl/>
        </w:rPr>
        <w:t> </w:t>
      </w:r>
      <w:r w:rsidRPr="005F041E">
        <w:rPr>
          <w:rFonts w:hint="cs"/>
          <w:rtl/>
        </w:rPr>
        <w:t>أكتوبر 2019 وأبلغ</w:t>
      </w:r>
      <w:r>
        <w:rPr>
          <w:rFonts w:hint="cs"/>
          <w:rtl/>
        </w:rPr>
        <w:t xml:space="preserve"> </w:t>
      </w:r>
      <w:r w:rsidRPr="005F041E">
        <w:rPr>
          <w:rFonts w:hint="cs"/>
          <w:rtl/>
        </w:rPr>
        <w:t>الأمين العام للاتحاد</w:t>
      </w:r>
      <w:r>
        <w:rPr>
          <w:rFonts w:hint="cs"/>
          <w:rtl/>
        </w:rPr>
        <w:t xml:space="preserve"> ب</w:t>
      </w:r>
      <w:r w:rsidRPr="005F041E">
        <w:rPr>
          <w:rFonts w:hint="cs"/>
          <w:rtl/>
        </w:rPr>
        <w:t>النتائج)؛</w:t>
      </w:r>
    </w:p>
    <w:p w14:paraId="6E965046" w14:textId="77777777" w:rsidR="001B03B1" w:rsidRPr="001B03B1" w:rsidRDefault="001B03B1" w:rsidP="001B03B1">
      <w:pPr>
        <w:pStyle w:val="enumlev1"/>
        <w:rPr>
          <w:spacing w:val="-2"/>
          <w:lang w:val="fr-FR" w:bidi="ar-EG"/>
        </w:rPr>
      </w:pPr>
      <w:r w:rsidRPr="001B03B1">
        <w:rPr>
          <w:rFonts w:hint="cs"/>
          <w:spacing w:val="-2"/>
          <w:rtl/>
          <w:lang w:bidi="ar-EG"/>
        </w:rPr>
        <w:t>ب)</w:t>
      </w:r>
      <w:r w:rsidRPr="001B03B1">
        <w:rPr>
          <w:spacing w:val="-2"/>
          <w:rtl/>
          <w:lang w:bidi="ar-EG"/>
        </w:rPr>
        <w:tab/>
      </w:r>
      <w:r w:rsidRPr="001B03B1">
        <w:rPr>
          <w:rFonts w:hint="cs"/>
          <w:spacing w:val="-2"/>
          <w:rtl/>
          <w:lang w:bidi="ar-EG"/>
        </w:rPr>
        <w:t>و</w:t>
      </w:r>
      <w:r w:rsidRPr="001B03B1">
        <w:rPr>
          <w:rFonts w:hint="cs"/>
          <w:spacing w:val="-2"/>
          <w:rtl/>
        </w:rPr>
        <w:t>تحقيق رسمي في شكوى تتعلق بالنفاذ المستمر المزعوم، لأحد الموظفين، إلى معلومات يحتمل أن تكون سرية وحساسة تقع خارج نطاق وظيفة ذلك الموظف (استُكمل التحقيق في ديسمبر 2019 وأبلغ الأمين العام للاتحاد بالنتائج).</w:t>
      </w:r>
    </w:p>
    <w:p w14:paraId="17926EC4" w14:textId="1437DC35" w:rsidR="001B03B1" w:rsidRPr="00771207" w:rsidRDefault="001B03B1" w:rsidP="001B03B1">
      <w:pPr>
        <w:rPr>
          <w:lang w:val="fr-FR" w:bidi="ar"/>
        </w:rPr>
      </w:pPr>
      <w:r w:rsidRPr="00771207">
        <w:rPr>
          <w:lang w:val="fr-FR" w:bidi="ar-EG"/>
        </w:rPr>
        <w:lastRenderedPageBreak/>
        <w:t>13</w:t>
      </w:r>
      <w:r w:rsidRPr="001B03B1">
        <w:rPr>
          <w:rtl/>
          <w:lang w:bidi="ar-EG"/>
        </w:rPr>
        <w:tab/>
      </w:r>
      <w:r w:rsidRPr="001B03B1">
        <w:rPr>
          <w:rFonts w:hint="cs"/>
          <w:rtl/>
          <w:lang w:bidi="ar"/>
        </w:rPr>
        <w:t>ولا تزال التحقيقات الستة التي تقوم بها وحدة المراجعة الداخلية جاريةً: ثلاثة منها تتعلق بالشكاوى المرتبط</w:t>
      </w:r>
      <w:r w:rsidRPr="001B03B1">
        <w:rPr>
          <w:rtl/>
          <w:lang w:bidi="ar"/>
        </w:rPr>
        <w:t>ة</w:t>
      </w:r>
      <w:r w:rsidRPr="001B03B1">
        <w:rPr>
          <w:rFonts w:hint="cs"/>
          <w:rtl/>
          <w:lang w:bidi="ar"/>
        </w:rPr>
        <w:t xml:space="preserve"> بقيام ثلاثة موظفين مختلفين بأنشطة خارجية مزعومة غير مرخص بها، وتحقيق آخر يتعلق بشكوى مرتبطة بادعاء حصول أحد الموظفين على بدلات و/أو استحقاقات بطريقة احتيالية، وتحقيق آخر يتعلق بشكوى مرتبطة بالتشجيع المزعوم لعديد الموظفين على تقديم معلومات يحتمل أن تكون سرية/حساسة و/أو أنهم يشهدون ذلك و/أو يتبادلون بنشاط هذه المعلومات مع أطراف خارجية، وتحقيق آخر يتعلق بشكوى مرتبطة بادعاء إتلاف موظف لسجلات الاتحاد و/أو إخفائها.</w:t>
      </w:r>
    </w:p>
    <w:p w14:paraId="67B006E1" w14:textId="77777777" w:rsidR="001B03B1" w:rsidRDefault="001B03B1" w:rsidP="001B03B1">
      <w:pPr>
        <w:rPr>
          <w:spacing w:val="4"/>
          <w:rtl/>
          <w:lang w:val="fr-FR" w:bidi="ar-EG"/>
        </w:rPr>
      </w:pPr>
      <w:r w:rsidRPr="00771207">
        <w:rPr>
          <w:spacing w:val="4"/>
          <w:lang w:val="fr-FR" w:bidi="ar-EG"/>
        </w:rPr>
        <w:t>14</w:t>
      </w:r>
      <w:r>
        <w:rPr>
          <w:spacing w:val="4"/>
          <w:rtl/>
          <w:lang w:bidi="ar-EG"/>
        </w:rPr>
        <w:tab/>
      </w:r>
      <w:r>
        <w:rPr>
          <w:rFonts w:hint="cs"/>
          <w:spacing w:val="4"/>
          <w:rtl/>
          <w:lang w:bidi="ar-EG"/>
        </w:rPr>
        <w:t>و</w:t>
      </w:r>
      <w:r w:rsidRPr="00B40316">
        <w:rPr>
          <w:rFonts w:hint="cs"/>
          <w:spacing w:val="4"/>
          <w:rtl/>
          <w:lang w:bidi="ar"/>
        </w:rPr>
        <w:t xml:space="preserve">قُدم دعم </w:t>
      </w:r>
      <w:r>
        <w:rPr>
          <w:rFonts w:hint="cs"/>
          <w:spacing w:val="4"/>
          <w:rtl/>
          <w:lang w:bidi="ar"/>
        </w:rPr>
        <w:t>مكثف</w:t>
      </w:r>
      <w:r w:rsidRPr="00B40316">
        <w:rPr>
          <w:rFonts w:hint="cs"/>
          <w:spacing w:val="4"/>
          <w:rtl/>
          <w:lang w:bidi="ar"/>
        </w:rPr>
        <w:t xml:space="preserve"> </w:t>
      </w:r>
      <w:r>
        <w:rPr>
          <w:rFonts w:hint="cs"/>
          <w:spacing w:val="4"/>
          <w:rtl/>
          <w:lang w:bidi="ar"/>
        </w:rPr>
        <w:t xml:space="preserve">إلى </w:t>
      </w:r>
      <w:r w:rsidRPr="00B40316">
        <w:rPr>
          <w:rFonts w:hint="cs"/>
          <w:spacing w:val="4"/>
          <w:rtl/>
          <w:lang w:bidi="ar"/>
        </w:rPr>
        <w:t xml:space="preserve">محقق خارجي </w:t>
      </w:r>
      <w:r>
        <w:rPr>
          <w:rFonts w:hint="cs"/>
          <w:spacing w:val="4"/>
          <w:rtl/>
          <w:lang w:bidi="ar"/>
        </w:rPr>
        <w:t>عُيّن</w:t>
      </w:r>
      <w:r w:rsidRPr="00B40316">
        <w:rPr>
          <w:rFonts w:hint="cs"/>
          <w:spacing w:val="4"/>
          <w:rtl/>
          <w:lang w:bidi="ar"/>
        </w:rPr>
        <w:t xml:space="preserve"> </w:t>
      </w:r>
      <w:proofErr w:type="gramStart"/>
      <w:r w:rsidRPr="00B40316">
        <w:rPr>
          <w:rFonts w:hint="cs"/>
          <w:spacing w:val="4"/>
          <w:rtl/>
          <w:lang w:bidi="ar"/>
        </w:rPr>
        <w:t>لإجراء</w:t>
      </w:r>
      <w:r>
        <w:rPr>
          <w:rFonts w:hint="cs"/>
          <w:spacing w:val="4"/>
          <w:rtl/>
          <w:lang w:bidi="ar"/>
        </w:rPr>
        <w:t>:</w:t>
      </w:r>
      <w:proofErr w:type="gramEnd"/>
    </w:p>
    <w:p w14:paraId="3EABE61E" w14:textId="244A56E8" w:rsidR="001B03B1" w:rsidRPr="00B40316" w:rsidRDefault="001B03B1" w:rsidP="00F52AB1">
      <w:pPr>
        <w:pStyle w:val="enumlev1"/>
        <w:rPr>
          <w:rtl/>
          <w:lang w:val="fr-FR" w:bidi="ar-EG"/>
        </w:rPr>
      </w:pPr>
      <w:r>
        <w:rPr>
          <w:rFonts w:hint="eastAsia"/>
          <w:rtl/>
          <w:lang w:bidi="ar-EG"/>
        </w:rPr>
        <w:t> </w:t>
      </w:r>
      <w:proofErr w:type="gramStart"/>
      <w:r>
        <w:rPr>
          <w:rFonts w:hint="cs"/>
          <w:rtl/>
          <w:lang w:bidi="ar-EG"/>
        </w:rPr>
        <w:t>أ</w:t>
      </w:r>
      <w:r>
        <w:rPr>
          <w:rFonts w:hint="eastAsia"/>
          <w:rtl/>
          <w:lang w:bidi="ar-EG"/>
        </w:rPr>
        <w:t> </w:t>
      </w:r>
      <w:r>
        <w:rPr>
          <w:rFonts w:hint="cs"/>
          <w:rtl/>
          <w:lang w:bidi="ar-EG"/>
        </w:rPr>
        <w:t>)</w:t>
      </w:r>
      <w:proofErr w:type="gramEnd"/>
      <w:r>
        <w:rPr>
          <w:rtl/>
          <w:lang w:bidi="ar-EG"/>
        </w:rPr>
        <w:tab/>
      </w:r>
      <w:r w:rsidRPr="00B40316">
        <w:rPr>
          <w:rFonts w:hint="cs"/>
          <w:rtl/>
        </w:rPr>
        <w:t xml:space="preserve">عملية تحقيق </w:t>
      </w:r>
      <w:r>
        <w:rPr>
          <w:rFonts w:hint="cs"/>
          <w:rtl/>
        </w:rPr>
        <w:t>إضافية الهدف منها</w:t>
      </w:r>
      <w:r w:rsidRPr="00B40316">
        <w:rPr>
          <w:rFonts w:hint="cs"/>
          <w:rtl/>
        </w:rPr>
        <w:t xml:space="preserve"> تحديد ما إذا كان هناك أي </w:t>
      </w:r>
      <w:r>
        <w:rPr>
          <w:rFonts w:hint="cs"/>
          <w:rtl/>
        </w:rPr>
        <w:t>قصور</w:t>
      </w:r>
      <w:r w:rsidRPr="00B40316">
        <w:rPr>
          <w:rFonts w:hint="cs"/>
          <w:rtl/>
        </w:rPr>
        <w:t xml:space="preserve"> نظامي أو فردي و/أو أي </w:t>
      </w:r>
      <w:r>
        <w:rPr>
          <w:rFonts w:hint="cs"/>
          <w:rtl/>
        </w:rPr>
        <w:t>خلل</w:t>
      </w:r>
      <w:r w:rsidRPr="00B40316">
        <w:rPr>
          <w:rFonts w:hint="cs"/>
          <w:rtl/>
        </w:rPr>
        <w:t xml:space="preserve"> </w:t>
      </w:r>
      <w:r>
        <w:rPr>
          <w:rFonts w:hint="cs"/>
          <w:rtl/>
        </w:rPr>
        <w:t xml:space="preserve">في مجال </w:t>
      </w:r>
      <w:r w:rsidRPr="00B40316">
        <w:rPr>
          <w:rFonts w:hint="cs"/>
          <w:rtl/>
        </w:rPr>
        <w:t xml:space="preserve">مسؤوليات الإدارة </w:t>
      </w:r>
      <w:r>
        <w:rPr>
          <w:rFonts w:hint="cs"/>
          <w:rtl/>
        </w:rPr>
        <w:t>فيما يتعلق ب</w:t>
      </w:r>
      <w:r w:rsidRPr="00B40316">
        <w:rPr>
          <w:rFonts w:hint="cs"/>
          <w:rtl/>
        </w:rPr>
        <w:t xml:space="preserve">الإشراف والرقابة على الأنشطة في المكتب الإقليمي </w:t>
      </w:r>
      <w:r>
        <w:rPr>
          <w:rFonts w:hint="cs"/>
          <w:rtl/>
        </w:rPr>
        <w:t>الذي</w:t>
      </w:r>
      <w:r w:rsidRPr="00B40316">
        <w:rPr>
          <w:rFonts w:hint="cs"/>
          <w:rtl/>
        </w:rPr>
        <w:t xml:space="preserve"> ك</w:t>
      </w:r>
      <w:r>
        <w:rPr>
          <w:rFonts w:hint="cs"/>
          <w:rtl/>
        </w:rPr>
        <w:t>ُ</w:t>
      </w:r>
      <w:r w:rsidRPr="00B40316">
        <w:rPr>
          <w:rFonts w:hint="cs"/>
          <w:rtl/>
        </w:rPr>
        <w:t xml:space="preserve">شف </w:t>
      </w:r>
      <w:r>
        <w:rPr>
          <w:rFonts w:hint="cs"/>
          <w:rtl/>
        </w:rPr>
        <w:t>فيه عملية</w:t>
      </w:r>
      <w:r w:rsidRPr="00B40316">
        <w:rPr>
          <w:rFonts w:hint="cs"/>
          <w:rtl/>
        </w:rPr>
        <w:t xml:space="preserve"> الاحتيال</w:t>
      </w:r>
      <w:r w:rsidR="00F52AB1">
        <w:rPr>
          <w:rFonts w:hint="cs"/>
          <w:rtl/>
        </w:rPr>
        <w:t xml:space="preserve"> </w:t>
      </w:r>
      <w:r>
        <w:rPr>
          <w:rFonts w:hint="cs"/>
          <w:rtl/>
        </w:rPr>
        <w:t>الكبرى</w:t>
      </w:r>
      <w:r w:rsidRPr="00B40316">
        <w:rPr>
          <w:rFonts w:hint="cs"/>
          <w:rtl/>
        </w:rPr>
        <w:t xml:space="preserve"> في</w:t>
      </w:r>
      <w:r w:rsidR="00F52AB1">
        <w:rPr>
          <w:rFonts w:hint="eastAsia"/>
          <w:rtl/>
        </w:rPr>
        <w:t> </w:t>
      </w:r>
      <w:r>
        <w:rPr>
          <w:rFonts w:hint="cs"/>
          <w:rtl/>
        </w:rPr>
        <w:t>عام</w:t>
      </w:r>
      <w:r w:rsidR="00F52AB1">
        <w:rPr>
          <w:rFonts w:hint="eastAsia"/>
          <w:rtl/>
        </w:rPr>
        <w:t> </w:t>
      </w:r>
      <w:r w:rsidRPr="00B40316">
        <w:rPr>
          <w:rFonts w:hint="cs"/>
          <w:rtl/>
        </w:rPr>
        <w:t>2018 (</w:t>
      </w:r>
      <w:r>
        <w:rPr>
          <w:rFonts w:hint="cs"/>
          <w:rtl/>
        </w:rPr>
        <w:t>استُكمل التحقيق</w:t>
      </w:r>
      <w:r w:rsidRPr="00B40316">
        <w:rPr>
          <w:rFonts w:hint="cs"/>
          <w:rtl/>
        </w:rPr>
        <w:t xml:space="preserve"> في يناير 2020)؛</w:t>
      </w:r>
      <w:r w:rsidR="00F52AB1">
        <w:rPr>
          <w:rFonts w:hint="cs"/>
          <w:rtl/>
        </w:rPr>
        <w:t xml:space="preserve"> </w:t>
      </w:r>
      <w:r w:rsidRPr="00B40316">
        <w:rPr>
          <w:rFonts w:hint="cs"/>
          <w:rtl/>
        </w:rPr>
        <w:t>و</w:t>
      </w:r>
      <w:r>
        <w:rPr>
          <w:rFonts w:hint="cs"/>
          <w:rtl/>
        </w:rPr>
        <w:t xml:space="preserve">قدم الدعم المكثف </w:t>
      </w:r>
      <w:r w:rsidRPr="00B40316">
        <w:rPr>
          <w:rFonts w:hint="cs"/>
          <w:rtl/>
        </w:rPr>
        <w:t xml:space="preserve">إلى محقق آخر </w:t>
      </w:r>
      <w:r>
        <w:rPr>
          <w:rFonts w:hint="cs"/>
          <w:rtl/>
        </w:rPr>
        <w:t>عُيّن</w:t>
      </w:r>
      <w:r w:rsidRPr="00B40316">
        <w:rPr>
          <w:rFonts w:hint="cs"/>
          <w:rtl/>
        </w:rPr>
        <w:t xml:space="preserve"> لإجراء</w:t>
      </w:r>
      <w:r>
        <w:rPr>
          <w:rFonts w:hint="cs"/>
          <w:rtl/>
          <w:lang w:bidi="ar-EG"/>
        </w:rPr>
        <w:t>:</w:t>
      </w:r>
    </w:p>
    <w:p w14:paraId="63A7D221" w14:textId="77777777" w:rsidR="001B03B1" w:rsidRPr="00F52AB1" w:rsidRDefault="001B03B1" w:rsidP="00F52AB1">
      <w:pPr>
        <w:pStyle w:val="enumlev1"/>
        <w:rPr>
          <w:spacing w:val="-4"/>
          <w:rtl/>
          <w:lang w:val="fr-FR" w:bidi="ar-EG"/>
        </w:rPr>
      </w:pPr>
      <w:r w:rsidRPr="00F52AB1">
        <w:rPr>
          <w:rFonts w:hint="cs"/>
          <w:spacing w:val="-4"/>
          <w:rtl/>
          <w:lang w:bidi="ar-EG"/>
        </w:rPr>
        <w:t>ب)</w:t>
      </w:r>
      <w:r w:rsidRPr="00F52AB1">
        <w:rPr>
          <w:spacing w:val="-4"/>
          <w:rtl/>
          <w:lang w:bidi="ar-EG"/>
        </w:rPr>
        <w:tab/>
      </w:r>
      <w:r w:rsidRPr="00F52AB1">
        <w:rPr>
          <w:rFonts w:hint="cs"/>
          <w:spacing w:val="-4"/>
          <w:rtl/>
        </w:rPr>
        <w:t>تحقيق رسمي في السلوك غير اللائق المزعوم لموظف من الاتحاد تجاه عدد من الموظفين الآخرين (لا يزال التحقيق جارياً).</w:t>
      </w:r>
    </w:p>
    <w:p w14:paraId="383535E6" w14:textId="77777777" w:rsidR="001B03B1" w:rsidRPr="00294638" w:rsidRDefault="001B03B1" w:rsidP="001B03B1">
      <w:pPr>
        <w:pStyle w:val="Heading1"/>
        <w:rPr>
          <w:rtl/>
        </w:rPr>
      </w:pPr>
      <w:r w:rsidRPr="00294638">
        <w:rPr>
          <w:rFonts w:hint="cs"/>
          <w:rtl/>
        </w:rPr>
        <w:t>الخدمات الاستشارية لوحدة المراجعة الداخلية</w:t>
      </w:r>
    </w:p>
    <w:p w14:paraId="6C618055" w14:textId="77777777" w:rsidR="001B03B1" w:rsidRPr="008A2A55" w:rsidRDefault="001B03B1" w:rsidP="001B03B1">
      <w:pPr>
        <w:pStyle w:val="Headingb"/>
        <w:rPr>
          <w:i/>
          <w:iCs/>
          <w:rtl/>
        </w:rPr>
      </w:pPr>
      <w:r w:rsidRPr="008A2A55">
        <w:rPr>
          <w:rFonts w:hint="cs"/>
          <w:i/>
          <w:iCs/>
          <w:rtl/>
        </w:rPr>
        <w:t>عملية اختيار المراجع الخارجي للاتحاد</w:t>
      </w:r>
    </w:p>
    <w:p w14:paraId="59965F99" w14:textId="2805B762" w:rsidR="001B03B1" w:rsidRPr="00F52AB1" w:rsidRDefault="00F52AB1" w:rsidP="00F52AB1">
      <w:pPr>
        <w:rPr>
          <w:spacing w:val="-2"/>
          <w:rtl/>
          <w:lang w:bidi="ar-EG"/>
        </w:rPr>
      </w:pPr>
      <w:r w:rsidRPr="00F52AB1">
        <w:rPr>
          <w:spacing w:val="-2"/>
          <w:lang w:bidi="ar-EG"/>
        </w:rPr>
        <w:t>15</w:t>
      </w:r>
      <w:r w:rsidRPr="00F52AB1">
        <w:rPr>
          <w:spacing w:val="-2"/>
          <w:lang w:bidi="ar-EG"/>
        </w:rPr>
        <w:tab/>
      </w:r>
      <w:r w:rsidR="001B03B1" w:rsidRPr="00F52AB1">
        <w:rPr>
          <w:rFonts w:hint="cs"/>
          <w:spacing w:val="-2"/>
          <w:rtl/>
          <w:lang w:bidi="ar-EG"/>
        </w:rPr>
        <w:t xml:space="preserve">بتوصية من </w:t>
      </w:r>
      <w:r w:rsidR="001B03B1" w:rsidRPr="00F52AB1">
        <w:rPr>
          <w:spacing w:val="-2"/>
          <w:rtl/>
        </w:rPr>
        <w:t>اللجنة الاستشارية المستقلة للإدارة</w:t>
      </w:r>
      <w:r w:rsidR="001B03B1" w:rsidRPr="00F52AB1">
        <w:rPr>
          <w:rFonts w:hint="cs"/>
          <w:spacing w:val="-2"/>
          <w:rtl/>
        </w:rPr>
        <w:t>، طلب الأمين العام من وحدة المراجعة الداخلية أن تقود عملية اختيار مراجع خارجي جديد للحسابات في الأمانة. وعيّن المجلس في دورته لعام</w:t>
      </w:r>
      <w:r w:rsidR="001B03B1" w:rsidRPr="00F52AB1">
        <w:rPr>
          <w:rFonts w:hint="eastAsia"/>
          <w:spacing w:val="-2"/>
          <w:rtl/>
        </w:rPr>
        <w:t> </w:t>
      </w:r>
      <w:r w:rsidR="001B03B1" w:rsidRPr="00F52AB1">
        <w:rPr>
          <w:spacing w:val="-2"/>
        </w:rPr>
        <w:t>2018</w:t>
      </w:r>
      <w:r w:rsidR="001B03B1" w:rsidRPr="00F52AB1">
        <w:rPr>
          <w:rFonts w:hint="cs"/>
          <w:spacing w:val="-2"/>
          <w:rtl/>
          <w:lang w:bidi="ar-EG"/>
        </w:rPr>
        <w:t xml:space="preserve"> الأفراد الذين أوصت بهم المنظمات الإقليمية الست للاتصالات للعمل كأعضاء في لجنة التقييم وتقديم تقرير عن نتائج عملها إلى المجلس في دورته لعام</w:t>
      </w:r>
      <w:r w:rsidR="001B03B1" w:rsidRPr="00F52AB1">
        <w:rPr>
          <w:rFonts w:hint="eastAsia"/>
          <w:spacing w:val="-2"/>
          <w:rtl/>
          <w:lang w:bidi="ar-EG"/>
        </w:rPr>
        <w:t> </w:t>
      </w:r>
      <w:r w:rsidR="001B03B1" w:rsidRPr="00F52AB1">
        <w:rPr>
          <w:spacing w:val="-2"/>
          <w:lang w:bidi="ar-EG"/>
        </w:rPr>
        <w:t>2019</w:t>
      </w:r>
      <w:r w:rsidR="001B03B1" w:rsidRPr="00F52AB1">
        <w:rPr>
          <w:rFonts w:hint="cs"/>
          <w:spacing w:val="-2"/>
          <w:rtl/>
          <w:lang w:bidi="ar-EG"/>
        </w:rPr>
        <w:t>.</w:t>
      </w:r>
      <w:r w:rsidRPr="00F52AB1">
        <w:rPr>
          <w:rFonts w:hint="cs"/>
          <w:spacing w:val="-2"/>
          <w:rtl/>
          <w:lang w:bidi="ar-EG"/>
        </w:rPr>
        <w:t xml:space="preserve"> </w:t>
      </w:r>
      <w:r w:rsidR="001B03B1" w:rsidRPr="00F52AB1">
        <w:rPr>
          <w:rFonts w:hint="cs"/>
          <w:spacing w:val="-2"/>
          <w:rtl/>
        </w:rPr>
        <w:t>وبدعم من أمانة الاتحاد، بدأت لجنة التقييم عملها المتعلق بعملية طلب تقديم عروض من أجل تحديد مؤسسة عليا للمراجعة</w:t>
      </w:r>
      <w:r w:rsidR="001B03B1" w:rsidRPr="00F52AB1">
        <w:rPr>
          <w:rFonts w:hint="eastAsia"/>
          <w:spacing w:val="-2"/>
          <w:rtl/>
        </w:rPr>
        <w:t> </w:t>
      </w:r>
      <w:r w:rsidR="001B03B1" w:rsidRPr="00F52AB1">
        <w:rPr>
          <w:spacing w:val="-2"/>
          <w:lang w:bidi="ar-SY"/>
        </w:rPr>
        <w:t>(SAI)</w:t>
      </w:r>
      <w:r w:rsidR="001B03B1" w:rsidRPr="00F52AB1">
        <w:rPr>
          <w:rFonts w:hint="cs"/>
          <w:spacing w:val="-2"/>
          <w:rtl/>
        </w:rPr>
        <w:t xml:space="preserve"> من إحدى الدول الأعضاء في الاتحاد تستوفي على أفضل نحو المعايير المحددة في طلب تقديم اقتراح</w:t>
      </w:r>
      <w:r w:rsidR="001B03B1" w:rsidRPr="00F52AB1">
        <w:rPr>
          <w:rFonts w:hint="eastAsia"/>
          <w:spacing w:val="-2"/>
          <w:rtl/>
        </w:rPr>
        <w:t> </w:t>
      </w:r>
      <w:r w:rsidR="001B03B1" w:rsidRPr="00F52AB1">
        <w:rPr>
          <w:spacing w:val="-2"/>
          <w:lang w:bidi="ar-SY"/>
        </w:rPr>
        <w:t>(RFP)</w:t>
      </w:r>
      <w:r w:rsidR="001B03B1" w:rsidRPr="00F52AB1">
        <w:rPr>
          <w:rFonts w:hint="cs"/>
          <w:spacing w:val="-2"/>
          <w:rtl/>
        </w:rPr>
        <w:t xml:space="preserve"> بشأن مراجعة حسابات الاتحاد.</w:t>
      </w:r>
    </w:p>
    <w:p w14:paraId="78DE5EA6" w14:textId="77777777" w:rsidR="001B03B1" w:rsidRDefault="001B03B1" w:rsidP="001B03B1">
      <w:pPr>
        <w:rPr>
          <w:lang w:bidi="ar-EG"/>
        </w:rPr>
      </w:pPr>
      <w:r>
        <w:rPr>
          <w:lang w:bidi="ar-EG"/>
        </w:rPr>
        <w:t>16</w:t>
      </w:r>
      <w:r>
        <w:rPr>
          <w:rtl/>
          <w:lang w:bidi="ar-EG"/>
        </w:rPr>
        <w:tab/>
      </w:r>
      <w:r>
        <w:rPr>
          <w:rFonts w:hint="cs"/>
          <w:rtl/>
          <w:lang w:bidi="ar-EG"/>
        </w:rPr>
        <w:t>واستمرت وحدة المراجعة الداخلية طوال العملية في مساعدة أعضاء لجنة التقييم على القيام بعملهم وقدمت إرشادات بشأن المسائل الإجرائية والمسائل التقنية للمراجعة، حسب الاقتضاء. ويقدَّم تقرير عن عمل لجنة التقييم بشكل منفصل إلى المجلس للنظر</w:t>
      </w:r>
      <w:r>
        <w:rPr>
          <w:rFonts w:hint="eastAsia"/>
          <w:rtl/>
          <w:lang w:bidi="ar-EG"/>
        </w:rPr>
        <w:t> </w:t>
      </w:r>
      <w:r>
        <w:rPr>
          <w:rFonts w:hint="cs"/>
          <w:rtl/>
          <w:lang w:bidi="ar-EG"/>
        </w:rPr>
        <w:t>فيه.</w:t>
      </w:r>
    </w:p>
    <w:p w14:paraId="05E1FFFE" w14:textId="77777777" w:rsidR="001B03B1" w:rsidRPr="00F52AB1" w:rsidRDefault="001B03B1" w:rsidP="00F52AB1">
      <w:pPr>
        <w:pStyle w:val="Headingb"/>
        <w:rPr>
          <w:i/>
          <w:iCs/>
        </w:rPr>
      </w:pPr>
      <w:r w:rsidRPr="00F52AB1">
        <w:rPr>
          <w:rFonts w:hint="cs"/>
          <w:i/>
          <w:iCs/>
          <w:rtl/>
        </w:rPr>
        <w:t>عملية الاختيار</w:t>
      </w:r>
      <w:r w:rsidRPr="00F52AB1">
        <w:rPr>
          <w:i/>
          <w:iCs/>
        </w:rPr>
        <w:t> </w:t>
      </w:r>
      <w:r w:rsidRPr="00F52AB1">
        <w:rPr>
          <w:i/>
          <w:iCs/>
          <w:rtl/>
        </w:rPr>
        <w:t>بشأن المراجعة المحاسبية الجنائية</w:t>
      </w:r>
      <w:r w:rsidRPr="00F52AB1">
        <w:rPr>
          <w:rFonts w:hint="cs"/>
          <w:i/>
          <w:iCs/>
          <w:rtl/>
        </w:rPr>
        <w:t xml:space="preserve"> (مقرر المجلس 613)</w:t>
      </w:r>
    </w:p>
    <w:p w14:paraId="4A266626" w14:textId="270BBF88" w:rsidR="001B03B1" w:rsidRPr="00771207" w:rsidRDefault="001B03B1" w:rsidP="001B03B1">
      <w:pPr>
        <w:rPr>
          <w:lang w:bidi="ar-EG"/>
        </w:rPr>
      </w:pPr>
      <w:r>
        <w:t>17</w:t>
      </w:r>
      <w:r>
        <w:rPr>
          <w:rtl/>
          <w:lang w:bidi="ar-EG"/>
        </w:rPr>
        <w:tab/>
      </w:r>
      <w:r w:rsidRPr="007E0F37">
        <w:rPr>
          <w:rFonts w:hint="cs"/>
          <w:rtl/>
          <w:lang w:bidi="ar"/>
        </w:rPr>
        <w:t>اعتمد المجلس</w:t>
      </w:r>
      <w:r>
        <w:rPr>
          <w:rFonts w:hint="cs"/>
          <w:rtl/>
          <w:lang w:bidi="ar"/>
        </w:rPr>
        <w:t xml:space="preserve"> في دورته لعام</w:t>
      </w:r>
      <w:r w:rsidRPr="007E0F37">
        <w:rPr>
          <w:rFonts w:hint="cs"/>
          <w:rtl/>
          <w:lang w:bidi="ar"/>
        </w:rPr>
        <w:t xml:space="preserve"> 2019 </w:t>
      </w:r>
      <w:r>
        <w:rPr>
          <w:rFonts w:hint="cs"/>
          <w:rtl/>
          <w:lang w:bidi="ar"/>
        </w:rPr>
        <w:t>المقرر</w:t>
      </w:r>
      <w:r w:rsidRPr="007E0F37">
        <w:rPr>
          <w:rFonts w:hint="cs"/>
          <w:rtl/>
          <w:lang w:bidi="ar"/>
        </w:rPr>
        <w:t xml:space="preserve"> 613 الذي </w:t>
      </w:r>
      <w:r>
        <w:rPr>
          <w:rFonts w:hint="cs"/>
          <w:rtl/>
          <w:lang w:bidi="ar"/>
        </w:rPr>
        <w:t>ي</w:t>
      </w:r>
      <w:r w:rsidRPr="007E0F37">
        <w:rPr>
          <w:rFonts w:hint="cs"/>
          <w:rtl/>
          <w:lang w:bidi="ar"/>
        </w:rPr>
        <w:t xml:space="preserve">كلف الأمين العام بإجراء مراجعة </w:t>
      </w:r>
      <w:r w:rsidRPr="007E0F37">
        <w:rPr>
          <w:rtl/>
          <w:lang w:bidi="ar"/>
        </w:rPr>
        <w:t>محاسبية</w:t>
      </w:r>
      <w:r w:rsidRPr="007E0F37">
        <w:rPr>
          <w:rFonts w:hint="cs"/>
          <w:rtl/>
          <w:lang w:bidi="ar"/>
        </w:rPr>
        <w:t xml:space="preserve"> </w:t>
      </w:r>
      <w:r w:rsidRPr="007E0F37">
        <w:rPr>
          <w:rtl/>
          <w:lang w:bidi="ar"/>
        </w:rPr>
        <w:t>جنائية</w:t>
      </w:r>
      <w:r w:rsidRPr="007E0F37">
        <w:rPr>
          <w:rFonts w:hint="cs"/>
          <w:rtl/>
          <w:lang w:bidi="ar"/>
        </w:rPr>
        <w:t xml:space="preserve">. </w:t>
      </w:r>
      <w:r>
        <w:rPr>
          <w:rFonts w:hint="cs"/>
          <w:rtl/>
          <w:lang w:bidi="ar"/>
        </w:rPr>
        <w:t>ووضعت وحدة المراجعة الداخلية</w:t>
      </w:r>
      <w:r w:rsidRPr="007E0F37">
        <w:rPr>
          <w:rFonts w:hint="cs"/>
          <w:rtl/>
          <w:lang w:bidi="ar"/>
        </w:rPr>
        <w:t xml:space="preserve"> بالاشتراك مع </w:t>
      </w:r>
      <w:r>
        <w:rPr>
          <w:rFonts w:hint="cs"/>
          <w:rtl/>
          <w:lang w:bidi="ar"/>
        </w:rPr>
        <w:t>شعبة</w:t>
      </w:r>
      <w:r w:rsidRPr="007E0F37">
        <w:rPr>
          <w:rFonts w:hint="cs"/>
          <w:rtl/>
          <w:lang w:bidi="ar"/>
        </w:rPr>
        <w:t xml:space="preserve"> المشتريات وثيقة "</w:t>
      </w:r>
      <w:r>
        <w:rPr>
          <w:rFonts w:hint="cs"/>
          <w:rtl/>
          <w:lang w:bidi="ar"/>
        </w:rPr>
        <w:t>إبداء</w:t>
      </w:r>
      <w:r w:rsidRPr="007E0F37">
        <w:rPr>
          <w:rFonts w:hint="cs"/>
          <w:rtl/>
          <w:lang w:bidi="ar"/>
        </w:rPr>
        <w:t xml:space="preserve"> الاهتمام" (</w:t>
      </w:r>
      <w:r w:rsidRPr="00771207">
        <w:rPr>
          <w:rFonts w:hint="cs"/>
          <w:lang w:bidi="ar-EG"/>
        </w:rPr>
        <w:t>EOI</w:t>
      </w:r>
      <w:r w:rsidRPr="007E0F37">
        <w:rPr>
          <w:rFonts w:hint="cs"/>
          <w:rtl/>
          <w:lang w:bidi="ar"/>
        </w:rPr>
        <w:t>)، و</w:t>
      </w:r>
      <w:r>
        <w:rPr>
          <w:rFonts w:hint="cs"/>
          <w:rtl/>
          <w:lang w:bidi="ar"/>
        </w:rPr>
        <w:t>استكملت أيضاً</w:t>
      </w:r>
      <w:r w:rsidRPr="007E0F37">
        <w:rPr>
          <w:rFonts w:hint="cs"/>
          <w:rtl/>
          <w:lang w:bidi="ar"/>
        </w:rPr>
        <w:t xml:space="preserve"> "طلب تقديم </w:t>
      </w:r>
      <w:r>
        <w:rPr>
          <w:rFonts w:hint="cs"/>
          <w:rtl/>
          <w:lang w:bidi="ar"/>
        </w:rPr>
        <w:t>المقترحات</w:t>
      </w:r>
      <w:r w:rsidRPr="007E0F37">
        <w:rPr>
          <w:rFonts w:hint="cs"/>
          <w:rtl/>
          <w:lang w:bidi="ar"/>
        </w:rPr>
        <w:t>" (</w:t>
      </w:r>
      <w:r w:rsidRPr="00771207">
        <w:rPr>
          <w:rFonts w:hint="cs"/>
          <w:lang w:bidi="ar-EG"/>
        </w:rPr>
        <w:t>RFP</w:t>
      </w:r>
      <w:r w:rsidRPr="007E0F37">
        <w:rPr>
          <w:rFonts w:hint="cs"/>
          <w:rtl/>
          <w:lang w:bidi="ar"/>
        </w:rPr>
        <w:t>) بمساعدة</w:t>
      </w:r>
      <w:r>
        <w:rPr>
          <w:rFonts w:hint="cs"/>
          <w:rtl/>
          <w:lang w:bidi="ar"/>
        </w:rPr>
        <w:t xml:space="preserve"> خبير</w:t>
      </w:r>
      <w:r w:rsidRPr="007E0F37">
        <w:rPr>
          <w:rFonts w:hint="cs"/>
          <w:rtl/>
          <w:lang w:bidi="ar"/>
        </w:rPr>
        <w:t xml:space="preserve"> استشاري. </w:t>
      </w:r>
      <w:r>
        <w:rPr>
          <w:rFonts w:hint="cs"/>
          <w:rtl/>
          <w:lang w:bidi="ar"/>
        </w:rPr>
        <w:t>وأُغلق</w:t>
      </w:r>
      <w:r w:rsidRPr="007E0F37">
        <w:rPr>
          <w:rFonts w:hint="cs"/>
          <w:rtl/>
          <w:lang w:bidi="ar"/>
        </w:rPr>
        <w:t xml:space="preserve"> </w:t>
      </w:r>
      <w:r>
        <w:rPr>
          <w:rFonts w:hint="cs"/>
          <w:rtl/>
          <w:lang w:bidi="ar"/>
        </w:rPr>
        <w:t xml:space="preserve">باب </w:t>
      </w:r>
      <w:r w:rsidRPr="007E0F37">
        <w:rPr>
          <w:rFonts w:hint="cs"/>
          <w:rtl/>
          <w:lang w:bidi="ar"/>
        </w:rPr>
        <w:t xml:space="preserve">طلب تقديم </w:t>
      </w:r>
      <w:r>
        <w:rPr>
          <w:rFonts w:hint="cs"/>
          <w:rtl/>
          <w:lang w:bidi="ar"/>
        </w:rPr>
        <w:t>المقترحات</w:t>
      </w:r>
      <w:r w:rsidRPr="007E0F37">
        <w:rPr>
          <w:rFonts w:hint="cs"/>
          <w:rtl/>
          <w:lang w:bidi="ar"/>
        </w:rPr>
        <w:t xml:space="preserve"> في 15 أبريل 2020 ولا تزال عملية اختيار الشركة </w:t>
      </w:r>
      <w:r>
        <w:rPr>
          <w:rFonts w:hint="cs"/>
          <w:rtl/>
          <w:lang w:bidi="ar"/>
        </w:rPr>
        <w:t>التي ستجري</w:t>
      </w:r>
      <w:r w:rsidRPr="007E0F37">
        <w:rPr>
          <w:rFonts w:hint="cs"/>
          <w:rtl/>
          <w:lang w:bidi="ar"/>
        </w:rPr>
        <w:t xml:space="preserve"> </w:t>
      </w:r>
      <w:r w:rsidRPr="00A02CEC">
        <w:rPr>
          <w:rtl/>
          <w:lang w:bidi="ar"/>
        </w:rPr>
        <w:t>المراجعة المحاسبية الجنائية</w:t>
      </w:r>
      <w:r w:rsidRPr="007C0774">
        <w:rPr>
          <w:rFonts w:hint="cs"/>
          <w:rtl/>
          <w:lang w:bidi="ar"/>
        </w:rPr>
        <w:t xml:space="preserve"> </w:t>
      </w:r>
      <w:r w:rsidRPr="007E0F37">
        <w:rPr>
          <w:rFonts w:hint="cs"/>
          <w:rtl/>
          <w:lang w:bidi="ar"/>
        </w:rPr>
        <w:t>جارية</w:t>
      </w:r>
      <w:r>
        <w:rPr>
          <w:rFonts w:hint="cs"/>
          <w:rtl/>
          <w:lang w:bidi="ar"/>
        </w:rPr>
        <w:t>ً</w:t>
      </w:r>
      <w:r w:rsidRPr="007E0F37">
        <w:rPr>
          <w:rFonts w:hint="cs"/>
          <w:rtl/>
          <w:lang w:bidi="ar"/>
        </w:rPr>
        <w:t>.</w:t>
      </w:r>
    </w:p>
    <w:p w14:paraId="3E29A675" w14:textId="7AF523DA" w:rsidR="001B03B1" w:rsidRPr="00813B86" w:rsidRDefault="001B03B1" w:rsidP="001B03B1">
      <w:pPr>
        <w:pStyle w:val="Heading1"/>
        <w:rPr>
          <w:rtl/>
        </w:rPr>
      </w:pPr>
      <w:r w:rsidRPr="00655FD5">
        <w:rPr>
          <w:rtl/>
        </w:rPr>
        <w:t xml:space="preserve">متابعة تنفيذ </w:t>
      </w:r>
      <w:r w:rsidRPr="00655FD5">
        <w:rPr>
          <w:rFonts w:hint="cs"/>
          <w:rtl/>
        </w:rPr>
        <w:t>توصيات وحدة المراجعة الداخلية</w:t>
      </w:r>
    </w:p>
    <w:p w14:paraId="5EE3AA7F" w14:textId="7BF090F0" w:rsidR="001B03B1" w:rsidRDefault="001B03B1" w:rsidP="00F52AB1">
      <w:pPr>
        <w:spacing w:after="120"/>
      </w:pPr>
      <w:r>
        <w:t>18</w:t>
      </w:r>
      <w:r w:rsidRPr="00813B86">
        <w:rPr>
          <w:rtl/>
        </w:rPr>
        <w:tab/>
        <w:t>واصل</w:t>
      </w:r>
      <w:r w:rsidRPr="00813B86">
        <w:rPr>
          <w:rFonts w:hint="cs"/>
          <w:rtl/>
        </w:rPr>
        <w:t>ت</w:t>
      </w:r>
      <w:r w:rsidRPr="00813B86">
        <w:rPr>
          <w:rtl/>
        </w:rPr>
        <w:t xml:space="preserve"> </w:t>
      </w:r>
      <w:r w:rsidRPr="00813B86">
        <w:rPr>
          <w:rFonts w:hint="cs"/>
          <w:rtl/>
        </w:rPr>
        <w:t>وحدة</w:t>
      </w:r>
      <w:r w:rsidRPr="00813B86">
        <w:rPr>
          <w:rtl/>
        </w:rPr>
        <w:t xml:space="preserve"> المراجعة الداخلية طيلة الفترة المشمولة بهذا التقرير متابعة تنفيذ التوصيات التي ق</w:t>
      </w:r>
      <w:r>
        <w:rPr>
          <w:rFonts w:hint="cs"/>
          <w:rtl/>
        </w:rPr>
        <w:t>ُ</w:t>
      </w:r>
      <w:r w:rsidRPr="00813B86">
        <w:rPr>
          <w:rtl/>
        </w:rPr>
        <w:t>دمت في</w:t>
      </w:r>
      <w:r>
        <w:rPr>
          <w:rFonts w:hint="cs"/>
          <w:rtl/>
        </w:rPr>
        <w:t> </w:t>
      </w:r>
      <w:r w:rsidRPr="00813B86">
        <w:rPr>
          <w:rtl/>
        </w:rPr>
        <w:t xml:space="preserve">تقارير المراجعة السابقة. وقد لوحظ أنه تحقق على مدى الاثني عشر شهراً الأخيرة مزيد من التقدم، </w:t>
      </w:r>
      <w:r w:rsidRPr="00813B86">
        <w:rPr>
          <w:rFonts w:hint="cs"/>
          <w:rtl/>
        </w:rPr>
        <w:t>و</w:t>
      </w:r>
      <w:r w:rsidRPr="00813B86">
        <w:rPr>
          <w:rtl/>
        </w:rPr>
        <w:t xml:space="preserve">ترد فيما يلي الإحصاءات المتعلقة </w:t>
      </w:r>
      <w:r>
        <w:rPr>
          <w:rFonts w:hint="cs"/>
          <w:rtl/>
        </w:rPr>
        <w:t>بتنفيذ التوصيات</w:t>
      </w:r>
      <w:r w:rsidRPr="008851C2">
        <w:rPr>
          <w:rFonts w:hint="cs"/>
          <w:rtl/>
        </w:rPr>
        <w:t xml:space="preserve"> (في </w:t>
      </w:r>
      <w:r w:rsidRPr="008851C2">
        <w:rPr>
          <w:lang w:val="en-CA"/>
        </w:rPr>
        <w:t>15</w:t>
      </w:r>
      <w:r w:rsidRPr="008851C2">
        <w:rPr>
          <w:rFonts w:hint="cs"/>
          <w:rtl/>
          <w:lang w:val="en-CA" w:bidi="ar-EG"/>
        </w:rPr>
        <w:t xml:space="preserve"> </w:t>
      </w:r>
      <w:r>
        <w:rPr>
          <w:rFonts w:hint="cs"/>
          <w:rtl/>
        </w:rPr>
        <w:t>أكتوبر</w:t>
      </w:r>
      <w:r w:rsidRPr="008851C2">
        <w:rPr>
          <w:rFonts w:hint="cs"/>
          <w:rtl/>
        </w:rPr>
        <w:t xml:space="preserve"> </w:t>
      </w:r>
      <w:r w:rsidRPr="008851C2">
        <w:t>2019</w:t>
      </w:r>
      <w:r w:rsidRPr="008851C2">
        <w:rPr>
          <w:rFonts w:hint="cs"/>
          <w:rtl/>
          <w:lang w:bidi="ar-EG"/>
        </w:rPr>
        <w:t>)</w:t>
      </w:r>
      <w:r w:rsidRPr="008851C2">
        <w:rPr>
          <w:rtl/>
        </w:rPr>
        <w:t>:</w:t>
      </w:r>
    </w:p>
    <w:p w14:paraId="56F543CB" w14:textId="1A369F49" w:rsidR="00705C84" w:rsidRDefault="00705C84">
      <w:pPr>
        <w:tabs>
          <w:tab w:val="clear" w:pos="794"/>
        </w:tabs>
        <w:bidi w:val="0"/>
        <w:spacing w:before="0" w:after="160" w:line="259" w:lineRule="auto"/>
        <w:jc w:val="left"/>
        <w:rPr>
          <w:rtl/>
        </w:rPr>
      </w:pPr>
      <w:r>
        <w:rPr>
          <w:rtl/>
        </w:rPr>
        <w:br w:type="page"/>
      </w:r>
    </w:p>
    <w:p w14:paraId="3C897382" w14:textId="77777777" w:rsidR="00705C84" w:rsidRDefault="00705C84" w:rsidP="00705C84">
      <w:pPr>
        <w:rPr>
          <w:rtl/>
        </w:rPr>
      </w:pPr>
    </w:p>
    <w:tbl>
      <w:tblPr>
        <w:tblpPr w:leftFromText="180" w:rightFromText="180" w:vertAnchor="text" w:tblpXSpec="center" w:tblpY="1"/>
        <w:tblOverlap w:val="never"/>
        <w:bidiVisual/>
        <w:tblW w:w="4990" w:type="pct"/>
        <w:tblLook w:val="04A0" w:firstRow="1" w:lastRow="0" w:firstColumn="1" w:lastColumn="0" w:noHBand="0" w:noVBand="1"/>
      </w:tblPr>
      <w:tblGrid>
        <w:gridCol w:w="2952"/>
        <w:gridCol w:w="729"/>
        <w:gridCol w:w="608"/>
        <w:gridCol w:w="659"/>
        <w:gridCol w:w="608"/>
        <w:gridCol w:w="608"/>
        <w:gridCol w:w="608"/>
        <w:gridCol w:w="608"/>
        <w:gridCol w:w="608"/>
        <w:gridCol w:w="833"/>
        <w:gridCol w:w="779"/>
      </w:tblGrid>
      <w:tr w:rsidR="00F52AB1" w:rsidRPr="00F52AB1" w14:paraId="0CFF6610" w14:textId="77777777" w:rsidTr="00F010D2">
        <w:trPr>
          <w:trHeight w:val="315"/>
        </w:trPr>
        <w:tc>
          <w:tcPr>
            <w:tcW w:w="1540" w:type="pct"/>
            <w:tcBorders>
              <w:top w:val="single" w:sz="8" w:space="0" w:color="auto"/>
              <w:left w:val="single" w:sz="8" w:space="0" w:color="auto"/>
              <w:bottom w:val="nil"/>
              <w:right w:val="nil"/>
            </w:tcBorders>
            <w:shd w:val="clear" w:color="000000" w:fill="000000"/>
            <w:noWrap/>
            <w:vAlign w:val="center"/>
            <w:hideMark/>
          </w:tcPr>
          <w:p w14:paraId="5F10BBBA" w14:textId="77777777" w:rsidR="001B03B1" w:rsidRPr="00F52AB1" w:rsidRDefault="001B03B1" w:rsidP="00F52AB1">
            <w:pPr>
              <w:pStyle w:val="TableHead"/>
              <w:spacing w:line="240" w:lineRule="exact"/>
              <w:jc w:val="left"/>
              <w:rPr>
                <w:color w:val="FFFFFF"/>
                <w:sz w:val="18"/>
                <w:szCs w:val="18"/>
              </w:rPr>
            </w:pPr>
            <w:r w:rsidRPr="00F52AB1">
              <w:rPr>
                <w:sz w:val="18"/>
                <w:szCs w:val="18"/>
                <w:rtl/>
              </w:rPr>
              <w:t>السنة</w:t>
            </w:r>
          </w:p>
        </w:tc>
        <w:tc>
          <w:tcPr>
            <w:tcW w:w="382" w:type="pct"/>
            <w:tcBorders>
              <w:top w:val="single" w:sz="8" w:space="0" w:color="auto"/>
              <w:left w:val="nil"/>
              <w:bottom w:val="nil"/>
              <w:right w:val="nil"/>
            </w:tcBorders>
            <w:shd w:val="clear" w:color="000000" w:fill="000000"/>
            <w:noWrap/>
            <w:vAlign w:val="center"/>
            <w:hideMark/>
          </w:tcPr>
          <w:p w14:paraId="1FFEB680" w14:textId="77777777" w:rsidR="001B03B1" w:rsidRPr="00F52AB1" w:rsidRDefault="001B03B1" w:rsidP="00F52AB1">
            <w:pPr>
              <w:pStyle w:val="TableHead"/>
              <w:spacing w:line="240" w:lineRule="exact"/>
              <w:rPr>
                <w:color w:val="FFFFFF"/>
                <w:sz w:val="18"/>
                <w:szCs w:val="18"/>
              </w:rPr>
            </w:pPr>
            <w:r w:rsidRPr="00F52AB1">
              <w:rPr>
                <w:color w:val="FFFFFF"/>
                <w:sz w:val="18"/>
                <w:szCs w:val="18"/>
              </w:rPr>
              <w:t>2011</w:t>
            </w:r>
          </w:p>
        </w:tc>
        <w:tc>
          <w:tcPr>
            <w:tcW w:w="319" w:type="pct"/>
            <w:tcBorders>
              <w:top w:val="single" w:sz="8" w:space="0" w:color="auto"/>
              <w:left w:val="nil"/>
              <w:bottom w:val="nil"/>
              <w:right w:val="nil"/>
            </w:tcBorders>
            <w:shd w:val="clear" w:color="000000" w:fill="000000"/>
            <w:noWrap/>
            <w:vAlign w:val="center"/>
            <w:hideMark/>
          </w:tcPr>
          <w:p w14:paraId="09ABFD82" w14:textId="77777777" w:rsidR="001B03B1" w:rsidRPr="00F52AB1" w:rsidRDefault="001B03B1" w:rsidP="00F52AB1">
            <w:pPr>
              <w:pStyle w:val="TableHead"/>
              <w:spacing w:line="240" w:lineRule="exact"/>
              <w:rPr>
                <w:color w:val="FFFFFF"/>
                <w:sz w:val="18"/>
                <w:szCs w:val="18"/>
              </w:rPr>
            </w:pPr>
            <w:r w:rsidRPr="00F52AB1">
              <w:rPr>
                <w:color w:val="FFFFFF"/>
                <w:sz w:val="18"/>
                <w:szCs w:val="18"/>
              </w:rPr>
              <w:t>2012</w:t>
            </w:r>
          </w:p>
        </w:tc>
        <w:tc>
          <w:tcPr>
            <w:tcW w:w="319" w:type="pct"/>
            <w:tcBorders>
              <w:top w:val="single" w:sz="8" w:space="0" w:color="auto"/>
              <w:left w:val="nil"/>
              <w:bottom w:val="nil"/>
              <w:right w:val="nil"/>
            </w:tcBorders>
            <w:shd w:val="clear" w:color="000000" w:fill="000000"/>
            <w:noWrap/>
            <w:vAlign w:val="center"/>
            <w:hideMark/>
          </w:tcPr>
          <w:p w14:paraId="26290FC3" w14:textId="77777777" w:rsidR="001B03B1" w:rsidRPr="00F52AB1" w:rsidRDefault="001B03B1" w:rsidP="00F52AB1">
            <w:pPr>
              <w:pStyle w:val="TableHead"/>
              <w:spacing w:line="240" w:lineRule="exact"/>
              <w:rPr>
                <w:color w:val="FFFFFF"/>
                <w:sz w:val="18"/>
                <w:szCs w:val="18"/>
              </w:rPr>
            </w:pPr>
            <w:r w:rsidRPr="00F52AB1">
              <w:rPr>
                <w:color w:val="FFFFFF"/>
                <w:sz w:val="18"/>
                <w:szCs w:val="18"/>
              </w:rPr>
              <w:t>2013</w:t>
            </w:r>
          </w:p>
        </w:tc>
        <w:tc>
          <w:tcPr>
            <w:tcW w:w="319" w:type="pct"/>
            <w:tcBorders>
              <w:top w:val="single" w:sz="8" w:space="0" w:color="auto"/>
              <w:left w:val="nil"/>
              <w:bottom w:val="nil"/>
              <w:right w:val="nil"/>
            </w:tcBorders>
            <w:shd w:val="clear" w:color="000000" w:fill="000000"/>
            <w:noWrap/>
            <w:vAlign w:val="center"/>
            <w:hideMark/>
          </w:tcPr>
          <w:p w14:paraId="104E73C6" w14:textId="77777777" w:rsidR="001B03B1" w:rsidRPr="00F52AB1" w:rsidRDefault="001B03B1" w:rsidP="00F52AB1">
            <w:pPr>
              <w:pStyle w:val="TableHead"/>
              <w:spacing w:line="240" w:lineRule="exact"/>
              <w:rPr>
                <w:color w:val="FFFFFF"/>
                <w:sz w:val="18"/>
                <w:szCs w:val="18"/>
              </w:rPr>
            </w:pPr>
            <w:r w:rsidRPr="00F52AB1">
              <w:rPr>
                <w:color w:val="FFFFFF"/>
                <w:sz w:val="18"/>
                <w:szCs w:val="18"/>
              </w:rPr>
              <w:t>2014</w:t>
            </w:r>
          </w:p>
        </w:tc>
        <w:tc>
          <w:tcPr>
            <w:tcW w:w="319" w:type="pct"/>
            <w:tcBorders>
              <w:top w:val="single" w:sz="8" w:space="0" w:color="auto"/>
              <w:left w:val="nil"/>
              <w:bottom w:val="nil"/>
              <w:right w:val="nil"/>
            </w:tcBorders>
            <w:shd w:val="clear" w:color="000000" w:fill="000000"/>
            <w:noWrap/>
            <w:vAlign w:val="center"/>
            <w:hideMark/>
          </w:tcPr>
          <w:p w14:paraId="2CBC34CB" w14:textId="77777777" w:rsidR="001B03B1" w:rsidRPr="00F52AB1" w:rsidRDefault="001B03B1" w:rsidP="00F52AB1">
            <w:pPr>
              <w:pStyle w:val="TableHead"/>
              <w:spacing w:line="240" w:lineRule="exact"/>
              <w:rPr>
                <w:color w:val="FFFFFF"/>
                <w:sz w:val="18"/>
                <w:szCs w:val="18"/>
              </w:rPr>
            </w:pPr>
            <w:r w:rsidRPr="00F52AB1">
              <w:rPr>
                <w:color w:val="FFFFFF"/>
                <w:sz w:val="18"/>
                <w:szCs w:val="18"/>
              </w:rPr>
              <w:t>2015</w:t>
            </w:r>
          </w:p>
        </w:tc>
        <w:tc>
          <w:tcPr>
            <w:tcW w:w="319" w:type="pct"/>
            <w:tcBorders>
              <w:top w:val="single" w:sz="8" w:space="0" w:color="auto"/>
              <w:left w:val="nil"/>
              <w:bottom w:val="nil"/>
              <w:right w:val="nil"/>
            </w:tcBorders>
            <w:shd w:val="clear" w:color="000000" w:fill="000000"/>
            <w:noWrap/>
            <w:vAlign w:val="center"/>
            <w:hideMark/>
          </w:tcPr>
          <w:p w14:paraId="4B421C9F" w14:textId="77777777" w:rsidR="001B03B1" w:rsidRPr="00F52AB1" w:rsidRDefault="001B03B1" w:rsidP="00F52AB1">
            <w:pPr>
              <w:pStyle w:val="TableHead"/>
              <w:spacing w:line="240" w:lineRule="exact"/>
              <w:rPr>
                <w:color w:val="FFFFFF"/>
                <w:sz w:val="18"/>
                <w:szCs w:val="18"/>
              </w:rPr>
            </w:pPr>
            <w:r w:rsidRPr="00F52AB1">
              <w:rPr>
                <w:color w:val="FFFFFF"/>
                <w:sz w:val="18"/>
                <w:szCs w:val="18"/>
              </w:rPr>
              <w:t>2016</w:t>
            </w:r>
          </w:p>
        </w:tc>
        <w:tc>
          <w:tcPr>
            <w:tcW w:w="319" w:type="pct"/>
            <w:tcBorders>
              <w:top w:val="single" w:sz="8" w:space="0" w:color="auto"/>
              <w:left w:val="nil"/>
              <w:bottom w:val="nil"/>
              <w:right w:val="nil"/>
            </w:tcBorders>
            <w:shd w:val="clear" w:color="000000" w:fill="000000"/>
            <w:noWrap/>
            <w:vAlign w:val="center"/>
            <w:hideMark/>
          </w:tcPr>
          <w:p w14:paraId="4250E78A" w14:textId="77777777" w:rsidR="001B03B1" w:rsidRPr="00F52AB1" w:rsidRDefault="001B03B1" w:rsidP="00F52AB1">
            <w:pPr>
              <w:pStyle w:val="TableHead"/>
              <w:spacing w:line="240" w:lineRule="exact"/>
              <w:rPr>
                <w:color w:val="FFFFFF"/>
                <w:sz w:val="18"/>
                <w:szCs w:val="18"/>
              </w:rPr>
            </w:pPr>
            <w:r w:rsidRPr="00F52AB1">
              <w:rPr>
                <w:color w:val="FFFFFF"/>
                <w:sz w:val="18"/>
                <w:szCs w:val="18"/>
              </w:rPr>
              <w:t>2017</w:t>
            </w:r>
          </w:p>
        </w:tc>
        <w:tc>
          <w:tcPr>
            <w:tcW w:w="319" w:type="pct"/>
            <w:tcBorders>
              <w:top w:val="single" w:sz="8" w:space="0" w:color="auto"/>
              <w:left w:val="nil"/>
              <w:bottom w:val="single" w:sz="8" w:space="0" w:color="auto"/>
              <w:right w:val="nil"/>
            </w:tcBorders>
            <w:shd w:val="clear" w:color="000000" w:fill="000000"/>
            <w:vAlign w:val="center"/>
          </w:tcPr>
          <w:p w14:paraId="34CF6290" w14:textId="77777777" w:rsidR="001B03B1" w:rsidRPr="00F52AB1" w:rsidRDefault="001B03B1" w:rsidP="00F52AB1">
            <w:pPr>
              <w:pStyle w:val="TableHead"/>
              <w:spacing w:line="240" w:lineRule="exact"/>
              <w:rPr>
                <w:color w:val="FFFFFF"/>
                <w:spacing w:val="-4"/>
                <w:sz w:val="18"/>
                <w:szCs w:val="18"/>
                <w:rtl/>
              </w:rPr>
            </w:pPr>
            <w:r w:rsidRPr="00F52AB1">
              <w:rPr>
                <w:color w:val="FFFFFF"/>
                <w:sz w:val="18"/>
                <w:szCs w:val="18"/>
              </w:rPr>
              <w:t>2018</w:t>
            </w:r>
          </w:p>
        </w:tc>
        <w:tc>
          <w:tcPr>
            <w:tcW w:w="436" w:type="pct"/>
            <w:tcBorders>
              <w:top w:val="single" w:sz="8" w:space="0" w:color="auto"/>
              <w:left w:val="nil"/>
              <w:bottom w:val="single" w:sz="8" w:space="0" w:color="auto"/>
              <w:right w:val="nil"/>
            </w:tcBorders>
            <w:shd w:val="clear" w:color="000000" w:fill="000000"/>
            <w:vAlign w:val="center"/>
          </w:tcPr>
          <w:p w14:paraId="13050874" w14:textId="77777777" w:rsidR="001B03B1" w:rsidRPr="00F52AB1" w:rsidRDefault="001B03B1" w:rsidP="00F52AB1">
            <w:pPr>
              <w:pStyle w:val="TableHead"/>
              <w:spacing w:line="240" w:lineRule="exact"/>
              <w:rPr>
                <w:color w:val="FFFFFF"/>
                <w:spacing w:val="-4"/>
                <w:sz w:val="18"/>
                <w:szCs w:val="18"/>
                <w:rtl/>
              </w:rPr>
            </w:pPr>
            <w:r w:rsidRPr="00F52AB1">
              <w:rPr>
                <w:color w:val="FFFFFF"/>
                <w:sz w:val="18"/>
                <w:szCs w:val="18"/>
              </w:rPr>
              <w:t>(*)2019</w:t>
            </w:r>
          </w:p>
        </w:tc>
        <w:tc>
          <w:tcPr>
            <w:tcW w:w="408" w:type="pct"/>
            <w:tcBorders>
              <w:top w:val="single" w:sz="8" w:space="0" w:color="auto"/>
              <w:left w:val="nil"/>
              <w:bottom w:val="nil"/>
              <w:right w:val="single" w:sz="8" w:space="0" w:color="auto"/>
            </w:tcBorders>
            <w:shd w:val="clear" w:color="000000" w:fill="000000"/>
            <w:noWrap/>
            <w:vAlign w:val="center"/>
            <w:hideMark/>
          </w:tcPr>
          <w:p w14:paraId="43221153" w14:textId="77777777" w:rsidR="001B03B1" w:rsidRPr="00F52AB1" w:rsidRDefault="001B03B1" w:rsidP="00F52AB1">
            <w:pPr>
              <w:pStyle w:val="TableHead"/>
              <w:spacing w:line="240" w:lineRule="exact"/>
              <w:rPr>
                <w:color w:val="FFFFFF"/>
                <w:spacing w:val="-4"/>
                <w:sz w:val="18"/>
                <w:szCs w:val="18"/>
              </w:rPr>
            </w:pPr>
            <w:r w:rsidRPr="00F52AB1">
              <w:rPr>
                <w:rFonts w:hint="cs"/>
                <w:color w:val="FFFFFF"/>
                <w:spacing w:val="-4"/>
                <w:sz w:val="18"/>
                <w:szCs w:val="18"/>
                <w:rtl/>
              </w:rPr>
              <w:t>المجموع</w:t>
            </w:r>
          </w:p>
        </w:tc>
      </w:tr>
      <w:tr w:rsidR="00F52AB1" w:rsidRPr="00F52AB1" w14:paraId="5E40001F" w14:textId="77777777" w:rsidTr="00F010D2">
        <w:trPr>
          <w:trHeight w:val="300"/>
        </w:trPr>
        <w:tc>
          <w:tcPr>
            <w:tcW w:w="1540" w:type="pct"/>
            <w:tcBorders>
              <w:top w:val="single" w:sz="8" w:space="0" w:color="auto"/>
              <w:left w:val="single" w:sz="8" w:space="0" w:color="auto"/>
              <w:bottom w:val="single" w:sz="4" w:space="0" w:color="auto"/>
              <w:right w:val="single" w:sz="4" w:space="0" w:color="auto"/>
            </w:tcBorders>
            <w:shd w:val="clear" w:color="auto" w:fill="auto"/>
            <w:noWrap/>
            <w:hideMark/>
          </w:tcPr>
          <w:p w14:paraId="3CFB1D2C" w14:textId="77777777" w:rsidR="001B03B1" w:rsidRPr="00F52AB1" w:rsidRDefault="001B03B1" w:rsidP="00F52AB1">
            <w:pPr>
              <w:pStyle w:val="Tabletexte"/>
              <w:spacing w:line="240" w:lineRule="exact"/>
              <w:jc w:val="left"/>
              <w:rPr>
                <w:sz w:val="18"/>
                <w:szCs w:val="18"/>
                <w:highlight w:val="cyan"/>
              </w:rPr>
            </w:pPr>
            <w:r w:rsidRPr="00F52AB1">
              <w:rPr>
                <w:sz w:val="18"/>
                <w:szCs w:val="18"/>
                <w:rtl/>
              </w:rPr>
              <w:t>عدد تقارير المراجعة</w:t>
            </w:r>
          </w:p>
        </w:tc>
        <w:tc>
          <w:tcPr>
            <w:tcW w:w="382" w:type="pct"/>
            <w:tcBorders>
              <w:top w:val="single" w:sz="8" w:space="0" w:color="auto"/>
              <w:left w:val="nil"/>
              <w:bottom w:val="single" w:sz="4" w:space="0" w:color="auto"/>
              <w:right w:val="single" w:sz="4" w:space="0" w:color="auto"/>
            </w:tcBorders>
            <w:shd w:val="clear" w:color="auto" w:fill="auto"/>
            <w:noWrap/>
            <w:vAlign w:val="center"/>
            <w:hideMark/>
          </w:tcPr>
          <w:p w14:paraId="089B0504" w14:textId="77777777" w:rsidR="001B03B1" w:rsidRPr="00F52AB1" w:rsidRDefault="001B03B1" w:rsidP="00F52AB1">
            <w:pPr>
              <w:pStyle w:val="Tabletexte"/>
              <w:spacing w:line="240" w:lineRule="exact"/>
              <w:jc w:val="center"/>
              <w:rPr>
                <w:color w:val="000000"/>
                <w:sz w:val="18"/>
                <w:szCs w:val="18"/>
              </w:rPr>
            </w:pPr>
            <w:r w:rsidRPr="00F52AB1">
              <w:rPr>
                <w:sz w:val="18"/>
                <w:szCs w:val="18"/>
              </w:rPr>
              <w:t>2</w:t>
            </w:r>
          </w:p>
        </w:tc>
        <w:tc>
          <w:tcPr>
            <w:tcW w:w="319" w:type="pct"/>
            <w:tcBorders>
              <w:top w:val="single" w:sz="8" w:space="0" w:color="auto"/>
              <w:left w:val="nil"/>
              <w:bottom w:val="single" w:sz="4" w:space="0" w:color="auto"/>
              <w:right w:val="single" w:sz="4" w:space="0" w:color="auto"/>
            </w:tcBorders>
            <w:shd w:val="clear" w:color="auto" w:fill="auto"/>
            <w:noWrap/>
            <w:vAlign w:val="center"/>
            <w:hideMark/>
          </w:tcPr>
          <w:p w14:paraId="3E1C30BC" w14:textId="77777777" w:rsidR="001B03B1" w:rsidRPr="00F52AB1" w:rsidRDefault="001B03B1" w:rsidP="00F52AB1">
            <w:pPr>
              <w:pStyle w:val="Tabletexte"/>
              <w:spacing w:line="240" w:lineRule="exact"/>
              <w:jc w:val="center"/>
              <w:rPr>
                <w:color w:val="000000"/>
                <w:sz w:val="18"/>
                <w:szCs w:val="18"/>
              </w:rPr>
            </w:pPr>
            <w:r w:rsidRPr="00F52AB1">
              <w:rPr>
                <w:sz w:val="18"/>
                <w:szCs w:val="18"/>
              </w:rPr>
              <w:t>0</w:t>
            </w:r>
          </w:p>
        </w:tc>
        <w:tc>
          <w:tcPr>
            <w:tcW w:w="319" w:type="pct"/>
            <w:tcBorders>
              <w:top w:val="single" w:sz="8" w:space="0" w:color="auto"/>
              <w:left w:val="nil"/>
              <w:bottom w:val="single" w:sz="4" w:space="0" w:color="auto"/>
              <w:right w:val="single" w:sz="4" w:space="0" w:color="auto"/>
            </w:tcBorders>
            <w:shd w:val="clear" w:color="000000" w:fill="FFFFFF"/>
            <w:noWrap/>
            <w:vAlign w:val="center"/>
            <w:hideMark/>
          </w:tcPr>
          <w:p w14:paraId="5A8684AC" w14:textId="77777777" w:rsidR="001B03B1" w:rsidRPr="00F52AB1" w:rsidRDefault="001B03B1" w:rsidP="00F52AB1">
            <w:pPr>
              <w:pStyle w:val="Tabletexte"/>
              <w:spacing w:line="240" w:lineRule="exact"/>
              <w:jc w:val="center"/>
              <w:rPr>
                <w:color w:val="000000"/>
                <w:sz w:val="18"/>
                <w:szCs w:val="18"/>
              </w:rPr>
            </w:pPr>
            <w:r w:rsidRPr="00F52AB1">
              <w:rPr>
                <w:sz w:val="18"/>
                <w:szCs w:val="18"/>
              </w:rPr>
              <w:t>4</w:t>
            </w:r>
          </w:p>
        </w:tc>
        <w:tc>
          <w:tcPr>
            <w:tcW w:w="319" w:type="pct"/>
            <w:tcBorders>
              <w:top w:val="single" w:sz="8" w:space="0" w:color="auto"/>
              <w:left w:val="nil"/>
              <w:bottom w:val="single" w:sz="4" w:space="0" w:color="auto"/>
              <w:right w:val="nil"/>
            </w:tcBorders>
            <w:shd w:val="clear" w:color="000000" w:fill="FFFFFF"/>
            <w:noWrap/>
            <w:vAlign w:val="center"/>
            <w:hideMark/>
          </w:tcPr>
          <w:p w14:paraId="759C954B" w14:textId="77777777" w:rsidR="001B03B1" w:rsidRPr="00F52AB1" w:rsidRDefault="001B03B1" w:rsidP="00F52AB1">
            <w:pPr>
              <w:pStyle w:val="Tabletexte"/>
              <w:spacing w:line="240" w:lineRule="exact"/>
              <w:jc w:val="center"/>
              <w:rPr>
                <w:color w:val="000000"/>
                <w:sz w:val="18"/>
                <w:szCs w:val="18"/>
              </w:rPr>
            </w:pPr>
            <w:r w:rsidRPr="00F52AB1">
              <w:rPr>
                <w:sz w:val="18"/>
                <w:szCs w:val="18"/>
              </w:rPr>
              <w:t>4</w:t>
            </w:r>
          </w:p>
        </w:tc>
        <w:tc>
          <w:tcPr>
            <w:tcW w:w="319" w:type="pct"/>
            <w:tcBorders>
              <w:top w:val="single" w:sz="8" w:space="0" w:color="auto"/>
              <w:left w:val="single" w:sz="4" w:space="0" w:color="auto"/>
              <w:bottom w:val="single" w:sz="4" w:space="0" w:color="auto"/>
              <w:right w:val="nil"/>
            </w:tcBorders>
            <w:shd w:val="clear" w:color="000000" w:fill="FFFFFF"/>
            <w:noWrap/>
            <w:vAlign w:val="center"/>
            <w:hideMark/>
          </w:tcPr>
          <w:p w14:paraId="13186425" w14:textId="77777777" w:rsidR="001B03B1" w:rsidRPr="00F52AB1" w:rsidRDefault="001B03B1" w:rsidP="00F52AB1">
            <w:pPr>
              <w:pStyle w:val="Tabletexte"/>
              <w:spacing w:line="240" w:lineRule="exact"/>
              <w:jc w:val="center"/>
              <w:rPr>
                <w:color w:val="000000"/>
                <w:sz w:val="18"/>
                <w:szCs w:val="18"/>
              </w:rPr>
            </w:pPr>
            <w:r w:rsidRPr="00F52AB1">
              <w:rPr>
                <w:sz w:val="18"/>
                <w:szCs w:val="18"/>
              </w:rPr>
              <w:t>7</w:t>
            </w:r>
          </w:p>
        </w:tc>
        <w:tc>
          <w:tcPr>
            <w:tcW w:w="319" w:type="pct"/>
            <w:tcBorders>
              <w:top w:val="single" w:sz="8" w:space="0" w:color="auto"/>
              <w:left w:val="single" w:sz="4" w:space="0" w:color="auto"/>
              <w:bottom w:val="single" w:sz="4" w:space="0" w:color="auto"/>
              <w:right w:val="nil"/>
            </w:tcBorders>
            <w:shd w:val="clear" w:color="000000" w:fill="FFFFFF"/>
            <w:noWrap/>
            <w:vAlign w:val="center"/>
            <w:hideMark/>
          </w:tcPr>
          <w:p w14:paraId="29C6A9B2" w14:textId="77777777" w:rsidR="001B03B1" w:rsidRPr="00F52AB1" w:rsidRDefault="001B03B1" w:rsidP="00F52AB1">
            <w:pPr>
              <w:pStyle w:val="Tabletexte"/>
              <w:spacing w:line="240" w:lineRule="exact"/>
              <w:jc w:val="center"/>
              <w:rPr>
                <w:color w:val="000000"/>
                <w:sz w:val="18"/>
                <w:szCs w:val="18"/>
              </w:rPr>
            </w:pPr>
            <w:r w:rsidRPr="00F52AB1">
              <w:rPr>
                <w:sz w:val="18"/>
                <w:szCs w:val="18"/>
              </w:rPr>
              <w:t>4</w:t>
            </w:r>
          </w:p>
        </w:tc>
        <w:tc>
          <w:tcPr>
            <w:tcW w:w="319" w:type="pct"/>
            <w:tcBorders>
              <w:top w:val="single" w:sz="8" w:space="0" w:color="auto"/>
              <w:left w:val="single" w:sz="4" w:space="0" w:color="auto"/>
              <w:bottom w:val="single" w:sz="4" w:space="0" w:color="auto"/>
              <w:right w:val="nil"/>
            </w:tcBorders>
            <w:shd w:val="clear" w:color="000000" w:fill="FFFFFF"/>
            <w:noWrap/>
            <w:vAlign w:val="center"/>
            <w:hideMark/>
          </w:tcPr>
          <w:p w14:paraId="4568EBBA" w14:textId="77777777" w:rsidR="001B03B1" w:rsidRPr="00F52AB1" w:rsidRDefault="001B03B1" w:rsidP="00F52AB1">
            <w:pPr>
              <w:pStyle w:val="Tabletexte"/>
              <w:spacing w:line="240" w:lineRule="exact"/>
              <w:jc w:val="center"/>
              <w:rPr>
                <w:color w:val="000000"/>
                <w:sz w:val="18"/>
                <w:szCs w:val="18"/>
              </w:rPr>
            </w:pPr>
            <w:r w:rsidRPr="00F52AB1">
              <w:rPr>
                <w:sz w:val="18"/>
                <w:szCs w:val="18"/>
              </w:rPr>
              <w:t>5</w:t>
            </w:r>
          </w:p>
        </w:tc>
        <w:tc>
          <w:tcPr>
            <w:tcW w:w="319" w:type="pct"/>
            <w:tcBorders>
              <w:top w:val="single" w:sz="8" w:space="0" w:color="auto"/>
              <w:left w:val="single" w:sz="4" w:space="0" w:color="auto"/>
              <w:bottom w:val="single" w:sz="4" w:space="0" w:color="auto"/>
              <w:right w:val="single" w:sz="4" w:space="0" w:color="auto"/>
            </w:tcBorders>
            <w:shd w:val="clear" w:color="auto" w:fill="auto"/>
            <w:vAlign w:val="center"/>
          </w:tcPr>
          <w:p w14:paraId="65282525" w14:textId="77777777" w:rsidR="001B03B1" w:rsidRPr="00F52AB1" w:rsidRDefault="001B03B1" w:rsidP="00F52AB1">
            <w:pPr>
              <w:pStyle w:val="Tabletexte"/>
              <w:spacing w:line="240" w:lineRule="exact"/>
              <w:jc w:val="center"/>
              <w:rPr>
                <w:sz w:val="18"/>
                <w:szCs w:val="18"/>
              </w:rPr>
            </w:pPr>
            <w:r w:rsidRPr="00F52AB1">
              <w:rPr>
                <w:sz w:val="18"/>
                <w:szCs w:val="18"/>
              </w:rPr>
              <w:t>4</w:t>
            </w:r>
          </w:p>
        </w:tc>
        <w:tc>
          <w:tcPr>
            <w:tcW w:w="436" w:type="pct"/>
            <w:tcBorders>
              <w:top w:val="single" w:sz="8" w:space="0" w:color="auto"/>
              <w:left w:val="single" w:sz="4" w:space="0" w:color="auto"/>
              <w:bottom w:val="single" w:sz="4" w:space="0" w:color="auto"/>
              <w:right w:val="single" w:sz="4" w:space="0" w:color="auto"/>
            </w:tcBorders>
            <w:shd w:val="clear" w:color="auto" w:fill="auto"/>
            <w:vAlign w:val="center"/>
          </w:tcPr>
          <w:p w14:paraId="5025EFD5" w14:textId="77777777" w:rsidR="001B03B1" w:rsidRPr="00F52AB1" w:rsidRDefault="001B03B1" w:rsidP="00F52AB1">
            <w:pPr>
              <w:pStyle w:val="Tabletexte"/>
              <w:spacing w:line="240" w:lineRule="exact"/>
              <w:jc w:val="center"/>
              <w:rPr>
                <w:sz w:val="18"/>
                <w:szCs w:val="18"/>
              </w:rPr>
            </w:pPr>
            <w:r w:rsidRPr="00F52AB1">
              <w:rPr>
                <w:sz w:val="18"/>
                <w:szCs w:val="18"/>
              </w:rPr>
              <w:t>2</w:t>
            </w:r>
          </w:p>
        </w:tc>
        <w:tc>
          <w:tcPr>
            <w:tcW w:w="408" w:type="pct"/>
            <w:tcBorders>
              <w:top w:val="single" w:sz="8" w:space="0" w:color="auto"/>
              <w:left w:val="single" w:sz="4" w:space="0" w:color="auto"/>
              <w:bottom w:val="single" w:sz="4" w:space="0" w:color="auto"/>
              <w:right w:val="single" w:sz="8" w:space="0" w:color="auto"/>
            </w:tcBorders>
            <w:shd w:val="clear" w:color="000000" w:fill="AEAAAA"/>
            <w:noWrap/>
            <w:vAlign w:val="center"/>
            <w:hideMark/>
          </w:tcPr>
          <w:p w14:paraId="5A6E8DBA" w14:textId="77777777" w:rsidR="001B03B1" w:rsidRPr="00F52AB1" w:rsidRDefault="001B03B1" w:rsidP="00F52AB1">
            <w:pPr>
              <w:pStyle w:val="Tabletexte"/>
              <w:spacing w:line="240" w:lineRule="exact"/>
              <w:jc w:val="center"/>
              <w:rPr>
                <w:b/>
                <w:bCs/>
                <w:sz w:val="18"/>
                <w:szCs w:val="18"/>
              </w:rPr>
            </w:pPr>
            <w:r w:rsidRPr="00F52AB1">
              <w:rPr>
                <w:b/>
                <w:bCs/>
                <w:sz w:val="18"/>
                <w:szCs w:val="18"/>
              </w:rPr>
              <w:t>32</w:t>
            </w:r>
          </w:p>
        </w:tc>
      </w:tr>
      <w:tr w:rsidR="00F52AB1" w:rsidRPr="00F52AB1" w14:paraId="11DE9A20" w14:textId="77777777" w:rsidTr="00F010D2">
        <w:trPr>
          <w:trHeight w:val="300"/>
        </w:trPr>
        <w:tc>
          <w:tcPr>
            <w:tcW w:w="1540" w:type="pct"/>
            <w:tcBorders>
              <w:top w:val="nil"/>
              <w:left w:val="single" w:sz="8" w:space="0" w:color="auto"/>
              <w:bottom w:val="single" w:sz="4" w:space="0" w:color="auto"/>
              <w:right w:val="single" w:sz="4" w:space="0" w:color="auto"/>
            </w:tcBorders>
            <w:shd w:val="clear" w:color="auto" w:fill="auto"/>
            <w:noWrap/>
            <w:hideMark/>
          </w:tcPr>
          <w:p w14:paraId="58518026" w14:textId="77777777" w:rsidR="001B03B1" w:rsidRPr="00F52AB1" w:rsidRDefault="001B03B1" w:rsidP="00F52AB1">
            <w:pPr>
              <w:pStyle w:val="Tabletexte"/>
              <w:spacing w:line="240" w:lineRule="exact"/>
              <w:jc w:val="left"/>
              <w:rPr>
                <w:sz w:val="18"/>
                <w:szCs w:val="18"/>
                <w:highlight w:val="cyan"/>
              </w:rPr>
            </w:pPr>
            <w:r w:rsidRPr="00F52AB1">
              <w:rPr>
                <w:sz w:val="18"/>
                <w:szCs w:val="18"/>
                <w:rtl/>
              </w:rPr>
              <w:t>التوصيات - المجموع</w:t>
            </w:r>
          </w:p>
        </w:tc>
        <w:tc>
          <w:tcPr>
            <w:tcW w:w="382" w:type="pct"/>
            <w:tcBorders>
              <w:top w:val="nil"/>
              <w:left w:val="nil"/>
              <w:bottom w:val="single" w:sz="4" w:space="0" w:color="auto"/>
              <w:right w:val="single" w:sz="4" w:space="0" w:color="auto"/>
            </w:tcBorders>
            <w:shd w:val="clear" w:color="auto" w:fill="auto"/>
            <w:noWrap/>
            <w:vAlign w:val="center"/>
            <w:hideMark/>
          </w:tcPr>
          <w:p w14:paraId="49AE184E" w14:textId="77777777" w:rsidR="001B03B1" w:rsidRPr="00F52AB1" w:rsidRDefault="001B03B1" w:rsidP="00F52AB1">
            <w:pPr>
              <w:pStyle w:val="Tabletexte"/>
              <w:spacing w:line="240" w:lineRule="exact"/>
              <w:jc w:val="center"/>
              <w:rPr>
                <w:color w:val="000000"/>
                <w:sz w:val="18"/>
                <w:szCs w:val="18"/>
              </w:rPr>
            </w:pPr>
            <w:r w:rsidRPr="00F52AB1">
              <w:rPr>
                <w:sz w:val="18"/>
                <w:szCs w:val="18"/>
              </w:rPr>
              <w:t>17</w:t>
            </w:r>
          </w:p>
        </w:tc>
        <w:tc>
          <w:tcPr>
            <w:tcW w:w="319" w:type="pct"/>
            <w:tcBorders>
              <w:top w:val="nil"/>
              <w:left w:val="nil"/>
              <w:bottom w:val="single" w:sz="4" w:space="0" w:color="auto"/>
              <w:right w:val="single" w:sz="4" w:space="0" w:color="auto"/>
            </w:tcBorders>
            <w:shd w:val="clear" w:color="auto" w:fill="auto"/>
            <w:noWrap/>
            <w:vAlign w:val="center"/>
            <w:hideMark/>
          </w:tcPr>
          <w:p w14:paraId="36E754C2" w14:textId="77777777" w:rsidR="001B03B1" w:rsidRPr="00F52AB1" w:rsidRDefault="001B03B1" w:rsidP="00F52AB1">
            <w:pPr>
              <w:pStyle w:val="Tabletexte"/>
              <w:spacing w:line="240" w:lineRule="exact"/>
              <w:jc w:val="center"/>
              <w:rPr>
                <w:color w:val="000000"/>
                <w:sz w:val="18"/>
                <w:szCs w:val="18"/>
              </w:rPr>
            </w:pPr>
            <w:r w:rsidRPr="00F52AB1">
              <w:rPr>
                <w:sz w:val="18"/>
                <w:szCs w:val="18"/>
              </w:rPr>
              <w:t>-</w:t>
            </w:r>
          </w:p>
        </w:tc>
        <w:tc>
          <w:tcPr>
            <w:tcW w:w="319" w:type="pct"/>
            <w:tcBorders>
              <w:top w:val="nil"/>
              <w:left w:val="nil"/>
              <w:bottom w:val="single" w:sz="4" w:space="0" w:color="auto"/>
              <w:right w:val="single" w:sz="4" w:space="0" w:color="auto"/>
            </w:tcBorders>
            <w:shd w:val="clear" w:color="000000" w:fill="FFFFFF"/>
            <w:noWrap/>
            <w:vAlign w:val="center"/>
            <w:hideMark/>
          </w:tcPr>
          <w:p w14:paraId="63AB69F2" w14:textId="77777777" w:rsidR="001B03B1" w:rsidRPr="00F52AB1" w:rsidRDefault="001B03B1" w:rsidP="00F52AB1">
            <w:pPr>
              <w:pStyle w:val="Tabletexte"/>
              <w:spacing w:line="240" w:lineRule="exact"/>
              <w:jc w:val="center"/>
              <w:rPr>
                <w:color w:val="000000"/>
                <w:sz w:val="18"/>
                <w:szCs w:val="18"/>
              </w:rPr>
            </w:pPr>
            <w:r w:rsidRPr="00F52AB1">
              <w:rPr>
                <w:sz w:val="18"/>
                <w:szCs w:val="18"/>
              </w:rPr>
              <w:t>113</w:t>
            </w:r>
          </w:p>
        </w:tc>
        <w:tc>
          <w:tcPr>
            <w:tcW w:w="319" w:type="pct"/>
            <w:tcBorders>
              <w:top w:val="nil"/>
              <w:left w:val="nil"/>
              <w:bottom w:val="single" w:sz="4" w:space="0" w:color="auto"/>
              <w:right w:val="nil"/>
            </w:tcBorders>
            <w:shd w:val="clear" w:color="000000" w:fill="FFFFFF"/>
            <w:noWrap/>
            <w:vAlign w:val="center"/>
            <w:hideMark/>
          </w:tcPr>
          <w:p w14:paraId="420C5017" w14:textId="77777777" w:rsidR="001B03B1" w:rsidRPr="00F52AB1" w:rsidRDefault="001B03B1" w:rsidP="00F52AB1">
            <w:pPr>
              <w:pStyle w:val="Tabletexte"/>
              <w:spacing w:line="240" w:lineRule="exact"/>
              <w:jc w:val="center"/>
              <w:rPr>
                <w:color w:val="000000"/>
                <w:sz w:val="18"/>
                <w:szCs w:val="18"/>
              </w:rPr>
            </w:pPr>
            <w:r w:rsidRPr="00F52AB1">
              <w:rPr>
                <w:sz w:val="18"/>
                <w:szCs w:val="18"/>
              </w:rPr>
              <w:t>55</w:t>
            </w:r>
          </w:p>
        </w:tc>
        <w:tc>
          <w:tcPr>
            <w:tcW w:w="319" w:type="pct"/>
            <w:tcBorders>
              <w:top w:val="nil"/>
              <w:left w:val="single" w:sz="4" w:space="0" w:color="auto"/>
              <w:bottom w:val="single" w:sz="4" w:space="0" w:color="auto"/>
              <w:right w:val="nil"/>
            </w:tcBorders>
            <w:shd w:val="clear" w:color="000000" w:fill="FFFFFF"/>
            <w:noWrap/>
            <w:vAlign w:val="center"/>
            <w:hideMark/>
          </w:tcPr>
          <w:p w14:paraId="6D6960C3" w14:textId="77777777" w:rsidR="001B03B1" w:rsidRPr="00F52AB1" w:rsidRDefault="001B03B1" w:rsidP="00F52AB1">
            <w:pPr>
              <w:pStyle w:val="Tabletexte"/>
              <w:spacing w:line="240" w:lineRule="exact"/>
              <w:jc w:val="center"/>
              <w:rPr>
                <w:color w:val="000000"/>
                <w:sz w:val="18"/>
                <w:szCs w:val="18"/>
              </w:rPr>
            </w:pPr>
            <w:r w:rsidRPr="00F52AB1">
              <w:rPr>
                <w:sz w:val="18"/>
                <w:szCs w:val="18"/>
              </w:rPr>
              <w:t>34</w:t>
            </w:r>
          </w:p>
        </w:tc>
        <w:tc>
          <w:tcPr>
            <w:tcW w:w="319" w:type="pct"/>
            <w:tcBorders>
              <w:top w:val="nil"/>
              <w:left w:val="single" w:sz="4" w:space="0" w:color="auto"/>
              <w:bottom w:val="single" w:sz="4" w:space="0" w:color="auto"/>
              <w:right w:val="nil"/>
            </w:tcBorders>
            <w:shd w:val="clear" w:color="000000" w:fill="FFFFFF"/>
            <w:noWrap/>
            <w:vAlign w:val="center"/>
            <w:hideMark/>
          </w:tcPr>
          <w:p w14:paraId="7EB213F2" w14:textId="77777777" w:rsidR="001B03B1" w:rsidRPr="00F52AB1" w:rsidRDefault="001B03B1" w:rsidP="00F52AB1">
            <w:pPr>
              <w:pStyle w:val="Tabletexte"/>
              <w:spacing w:line="240" w:lineRule="exact"/>
              <w:jc w:val="center"/>
              <w:rPr>
                <w:color w:val="000000"/>
                <w:sz w:val="18"/>
                <w:szCs w:val="18"/>
              </w:rPr>
            </w:pPr>
            <w:r w:rsidRPr="00F52AB1">
              <w:rPr>
                <w:sz w:val="18"/>
                <w:szCs w:val="18"/>
              </w:rPr>
              <w:t>22</w:t>
            </w:r>
          </w:p>
        </w:tc>
        <w:tc>
          <w:tcPr>
            <w:tcW w:w="319" w:type="pct"/>
            <w:tcBorders>
              <w:top w:val="nil"/>
              <w:left w:val="single" w:sz="4" w:space="0" w:color="auto"/>
              <w:bottom w:val="single" w:sz="4" w:space="0" w:color="auto"/>
              <w:right w:val="nil"/>
            </w:tcBorders>
            <w:shd w:val="clear" w:color="000000" w:fill="FFFFFF"/>
            <w:noWrap/>
            <w:vAlign w:val="center"/>
            <w:hideMark/>
          </w:tcPr>
          <w:p w14:paraId="10B4158A" w14:textId="77777777" w:rsidR="001B03B1" w:rsidRPr="00F52AB1" w:rsidRDefault="001B03B1" w:rsidP="00F52AB1">
            <w:pPr>
              <w:pStyle w:val="Tabletexte"/>
              <w:spacing w:line="240" w:lineRule="exact"/>
              <w:jc w:val="center"/>
              <w:rPr>
                <w:color w:val="000000"/>
                <w:sz w:val="18"/>
                <w:szCs w:val="18"/>
              </w:rPr>
            </w:pPr>
            <w:r w:rsidRPr="00F52AB1">
              <w:rPr>
                <w:sz w:val="18"/>
                <w:szCs w:val="18"/>
              </w:rPr>
              <w:t>30</w:t>
            </w:r>
          </w:p>
        </w:tc>
        <w:tc>
          <w:tcPr>
            <w:tcW w:w="319" w:type="pct"/>
            <w:tcBorders>
              <w:top w:val="nil"/>
              <w:left w:val="single" w:sz="4" w:space="0" w:color="auto"/>
              <w:bottom w:val="single" w:sz="4" w:space="0" w:color="auto"/>
              <w:right w:val="single" w:sz="4" w:space="0" w:color="auto"/>
            </w:tcBorders>
            <w:shd w:val="clear" w:color="auto" w:fill="auto"/>
            <w:vAlign w:val="center"/>
          </w:tcPr>
          <w:p w14:paraId="67AB14E4" w14:textId="77777777" w:rsidR="001B03B1" w:rsidRPr="00F52AB1" w:rsidRDefault="001B03B1" w:rsidP="00F52AB1">
            <w:pPr>
              <w:pStyle w:val="Tabletexte"/>
              <w:spacing w:line="240" w:lineRule="exact"/>
              <w:jc w:val="center"/>
              <w:rPr>
                <w:sz w:val="18"/>
                <w:szCs w:val="18"/>
              </w:rPr>
            </w:pPr>
            <w:r w:rsidRPr="00F52AB1">
              <w:rPr>
                <w:sz w:val="18"/>
                <w:szCs w:val="18"/>
              </w:rPr>
              <w:t>26</w:t>
            </w:r>
          </w:p>
        </w:tc>
        <w:tc>
          <w:tcPr>
            <w:tcW w:w="436" w:type="pct"/>
            <w:tcBorders>
              <w:top w:val="nil"/>
              <w:left w:val="single" w:sz="4" w:space="0" w:color="auto"/>
              <w:bottom w:val="single" w:sz="4" w:space="0" w:color="auto"/>
              <w:right w:val="single" w:sz="4" w:space="0" w:color="auto"/>
            </w:tcBorders>
            <w:shd w:val="clear" w:color="auto" w:fill="auto"/>
            <w:vAlign w:val="center"/>
          </w:tcPr>
          <w:p w14:paraId="294D4CCA" w14:textId="77777777" w:rsidR="001B03B1" w:rsidRPr="00F52AB1" w:rsidRDefault="001B03B1" w:rsidP="00F52AB1">
            <w:pPr>
              <w:pStyle w:val="Tabletexte"/>
              <w:spacing w:line="240" w:lineRule="exact"/>
              <w:jc w:val="center"/>
              <w:rPr>
                <w:sz w:val="18"/>
                <w:szCs w:val="18"/>
              </w:rPr>
            </w:pPr>
            <w:r w:rsidRPr="00F52AB1">
              <w:rPr>
                <w:sz w:val="18"/>
                <w:szCs w:val="18"/>
              </w:rPr>
              <w:t>15</w:t>
            </w:r>
          </w:p>
        </w:tc>
        <w:tc>
          <w:tcPr>
            <w:tcW w:w="408" w:type="pct"/>
            <w:tcBorders>
              <w:top w:val="nil"/>
              <w:left w:val="single" w:sz="4" w:space="0" w:color="auto"/>
              <w:bottom w:val="single" w:sz="4" w:space="0" w:color="auto"/>
              <w:right w:val="single" w:sz="8" w:space="0" w:color="auto"/>
            </w:tcBorders>
            <w:shd w:val="clear" w:color="000000" w:fill="AEAAAA"/>
            <w:noWrap/>
            <w:vAlign w:val="center"/>
            <w:hideMark/>
          </w:tcPr>
          <w:p w14:paraId="1587B2AF" w14:textId="77777777" w:rsidR="001B03B1" w:rsidRPr="00F52AB1" w:rsidRDefault="001B03B1" w:rsidP="00F52AB1">
            <w:pPr>
              <w:pStyle w:val="Tabletexte"/>
              <w:spacing w:line="240" w:lineRule="exact"/>
              <w:jc w:val="center"/>
              <w:rPr>
                <w:b/>
                <w:bCs/>
                <w:sz w:val="18"/>
                <w:szCs w:val="18"/>
              </w:rPr>
            </w:pPr>
            <w:r w:rsidRPr="00F52AB1">
              <w:rPr>
                <w:b/>
                <w:bCs/>
                <w:sz w:val="18"/>
                <w:szCs w:val="18"/>
              </w:rPr>
              <w:t>312</w:t>
            </w:r>
          </w:p>
        </w:tc>
      </w:tr>
      <w:tr w:rsidR="00F52AB1" w:rsidRPr="00F52AB1" w14:paraId="59A09B3E" w14:textId="77777777" w:rsidTr="00F010D2">
        <w:trPr>
          <w:trHeight w:val="300"/>
        </w:trPr>
        <w:tc>
          <w:tcPr>
            <w:tcW w:w="1540" w:type="pct"/>
            <w:tcBorders>
              <w:top w:val="nil"/>
              <w:left w:val="single" w:sz="8" w:space="0" w:color="auto"/>
              <w:bottom w:val="single" w:sz="4" w:space="0" w:color="auto"/>
              <w:right w:val="single" w:sz="4" w:space="0" w:color="auto"/>
            </w:tcBorders>
            <w:shd w:val="clear" w:color="auto" w:fill="auto"/>
            <w:noWrap/>
            <w:hideMark/>
          </w:tcPr>
          <w:p w14:paraId="23CB7A18" w14:textId="77777777" w:rsidR="001B03B1" w:rsidRPr="00F52AB1" w:rsidRDefault="001B03B1" w:rsidP="00F52AB1">
            <w:pPr>
              <w:pStyle w:val="Tabletexte"/>
              <w:spacing w:line="240" w:lineRule="exact"/>
              <w:jc w:val="left"/>
              <w:rPr>
                <w:sz w:val="18"/>
                <w:szCs w:val="18"/>
                <w:highlight w:val="cyan"/>
              </w:rPr>
            </w:pPr>
            <w:r w:rsidRPr="00F52AB1">
              <w:rPr>
                <w:sz w:val="18"/>
                <w:szCs w:val="18"/>
                <w:rtl/>
              </w:rPr>
              <w:t>التوصيات الجاري تنفيذها</w:t>
            </w:r>
          </w:p>
        </w:tc>
        <w:tc>
          <w:tcPr>
            <w:tcW w:w="382" w:type="pct"/>
            <w:tcBorders>
              <w:top w:val="nil"/>
              <w:left w:val="nil"/>
              <w:bottom w:val="single" w:sz="4" w:space="0" w:color="auto"/>
              <w:right w:val="single" w:sz="4" w:space="0" w:color="auto"/>
            </w:tcBorders>
            <w:shd w:val="clear" w:color="000000" w:fill="FFFFFF"/>
            <w:noWrap/>
            <w:vAlign w:val="center"/>
            <w:hideMark/>
          </w:tcPr>
          <w:p w14:paraId="5017B499" w14:textId="77777777" w:rsidR="001B03B1" w:rsidRPr="00F52AB1" w:rsidRDefault="001B03B1" w:rsidP="00F52AB1">
            <w:pPr>
              <w:pStyle w:val="Tabletexte"/>
              <w:spacing w:line="240" w:lineRule="exact"/>
              <w:jc w:val="center"/>
              <w:rPr>
                <w:color w:val="000000"/>
                <w:sz w:val="18"/>
                <w:szCs w:val="18"/>
              </w:rPr>
            </w:pPr>
            <w:r w:rsidRPr="00F52AB1">
              <w:rPr>
                <w:sz w:val="18"/>
                <w:szCs w:val="18"/>
              </w:rPr>
              <w:t>0</w:t>
            </w:r>
          </w:p>
        </w:tc>
        <w:tc>
          <w:tcPr>
            <w:tcW w:w="319" w:type="pct"/>
            <w:tcBorders>
              <w:top w:val="nil"/>
              <w:left w:val="nil"/>
              <w:bottom w:val="single" w:sz="4" w:space="0" w:color="auto"/>
              <w:right w:val="single" w:sz="4" w:space="0" w:color="auto"/>
            </w:tcBorders>
            <w:shd w:val="clear" w:color="auto" w:fill="auto"/>
            <w:noWrap/>
            <w:vAlign w:val="center"/>
            <w:hideMark/>
          </w:tcPr>
          <w:p w14:paraId="38782F2B" w14:textId="77777777" w:rsidR="001B03B1" w:rsidRPr="00F52AB1" w:rsidRDefault="001B03B1" w:rsidP="00F52AB1">
            <w:pPr>
              <w:pStyle w:val="Tabletexte"/>
              <w:spacing w:line="240" w:lineRule="exact"/>
              <w:jc w:val="center"/>
              <w:rPr>
                <w:color w:val="000000"/>
                <w:sz w:val="18"/>
                <w:szCs w:val="18"/>
              </w:rPr>
            </w:pPr>
            <w:r w:rsidRPr="00F52AB1">
              <w:rPr>
                <w:sz w:val="18"/>
                <w:szCs w:val="18"/>
              </w:rPr>
              <w:t>-</w:t>
            </w:r>
          </w:p>
        </w:tc>
        <w:tc>
          <w:tcPr>
            <w:tcW w:w="319" w:type="pct"/>
            <w:tcBorders>
              <w:top w:val="nil"/>
              <w:left w:val="nil"/>
              <w:bottom w:val="single" w:sz="4" w:space="0" w:color="auto"/>
              <w:right w:val="single" w:sz="4" w:space="0" w:color="auto"/>
            </w:tcBorders>
            <w:shd w:val="clear" w:color="000000" w:fill="FFFFFF"/>
            <w:noWrap/>
            <w:vAlign w:val="center"/>
            <w:hideMark/>
          </w:tcPr>
          <w:p w14:paraId="75B65970" w14:textId="77777777" w:rsidR="001B03B1" w:rsidRPr="00F52AB1" w:rsidRDefault="001B03B1" w:rsidP="00F52AB1">
            <w:pPr>
              <w:pStyle w:val="Tabletexte"/>
              <w:spacing w:line="240" w:lineRule="exact"/>
              <w:jc w:val="center"/>
              <w:rPr>
                <w:color w:val="000000"/>
                <w:sz w:val="18"/>
                <w:szCs w:val="18"/>
              </w:rPr>
            </w:pPr>
            <w:r w:rsidRPr="00F52AB1">
              <w:rPr>
                <w:sz w:val="18"/>
                <w:szCs w:val="18"/>
              </w:rPr>
              <w:t>5</w:t>
            </w:r>
          </w:p>
        </w:tc>
        <w:tc>
          <w:tcPr>
            <w:tcW w:w="319" w:type="pct"/>
            <w:tcBorders>
              <w:top w:val="nil"/>
              <w:left w:val="nil"/>
              <w:bottom w:val="single" w:sz="4" w:space="0" w:color="auto"/>
              <w:right w:val="nil"/>
            </w:tcBorders>
            <w:shd w:val="clear" w:color="000000" w:fill="FFFFFF"/>
            <w:noWrap/>
            <w:vAlign w:val="center"/>
            <w:hideMark/>
          </w:tcPr>
          <w:p w14:paraId="6F920F34" w14:textId="77777777" w:rsidR="001B03B1" w:rsidRPr="00F52AB1" w:rsidRDefault="001B03B1" w:rsidP="00F52AB1">
            <w:pPr>
              <w:pStyle w:val="Tabletexte"/>
              <w:spacing w:line="240" w:lineRule="exact"/>
              <w:jc w:val="center"/>
              <w:rPr>
                <w:color w:val="000000"/>
                <w:sz w:val="18"/>
                <w:szCs w:val="18"/>
              </w:rPr>
            </w:pPr>
            <w:r w:rsidRPr="00F52AB1">
              <w:rPr>
                <w:sz w:val="18"/>
                <w:szCs w:val="18"/>
              </w:rPr>
              <w:t>2</w:t>
            </w:r>
          </w:p>
        </w:tc>
        <w:tc>
          <w:tcPr>
            <w:tcW w:w="319" w:type="pct"/>
            <w:tcBorders>
              <w:top w:val="nil"/>
              <w:left w:val="single" w:sz="4" w:space="0" w:color="auto"/>
              <w:bottom w:val="single" w:sz="4" w:space="0" w:color="auto"/>
              <w:right w:val="nil"/>
            </w:tcBorders>
            <w:shd w:val="clear" w:color="000000" w:fill="FFFFFF"/>
            <w:noWrap/>
            <w:vAlign w:val="center"/>
            <w:hideMark/>
          </w:tcPr>
          <w:p w14:paraId="515E1EEC" w14:textId="77777777" w:rsidR="001B03B1" w:rsidRPr="00F52AB1" w:rsidRDefault="001B03B1" w:rsidP="00F52AB1">
            <w:pPr>
              <w:pStyle w:val="Tabletexte"/>
              <w:spacing w:line="240" w:lineRule="exact"/>
              <w:jc w:val="center"/>
              <w:rPr>
                <w:color w:val="000000"/>
                <w:sz w:val="18"/>
                <w:szCs w:val="18"/>
              </w:rPr>
            </w:pPr>
            <w:r w:rsidRPr="00F52AB1">
              <w:rPr>
                <w:sz w:val="18"/>
                <w:szCs w:val="18"/>
              </w:rPr>
              <w:t>1</w:t>
            </w:r>
          </w:p>
        </w:tc>
        <w:tc>
          <w:tcPr>
            <w:tcW w:w="319" w:type="pct"/>
            <w:tcBorders>
              <w:top w:val="nil"/>
              <w:left w:val="single" w:sz="4" w:space="0" w:color="auto"/>
              <w:bottom w:val="single" w:sz="4" w:space="0" w:color="auto"/>
              <w:right w:val="nil"/>
            </w:tcBorders>
            <w:shd w:val="clear" w:color="000000" w:fill="FFFFFF"/>
            <w:noWrap/>
            <w:vAlign w:val="center"/>
            <w:hideMark/>
          </w:tcPr>
          <w:p w14:paraId="22D52644" w14:textId="77777777" w:rsidR="001B03B1" w:rsidRPr="00F52AB1" w:rsidRDefault="001B03B1" w:rsidP="00F52AB1">
            <w:pPr>
              <w:pStyle w:val="Tabletexte"/>
              <w:spacing w:line="240" w:lineRule="exact"/>
              <w:jc w:val="center"/>
              <w:rPr>
                <w:color w:val="000000"/>
                <w:sz w:val="18"/>
                <w:szCs w:val="18"/>
              </w:rPr>
            </w:pPr>
            <w:r w:rsidRPr="00F52AB1">
              <w:rPr>
                <w:sz w:val="18"/>
                <w:szCs w:val="18"/>
              </w:rPr>
              <w:t>8</w:t>
            </w:r>
          </w:p>
        </w:tc>
        <w:tc>
          <w:tcPr>
            <w:tcW w:w="319" w:type="pct"/>
            <w:tcBorders>
              <w:top w:val="nil"/>
              <w:left w:val="single" w:sz="4" w:space="0" w:color="auto"/>
              <w:bottom w:val="single" w:sz="4" w:space="0" w:color="auto"/>
              <w:right w:val="nil"/>
            </w:tcBorders>
            <w:shd w:val="clear" w:color="000000" w:fill="FFFFFF"/>
            <w:noWrap/>
            <w:vAlign w:val="center"/>
            <w:hideMark/>
          </w:tcPr>
          <w:p w14:paraId="6629D312" w14:textId="77777777" w:rsidR="001B03B1" w:rsidRPr="00F52AB1" w:rsidRDefault="001B03B1" w:rsidP="00F52AB1">
            <w:pPr>
              <w:pStyle w:val="Tabletexte"/>
              <w:spacing w:line="240" w:lineRule="exact"/>
              <w:jc w:val="center"/>
              <w:rPr>
                <w:color w:val="000000"/>
                <w:sz w:val="18"/>
                <w:szCs w:val="18"/>
              </w:rPr>
            </w:pPr>
            <w:r w:rsidRPr="00F52AB1">
              <w:rPr>
                <w:sz w:val="18"/>
                <w:szCs w:val="18"/>
              </w:rPr>
              <w:t>13</w:t>
            </w:r>
          </w:p>
        </w:tc>
        <w:tc>
          <w:tcPr>
            <w:tcW w:w="319" w:type="pct"/>
            <w:tcBorders>
              <w:top w:val="nil"/>
              <w:left w:val="single" w:sz="4" w:space="0" w:color="auto"/>
              <w:bottom w:val="single" w:sz="4" w:space="0" w:color="auto"/>
              <w:right w:val="single" w:sz="4" w:space="0" w:color="auto"/>
            </w:tcBorders>
            <w:shd w:val="clear" w:color="auto" w:fill="auto"/>
            <w:vAlign w:val="center"/>
          </w:tcPr>
          <w:p w14:paraId="6D93479B" w14:textId="77777777" w:rsidR="001B03B1" w:rsidRPr="00F52AB1" w:rsidRDefault="001B03B1" w:rsidP="00F52AB1">
            <w:pPr>
              <w:pStyle w:val="Tabletexte"/>
              <w:spacing w:line="240" w:lineRule="exact"/>
              <w:jc w:val="center"/>
              <w:rPr>
                <w:sz w:val="18"/>
                <w:szCs w:val="18"/>
              </w:rPr>
            </w:pPr>
            <w:r w:rsidRPr="00F52AB1">
              <w:rPr>
                <w:sz w:val="18"/>
                <w:szCs w:val="18"/>
              </w:rPr>
              <w:t>16</w:t>
            </w:r>
          </w:p>
        </w:tc>
        <w:tc>
          <w:tcPr>
            <w:tcW w:w="436" w:type="pct"/>
            <w:tcBorders>
              <w:top w:val="nil"/>
              <w:left w:val="single" w:sz="4" w:space="0" w:color="auto"/>
              <w:bottom w:val="single" w:sz="4" w:space="0" w:color="auto"/>
              <w:right w:val="single" w:sz="4" w:space="0" w:color="auto"/>
            </w:tcBorders>
            <w:shd w:val="clear" w:color="auto" w:fill="auto"/>
            <w:vAlign w:val="center"/>
          </w:tcPr>
          <w:p w14:paraId="462EFEFE" w14:textId="77777777" w:rsidR="001B03B1" w:rsidRPr="00F52AB1" w:rsidRDefault="001B03B1" w:rsidP="00F52AB1">
            <w:pPr>
              <w:pStyle w:val="Tabletexte"/>
              <w:spacing w:line="240" w:lineRule="exact"/>
              <w:jc w:val="center"/>
              <w:rPr>
                <w:sz w:val="18"/>
                <w:szCs w:val="18"/>
              </w:rPr>
            </w:pPr>
            <w:r w:rsidRPr="00F52AB1">
              <w:rPr>
                <w:sz w:val="18"/>
                <w:szCs w:val="18"/>
              </w:rPr>
              <w:t>9</w:t>
            </w:r>
          </w:p>
        </w:tc>
        <w:tc>
          <w:tcPr>
            <w:tcW w:w="408" w:type="pct"/>
            <w:tcBorders>
              <w:top w:val="nil"/>
              <w:left w:val="single" w:sz="4" w:space="0" w:color="auto"/>
              <w:bottom w:val="single" w:sz="4" w:space="0" w:color="auto"/>
              <w:right w:val="single" w:sz="8" w:space="0" w:color="auto"/>
            </w:tcBorders>
            <w:shd w:val="clear" w:color="000000" w:fill="AEAAAA"/>
            <w:noWrap/>
            <w:vAlign w:val="center"/>
            <w:hideMark/>
          </w:tcPr>
          <w:p w14:paraId="13F92F84" w14:textId="77777777" w:rsidR="001B03B1" w:rsidRPr="00F52AB1" w:rsidRDefault="001B03B1" w:rsidP="00F52AB1">
            <w:pPr>
              <w:pStyle w:val="Tabletexte"/>
              <w:spacing w:line="240" w:lineRule="exact"/>
              <w:jc w:val="center"/>
              <w:rPr>
                <w:b/>
                <w:bCs/>
                <w:sz w:val="18"/>
                <w:szCs w:val="18"/>
              </w:rPr>
            </w:pPr>
            <w:r w:rsidRPr="00F52AB1">
              <w:rPr>
                <w:b/>
                <w:bCs/>
                <w:sz w:val="18"/>
                <w:szCs w:val="18"/>
              </w:rPr>
              <w:t>54</w:t>
            </w:r>
          </w:p>
        </w:tc>
      </w:tr>
      <w:tr w:rsidR="00F52AB1" w:rsidRPr="00F52AB1" w14:paraId="0EC58710" w14:textId="77777777" w:rsidTr="00F010D2">
        <w:trPr>
          <w:trHeight w:val="300"/>
        </w:trPr>
        <w:tc>
          <w:tcPr>
            <w:tcW w:w="1540" w:type="pct"/>
            <w:tcBorders>
              <w:top w:val="nil"/>
              <w:left w:val="single" w:sz="8" w:space="0" w:color="auto"/>
              <w:bottom w:val="single" w:sz="4" w:space="0" w:color="auto"/>
              <w:right w:val="single" w:sz="4" w:space="0" w:color="auto"/>
            </w:tcBorders>
            <w:shd w:val="clear" w:color="auto" w:fill="auto"/>
            <w:noWrap/>
            <w:hideMark/>
          </w:tcPr>
          <w:p w14:paraId="01706D86" w14:textId="0DF06530" w:rsidR="001B03B1" w:rsidRPr="00F52AB1" w:rsidRDefault="001B03B1" w:rsidP="00F52AB1">
            <w:pPr>
              <w:pStyle w:val="Tabletexte"/>
              <w:spacing w:line="240" w:lineRule="exact"/>
              <w:jc w:val="left"/>
              <w:rPr>
                <w:sz w:val="18"/>
                <w:szCs w:val="18"/>
                <w:highlight w:val="cyan"/>
              </w:rPr>
            </w:pPr>
            <w:r w:rsidRPr="00F52AB1">
              <w:rPr>
                <w:sz w:val="18"/>
                <w:szCs w:val="18"/>
                <w:rtl/>
              </w:rPr>
              <w:t>التوصيات المتأخَر تنفيذها</w:t>
            </w:r>
          </w:p>
        </w:tc>
        <w:tc>
          <w:tcPr>
            <w:tcW w:w="382" w:type="pct"/>
            <w:tcBorders>
              <w:top w:val="nil"/>
              <w:left w:val="nil"/>
              <w:bottom w:val="single" w:sz="4" w:space="0" w:color="auto"/>
              <w:right w:val="single" w:sz="4" w:space="0" w:color="auto"/>
            </w:tcBorders>
            <w:shd w:val="clear" w:color="000000" w:fill="FFFFFF"/>
            <w:noWrap/>
            <w:vAlign w:val="center"/>
            <w:hideMark/>
          </w:tcPr>
          <w:p w14:paraId="5126528B" w14:textId="77777777" w:rsidR="001B03B1" w:rsidRPr="00F52AB1" w:rsidRDefault="001B03B1" w:rsidP="00F52AB1">
            <w:pPr>
              <w:pStyle w:val="Tabletexte"/>
              <w:spacing w:line="240" w:lineRule="exact"/>
              <w:jc w:val="center"/>
              <w:rPr>
                <w:color w:val="000000"/>
                <w:sz w:val="18"/>
                <w:szCs w:val="18"/>
              </w:rPr>
            </w:pPr>
            <w:r w:rsidRPr="00F52AB1">
              <w:rPr>
                <w:sz w:val="18"/>
                <w:szCs w:val="18"/>
              </w:rPr>
              <w:t>3</w:t>
            </w:r>
          </w:p>
        </w:tc>
        <w:tc>
          <w:tcPr>
            <w:tcW w:w="319" w:type="pct"/>
            <w:tcBorders>
              <w:top w:val="nil"/>
              <w:left w:val="nil"/>
              <w:bottom w:val="single" w:sz="4" w:space="0" w:color="auto"/>
              <w:right w:val="single" w:sz="4" w:space="0" w:color="auto"/>
            </w:tcBorders>
            <w:shd w:val="clear" w:color="auto" w:fill="auto"/>
            <w:noWrap/>
            <w:vAlign w:val="center"/>
            <w:hideMark/>
          </w:tcPr>
          <w:p w14:paraId="4639866C" w14:textId="77777777" w:rsidR="001B03B1" w:rsidRPr="00F52AB1" w:rsidRDefault="001B03B1" w:rsidP="00F52AB1">
            <w:pPr>
              <w:pStyle w:val="Tabletexte"/>
              <w:spacing w:line="240" w:lineRule="exact"/>
              <w:jc w:val="center"/>
              <w:rPr>
                <w:color w:val="000000"/>
                <w:sz w:val="18"/>
                <w:szCs w:val="18"/>
              </w:rPr>
            </w:pPr>
            <w:r w:rsidRPr="00F52AB1">
              <w:rPr>
                <w:sz w:val="18"/>
                <w:szCs w:val="18"/>
              </w:rPr>
              <w:t>-</w:t>
            </w:r>
          </w:p>
        </w:tc>
        <w:tc>
          <w:tcPr>
            <w:tcW w:w="319" w:type="pct"/>
            <w:tcBorders>
              <w:top w:val="nil"/>
              <w:left w:val="nil"/>
              <w:bottom w:val="single" w:sz="4" w:space="0" w:color="auto"/>
              <w:right w:val="single" w:sz="4" w:space="0" w:color="auto"/>
            </w:tcBorders>
            <w:shd w:val="clear" w:color="000000" w:fill="FFFFFF"/>
            <w:noWrap/>
            <w:vAlign w:val="center"/>
            <w:hideMark/>
          </w:tcPr>
          <w:p w14:paraId="27E6C011" w14:textId="77777777" w:rsidR="001B03B1" w:rsidRPr="00F52AB1" w:rsidRDefault="001B03B1" w:rsidP="00F52AB1">
            <w:pPr>
              <w:pStyle w:val="Tabletexte"/>
              <w:spacing w:line="240" w:lineRule="exact"/>
              <w:jc w:val="center"/>
              <w:rPr>
                <w:color w:val="000000"/>
                <w:sz w:val="18"/>
                <w:szCs w:val="18"/>
              </w:rPr>
            </w:pPr>
            <w:r w:rsidRPr="00F52AB1">
              <w:rPr>
                <w:sz w:val="18"/>
                <w:szCs w:val="18"/>
              </w:rPr>
              <w:t>0</w:t>
            </w:r>
          </w:p>
        </w:tc>
        <w:tc>
          <w:tcPr>
            <w:tcW w:w="319" w:type="pct"/>
            <w:tcBorders>
              <w:top w:val="nil"/>
              <w:left w:val="nil"/>
              <w:bottom w:val="single" w:sz="4" w:space="0" w:color="auto"/>
              <w:right w:val="nil"/>
            </w:tcBorders>
            <w:shd w:val="clear" w:color="000000" w:fill="FFFFFF"/>
            <w:noWrap/>
            <w:vAlign w:val="center"/>
            <w:hideMark/>
          </w:tcPr>
          <w:p w14:paraId="5A63160E" w14:textId="77777777" w:rsidR="001B03B1" w:rsidRPr="00F52AB1" w:rsidRDefault="001B03B1" w:rsidP="00F52AB1">
            <w:pPr>
              <w:pStyle w:val="Tabletexte"/>
              <w:spacing w:line="240" w:lineRule="exact"/>
              <w:jc w:val="center"/>
              <w:rPr>
                <w:color w:val="000000"/>
                <w:sz w:val="18"/>
                <w:szCs w:val="18"/>
              </w:rPr>
            </w:pPr>
            <w:r w:rsidRPr="00F52AB1">
              <w:rPr>
                <w:sz w:val="18"/>
                <w:szCs w:val="18"/>
              </w:rPr>
              <w:t>0</w:t>
            </w:r>
          </w:p>
        </w:tc>
        <w:tc>
          <w:tcPr>
            <w:tcW w:w="319" w:type="pct"/>
            <w:tcBorders>
              <w:top w:val="nil"/>
              <w:left w:val="single" w:sz="4" w:space="0" w:color="auto"/>
              <w:bottom w:val="single" w:sz="4" w:space="0" w:color="auto"/>
              <w:right w:val="nil"/>
            </w:tcBorders>
            <w:shd w:val="clear" w:color="000000" w:fill="FFFFFF"/>
            <w:noWrap/>
            <w:vAlign w:val="center"/>
            <w:hideMark/>
          </w:tcPr>
          <w:p w14:paraId="2651F4AC" w14:textId="77777777" w:rsidR="001B03B1" w:rsidRPr="00F52AB1" w:rsidRDefault="001B03B1" w:rsidP="00F52AB1">
            <w:pPr>
              <w:pStyle w:val="Tabletexte"/>
              <w:spacing w:line="240" w:lineRule="exact"/>
              <w:jc w:val="center"/>
              <w:rPr>
                <w:color w:val="000000"/>
                <w:sz w:val="18"/>
                <w:szCs w:val="18"/>
              </w:rPr>
            </w:pPr>
            <w:r w:rsidRPr="00F52AB1">
              <w:rPr>
                <w:sz w:val="18"/>
                <w:szCs w:val="18"/>
              </w:rPr>
              <w:t>0</w:t>
            </w:r>
          </w:p>
        </w:tc>
        <w:tc>
          <w:tcPr>
            <w:tcW w:w="319" w:type="pct"/>
            <w:tcBorders>
              <w:top w:val="nil"/>
              <w:left w:val="single" w:sz="4" w:space="0" w:color="auto"/>
              <w:bottom w:val="single" w:sz="4" w:space="0" w:color="auto"/>
              <w:right w:val="nil"/>
            </w:tcBorders>
            <w:shd w:val="clear" w:color="000000" w:fill="FFFFFF"/>
            <w:noWrap/>
            <w:vAlign w:val="center"/>
            <w:hideMark/>
          </w:tcPr>
          <w:p w14:paraId="31243F4E" w14:textId="77777777" w:rsidR="001B03B1" w:rsidRPr="00F52AB1" w:rsidRDefault="001B03B1" w:rsidP="00F52AB1">
            <w:pPr>
              <w:pStyle w:val="Tabletexte"/>
              <w:spacing w:line="240" w:lineRule="exact"/>
              <w:jc w:val="center"/>
              <w:rPr>
                <w:color w:val="000000"/>
                <w:sz w:val="18"/>
                <w:szCs w:val="18"/>
              </w:rPr>
            </w:pPr>
            <w:r w:rsidRPr="00F52AB1">
              <w:rPr>
                <w:sz w:val="18"/>
                <w:szCs w:val="18"/>
              </w:rPr>
              <w:t>0</w:t>
            </w:r>
          </w:p>
        </w:tc>
        <w:tc>
          <w:tcPr>
            <w:tcW w:w="319" w:type="pct"/>
            <w:tcBorders>
              <w:top w:val="nil"/>
              <w:left w:val="single" w:sz="4" w:space="0" w:color="auto"/>
              <w:bottom w:val="single" w:sz="4" w:space="0" w:color="auto"/>
              <w:right w:val="nil"/>
            </w:tcBorders>
            <w:shd w:val="clear" w:color="000000" w:fill="FFFFFF"/>
            <w:noWrap/>
            <w:vAlign w:val="center"/>
            <w:hideMark/>
          </w:tcPr>
          <w:p w14:paraId="569D5E7D" w14:textId="77777777" w:rsidR="001B03B1" w:rsidRPr="00F52AB1" w:rsidRDefault="001B03B1" w:rsidP="00F52AB1">
            <w:pPr>
              <w:pStyle w:val="Tabletexte"/>
              <w:spacing w:line="240" w:lineRule="exact"/>
              <w:jc w:val="center"/>
              <w:rPr>
                <w:color w:val="000000"/>
                <w:sz w:val="18"/>
                <w:szCs w:val="18"/>
              </w:rPr>
            </w:pPr>
            <w:r w:rsidRPr="00F52AB1">
              <w:rPr>
                <w:sz w:val="18"/>
                <w:szCs w:val="18"/>
              </w:rPr>
              <w:t>0</w:t>
            </w:r>
          </w:p>
        </w:tc>
        <w:tc>
          <w:tcPr>
            <w:tcW w:w="319" w:type="pct"/>
            <w:tcBorders>
              <w:top w:val="nil"/>
              <w:left w:val="single" w:sz="4" w:space="0" w:color="auto"/>
              <w:bottom w:val="single" w:sz="4" w:space="0" w:color="auto"/>
              <w:right w:val="single" w:sz="4" w:space="0" w:color="auto"/>
            </w:tcBorders>
            <w:shd w:val="clear" w:color="auto" w:fill="auto"/>
            <w:vAlign w:val="center"/>
          </w:tcPr>
          <w:p w14:paraId="6E3EC25D" w14:textId="77777777" w:rsidR="001B03B1" w:rsidRPr="00F52AB1" w:rsidRDefault="001B03B1" w:rsidP="00F52AB1">
            <w:pPr>
              <w:pStyle w:val="Tabletexte"/>
              <w:spacing w:line="240" w:lineRule="exact"/>
              <w:jc w:val="center"/>
              <w:rPr>
                <w:sz w:val="18"/>
                <w:szCs w:val="18"/>
              </w:rPr>
            </w:pPr>
            <w:r w:rsidRPr="00F52AB1">
              <w:rPr>
                <w:sz w:val="18"/>
                <w:szCs w:val="18"/>
              </w:rPr>
              <w:t>0</w:t>
            </w:r>
          </w:p>
        </w:tc>
        <w:tc>
          <w:tcPr>
            <w:tcW w:w="436" w:type="pct"/>
            <w:tcBorders>
              <w:top w:val="nil"/>
              <w:left w:val="single" w:sz="4" w:space="0" w:color="auto"/>
              <w:bottom w:val="single" w:sz="4" w:space="0" w:color="auto"/>
              <w:right w:val="single" w:sz="4" w:space="0" w:color="auto"/>
            </w:tcBorders>
            <w:shd w:val="clear" w:color="auto" w:fill="auto"/>
            <w:vAlign w:val="center"/>
          </w:tcPr>
          <w:p w14:paraId="78B36BA2" w14:textId="77777777" w:rsidR="001B03B1" w:rsidRPr="00F52AB1" w:rsidRDefault="001B03B1" w:rsidP="00F52AB1">
            <w:pPr>
              <w:pStyle w:val="Tabletexte"/>
              <w:spacing w:line="240" w:lineRule="exact"/>
              <w:jc w:val="center"/>
              <w:rPr>
                <w:sz w:val="18"/>
                <w:szCs w:val="18"/>
              </w:rPr>
            </w:pPr>
            <w:r w:rsidRPr="00F52AB1">
              <w:rPr>
                <w:sz w:val="18"/>
                <w:szCs w:val="18"/>
              </w:rPr>
              <w:t>0</w:t>
            </w:r>
          </w:p>
        </w:tc>
        <w:tc>
          <w:tcPr>
            <w:tcW w:w="408" w:type="pct"/>
            <w:tcBorders>
              <w:top w:val="nil"/>
              <w:left w:val="single" w:sz="4" w:space="0" w:color="auto"/>
              <w:bottom w:val="single" w:sz="4" w:space="0" w:color="auto"/>
              <w:right w:val="single" w:sz="8" w:space="0" w:color="auto"/>
            </w:tcBorders>
            <w:shd w:val="clear" w:color="000000" w:fill="AEAAAA"/>
            <w:noWrap/>
            <w:vAlign w:val="center"/>
            <w:hideMark/>
          </w:tcPr>
          <w:p w14:paraId="16351DD1" w14:textId="77777777" w:rsidR="001B03B1" w:rsidRPr="00F52AB1" w:rsidRDefault="001B03B1" w:rsidP="00F52AB1">
            <w:pPr>
              <w:pStyle w:val="Tabletexte"/>
              <w:spacing w:line="240" w:lineRule="exact"/>
              <w:jc w:val="center"/>
              <w:rPr>
                <w:b/>
                <w:bCs/>
                <w:sz w:val="18"/>
                <w:szCs w:val="18"/>
              </w:rPr>
            </w:pPr>
            <w:r w:rsidRPr="00F52AB1">
              <w:rPr>
                <w:b/>
                <w:bCs/>
                <w:sz w:val="18"/>
                <w:szCs w:val="18"/>
              </w:rPr>
              <w:t>3</w:t>
            </w:r>
          </w:p>
        </w:tc>
      </w:tr>
      <w:tr w:rsidR="00F52AB1" w:rsidRPr="00F52AB1" w14:paraId="13454708" w14:textId="77777777" w:rsidTr="00F010D2">
        <w:trPr>
          <w:trHeight w:val="315"/>
        </w:trPr>
        <w:tc>
          <w:tcPr>
            <w:tcW w:w="1540" w:type="pct"/>
            <w:tcBorders>
              <w:top w:val="nil"/>
              <w:left w:val="single" w:sz="8" w:space="0" w:color="auto"/>
              <w:bottom w:val="single" w:sz="8" w:space="0" w:color="auto"/>
              <w:right w:val="single" w:sz="4" w:space="0" w:color="auto"/>
            </w:tcBorders>
            <w:shd w:val="clear" w:color="auto" w:fill="auto"/>
            <w:noWrap/>
            <w:hideMark/>
          </w:tcPr>
          <w:p w14:paraId="4ADB23C3" w14:textId="77777777" w:rsidR="001B03B1" w:rsidRPr="00F52AB1" w:rsidRDefault="001B03B1" w:rsidP="00F52AB1">
            <w:pPr>
              <w:pStyle w:val="Tabletexte"/>
              <w:spacing w:line="240" w:lineRule="exact"/>
              <w:jc w:val="left"/>
              <w:rPr>
                <w:sz w:val="18"/>
                <w:szCs w:val="18"/>
              </w:rPr>
            </w:pPr>
            <w:r w:rsidRPr="00F52AB1">
              <w:rPr>
                <w:sz w:val="18"/>
                <w:szCs w:val="18"/>
                <w:rtl/>
              </w:rPr>
              <w:t>التوصيات التي أُقفل</w:t>
            </w:r>
            <w:r w:rsidRPr="00F52AB1">
              <w:rPr>
                <w:rFonts w:hint="cs"/>
                <w:sz w:val="18"/>
                <w:szCs w:val="18"/>
                <w:rtl/>
              </w:rPr>
              <w:t xml:space="preserve"> ملفها</w:t>
            </w:r>
          </w:p>
        </w:tc>
        <w:tc>
          <w:tcPr>
            <w:tcW w:w="382" w:type="pct"/>
            <w:tcBorders>
              <w:top w:val="nil"/>
              <w:left w:val="nil"/>
              <w:bottom w:val="single" w:sz="8" w:space="0" w:color="auto"/>
              <w:right w:val="single" w:sz="4" w:space="0" w:color="auto"/>
            </w:tcBorders>
            <w:shd w:val="clear" w:color="000000" w:fill="FFFFFF"/>
            <w:noWrap/>
            <w:vAlign w:val="center"/>
            <w:hideMark/>
          </w:tcPr>
          <w:p w14:paraId="53F7DD76" w14:textId="77777777" w:rsidR="001B03B1" w:rsidRPr="00F52AB1" w:rsidRDefault="001B03B1" w:rsidP="00F52AB1">
            <w:pPr>
              <w:pStyle w:val="Tabletexte"/>
              <w:spacing w:line="240" w:lineRule="exact"/>
              <w:jc w:val="center"/>
              <w:rPr>
                <w:color w:val="000000"/>
                <w:sz w:val="18"/>
                <w:szCs w:val="18"/>
              </w:rPr>
            </w:pPr>
            <w:r w:rsidRPr="00F52AB1">
              <w:rPr>
                <w:sz w:val="18"/>
                <w:szCs w:val="18"/>
              </w:rPr>
              <w:t>14</w:t>
            </w:r>
          </w:p>
        </w:tc>
        <w:tc>
          <w:tcPr>
            <w:tcW w:w="319" w:type="pct"/>
            <w:tcBorders>
              <w:top w:val="nil"/>
              <w:left w:val="nil"/>
              <w:bottom w:val="single" w:sz="8" w:space="0" w:color="auto"/>
              <w:right w:val="single" w:sz="4" w:space="0" w:color="auto"/>
            </w:tcBorders>
            <w:shd w:val="clear" w:color="auto" w:fill="auto"/>
            <w:noWrap/>
            <w:vAlign w:val="center"/>
            <w:hideMark/>
          </w:tcPr>
          <w:p w14:paraId="66F7C7BD" w14:textId="77777777" w:rsidR="001B03B1" w:rsidRPr="00F52AB1" w:rsidRDefault="001B03B1" w:rsidP="00F52AB1">
            <w:pPr>
              <w:pStyle w:val="Tabletexte"/>
              <w:spacing w:line="240" w:lineRule="exact"/>
              <w:jc w:val="center"/>
              <w:rPr>
                <w:color w:val="000000"/>
                <w:sz w:val="18"/>
                <w:szCs w:val="18"/>
              </w:rPr>
            </w:pPr>
            <w:r w:rsidRPr="00F52AB1">
              <w:rPr>
                <w:sz w:val="18"/>
                <w:szCs w:val="18"/>
              </w:rPr>
              <w:t>-</w:t>
            </w:r>
          </w:p>
        </w:tc>
        <w:tc>
          <w:tcPr>
            <w:tcW w:w="319" w:type="pct"/>
            <w:tcBorders>
              <w:top w:val="nil"/>
              <w:left w:val="nil"/>
              <w:bottom w:val="single" w:sz="8" w:space="0" w:color="auto"/>
              <w:right w:val="single" w:sz="4" w:space="0" w:color="auto"/>
            </w:tcBorders>
            <w:shd w:val="clear" w:color="000000" w:fill="FFFFFF"/>
            <w:noWrap/>
            <w:vAlign w:val="center"/>
            <w:hideMark/>
          </w:tcPr>
          <w:p w14:paraId="4AB68FA0" w14:textId="77777777" w:rsidR="001B03B1" w:rsidRPr="00F52AB1" w:rsidRDefault="001B03B1" w:rsidP="00F52AB1">
            <w:pPr>
              <w:pStyle w:val="Tabletexte"/>
              <w:spacing w:line="240" w:lineRule="exact"/>
              <w:jc w:val="center"/>
              <w:rPr>
                <w:color w:val="000000"/>
                <w:sz w:val="18"/>
                <w:szCs w:val="18"/>
              </w:rPr>
            </w:pPr>
            <w:r w:rsidRPr="00F52AB1">
              <w:rPr>
                <w:sz w:val="18"/>
                <w:szCs w:val="18"/>
              </w:rPr>
              <w:t>108</w:t>
            </w:r>
          </w:p>
        </w:tc>
        <w:tc>
          <w:tcPr>
            <w:tcW w:w="319" w:type="pct"/>
            <w:tcBorders>
              <w:top w:val="nil"/>
              <w:left w:val="nil"/>
              <w:bottom w:val="single" w:sz="8" w:space="0" w:color="auto"/>
              <w:right w:val="nil"/>
            </w:tcBorders>
            <w:shd w:val="clear" w:color="000000" w:fill="FFFFFF"/>
            <w:noWrap/>
            <w:vAlign w:val="center"/>
            <w:hideMark/>
          </w:tcPr>
          <w:p w14:paraId="58B0D187" w14:textId="77777777" w:rsidR="001B03B1" w:rsidRPr="00F52AB1" w:rsidRDefault="001B03B1" w:rsidP="00F52AB1">
            <w:pPr>
              <w:pStyle w:val="Tabletexte"/>
              <w:spacing w:line="240" w:lineRule="exact"/>
              <w:jc w:val="center"/>
              <w:rPr>
                <w:color w:val="000000"/>
                <w:sz w:val="18"/>
                <w:szCs w:val="18"/>
              </w:rPr>
            </w:pPr>
            <w:r w:rsidRPr="00F52AB1">
              <w:rPr>
                <w:sz w:val="18"/>
                <w:szCs w:val="18"/>
              </w:rPr>
              <w:t>53</w:t>
            </w:r>
          </w:p>
        </w:tc>
        <w:tc>
          <w:tcPr>
            <w:tcW w:w="319" w:type="pct"/>
            <w:tcBorders>
              <w:top w:val="nil"/>
              <w:left w:val="single" w:sz="4" w:space="0" w:color="auto"/>
              <w:bottom w:val="single" w:sz="8" w:space="0" w:color="auto"/>
              <w:right w:val="nil"/>
            </w:tcBorders>
            <w:shd w:val="clear" w:color="000000" w:fill="FFFFFF"/>
            <w:noWrap/>
            <w:vAlign w:val="center"/>
            <w:hideMark/>
          </w:tcPr>
          <w:p w14:paraId="1263112C" w14:textId="77777777" w:rsidR="001B03B1" w:rsidRPr="00F52AB1" w:rsidRDefault="001B03B1" w:rsidP="00F52AB1">
            <w:pPr>
              <w:pStyle w:val="Tabletexte"/>
              <w:spacing w:line="240" w:lineRule="exact"/>
              <w:jc w:val="center"/>
              <w:rPr>
                <w:color w:val="000000"/>
                <w:sz w:val="18"/>
                <w:szCs w:val="18"/>
              </w:rPr>
            </w:pPr>
            <w:r w:rsidRPr="00F52AB1">
              <w:rPr>
                <w:sz w:val="18"/>
                <w:szCs w:val="18"/>
              </w:rPr>
              <w:t>33</w:t>
            </w:r>
          </w:p>
        </w:tc>
        <w:tc>
          <w:tcPr>
            <w:tcW w:w="319" w:type="pct"/>
            <w:tcBorders>
              <w:top w:val="nil"/>
              <w:left w:val="single" w:sz="4" w:space="0" w:color="auto"/>
              <w:bottom w:val="single" w:sz="8" w:space="0" w:color="auto"/>
              <w:right w:val="nil"/>
            </w:tcBorders>
            <w:shd w:val="clear" w:color="000000" w:fill="FFFFFF"/>
            <w:noWrap/>
            <w:vAlign w:val="center"/>
            <w:hideMark/>
          </w:tcPr>
          <w:p w14:paraId="7D967263" w14:textId="77777777" w:rsidR="001B03B1" w:rsidRPr="00F52AB1" w:rsidRDefault="001B03B1" w:rsidP="00F52AB1">
            <w:pPr>
              <w:pStyle w:val="Tabletexte"/>
              <w:spacing w:line="240" w:lineRule="exact"/>
              <w:jc w:val="center"/>
              <w:rPr>
                <w:color w:val="000000"/>
                <w:sz w:val="18"/>
                <w:szCs w:val="18"/>
              </w:rPr>
            </w:pPr>
            <w:r w:rsidRPr="00F52AB1">
              <w:rPr>
                <w:sz w:val="18"/>
                <w:szCs w:val="18"/>
              </w:rPr>
              <w:t>14</w:t>
            </w:r>
          </w:p>
        </w:tc>
        <w:tc>
          <w:tcPr>
            <w:tcW w:w="319" w:type="pct"/>
            <w:tcBorders>
              <w:top w:val="nil"/>
              <w:left w:val="single" w:sz="4" w:space="0" w:color="auto"/>
              <w:bottom w:val="single" w:sz="8" w:space="0" w:color="auto"/>
              <w:right w:val="nil"/>
            </w:tcBorders>
            <w:shd w:val="clear" w:color="000000" w:fill="FFFFFF"/>
            <w:noWrap/>
            <w:vAlign w:val="center"/>
            <w:hideMark/>
          </w:tcPr>
          <w:p w14:paraId="0FAF4305" w14:textId="77777777" w:rsidR="001B03B1" w:rsidRPr="00F52AB1" w:rsidRDefault="001B03B1" w:rsidP="00F52AB1">
            <w:pPr>
              <w:pStyle w:val="Tabletexte"/>
              <w:spacing w:line="240" w:lineRule="exact"/>
              <w:jc w:val="center"/>
              <w:rPr>
                <w:color w:val="000000"/>
                <w:sz w:val="18"/>
                <w:szCs w:val="18"/>
              </w:rPr>
            </w:pPr>
            <w:r w:rsidRPr="00F52AB1">
              <w:rPr>
                <w:sz w:val="18"/>
                <w:szCs w:val="18"/>
              </w:rPr>
              <w:t>17</w:t>
            </w:r>
          </w:p>
        </w:tc>
        <w:tc>
          <w:tcPr>
            <w:tcW w:w="319" w:type="pct"/>
            <w:tcBorders>
              <w:top w:val="nil"/>
              <w:left w:val="single" w:sz="4" w:space="0" w:color="auto"/>
              <w:bottom w:val="single" w:sz="8" w:space="0" w:color="auto"/>
              <w:right w:val="single" w:sz="4" w:space="0" w:color="auto"/>
            </w:tcBorders>
            <w:shd w:val="clear" w:color="auto" w:fill="auto"/>
            <w:vAlign w:val="center"/>
          </w:tcPr>
          <w:p w14:paraId="51AABE74" w14:textId="77777777" w:rsidR="001B03B1" w:rsidRPr="00F52AB1" w:rsidRDefault="001B03B1" w:rsidP="00F52AB1">
            <w:pPr>
              <w:pStyle w:val="Tabletexte"/>
              <w:spacing w:line="240" w:lineRule="exact"/>
              <w:jc w:val="center"/>
              <w:rPr>
                <w:sz w:val="18"/>
                <w:szCs w:val="18"/>
              </w:rPr>
            </w:pPr>
            <w:r w:rsidRPr="00F52AB1">
              <w:rPr>
                <w:sz w:val="18"/>
                <w:szCs w:val="18"/>
              </w:rPr>
              <w:t>10</w:t>
            </w:r>
          </w:p>
        </w:tc>
        <w:tc>
          <w:tcPr>
            <w:tcW w:w="436" w:type="pct"/>
            <w:tcBorders>
              <w:top w:val="nil"/>
              <w:left w:val="single" w:sz="4" w:space="0" w:color="auto"/>
              <w:bottom w:val="single" w:sz="8" w:space="0" w:color="auto"/>
              <w:right w:val="single" w:sz="4" w:space="0" w:color="auto"/>
            </w:tcBorders>
            <w:shd w:val="clear" w:color="auto" w:fill="auto"/>
            <w:vAlign w:val="center"/>
          </w:tcPr>
          <w:p w14:paraId="1E59455B" w14:textId="77777777" w:rsidR="001B03B1" w:rsidRPr="00F52AB1" w:rsidRDefault="001B03B1" w:rsidP="00F52AB1">
            <w:pPr>
              <w:pStyle w:val="Tabletexte"/>
              <w:spacing w:line="240" w:lineRule="exact"/>
              <w:jc w:val="center"/>
              <w:rPr>
                <w:sz w:val="18"/>
                <w:szCs w:val="18"/>
              </w:rPr>
            </w:pPr>
            <w:r w:rsidRPr="00F52AB1">
              <w:rPr>
                <w:sz w:val="18"/>
                <w:szCs w:val="18"/>
              </w:rPr>
              <w:t>6</w:t>
            </w:r>
          </w:p>
        </w:tc>
        <w:tc>
          <w:tcPr>
            <w:tcW w:w="408" w:type="pct"/>
            <w:tcBorders>
              <w:top w:val="nil"/>
              <w:left w:val="single" w:sz="4" w:space="0" w:color="auto"/>
              <w:bottom w:val="single" w:sz="8" w:space="0" w:color="auto"/>
              <w:right w:val="single" w:sz="8" w:space="0" w:color="auto"/>
            </w:tcBorders>
            <w:shd w:val="clear" w:color="000000" w:fill="AEAAAA"/>
            <w:noWrap/>
            <w:vAlign w:val="center"/>
            <w:hideMark/>
          </w:tcPr>
          <w:p w14:paraId="61C66609" w14:textId="77777777" w:rsidR="001B03B1" w:rsidRPr="00F52AB1" w:rsidRDefault="001B03B1" w:rsidP="00F52AB1">
            <w:pPr>
              <w:pStyle w:val="Tabletexte"/>
              <w:spacing w:line="240" w:lineRule="exact"/>
              <w:jc w:val="center"/>
              <w:rPr>
                <w:b/>
                <w:bCs/>
                <w:sz w:val="18"/>
                <w:szCs w:val="18"/>
              </w:rPr>
            </w:pPr>
            <w:r w:rsidRPr="00F52AB1">
              <w:rPr>
                <w:b/>
                <w:bCs/>
                <w:sz w:val="18"/>
                <w:szCs w:val="18"/>
              </w:rPr>
              <w:t>255</w:t>
            </w:r>
          </w:p>
        </w:tc>
      </w:tr>
      <w:tr w:rsidR="00F52AB1" w:rsidRPr="00F52AB1" w14:paraId="1F45AE50" w14:textId="77777777" w:rsidTr="00F010D2">
        <w:trPr>
          <w:trHeight w:val="105"/>
        </w:trPr>
        <w:tc>
          <w:tcPr>
            <w:tcW w:w="1540" w:type="pct"/>
            <w:tcBorders>
              <w:top w:val="nil"/>
              <w:left w:val="single" w:sz="8" w:space="0" w:color="auto"/>
              <w:bottom w:val="nil"/>
              <w:right w:val="nil"/>
            </w:tcBorders>
            <w:shd w:val="clear" w:color="auto" w:fill="auto"/>
            <w:noWrap/>
            <w:hideMark/>
          </w:tcPr>
          <w:p w14:paraId="63C2B6A0" w14:textId="77777777" w:rsidR="001B03B1" w:rsidRPr="00F52AB1" w:rsidRDefault="001B03B1" w:rsidP="00F52AB1">
            <w:pPr>
              <w:pStyle w:val="Tabletexte"/>
              <w:spacing w:line="240" w:lineRule="exact"/>
              <w:jc w:val="left"/>
              <w:rPr>
                <w:sz w:val="18"/>
                <w:szCs w:val="18"/>
              </w:rPr>
            </w:pPr>
          </w:p>
        </w:tc>
        <w:tc>
          <w:tcPr>
            <w:tcW w:w="382" w:type="pct"/>
            <w:tcBorders>
              <w:top w:val="nil"/>
              <w:left w:val="nil"/>
              <w:bottom w:val="nil"/>
              <w:right w:val="nil"/>
            </w:tcBorders>
            <w:shd w:val="clear" w:color="000000" w:fill="FFFFFF"/>
            <w:noWrap/>
            <w:vAlign w:val="bottom"/>
            <w:hideMark/>
          </w:tcPr>
          <w:p w14:paraId="3FE50539" w14:textId="77777777" w:rsidR="001B03B1" w:rsidRPr="00F52AB1" w:rsidRDefault="001B03B1" w:rsidP="00F52AB1">
            <w:pPr>
              <w:pStyle w:val="Tabletexte"/>
              <w:spacing w:line="240" w:lineRule="exact"/>
              <w:jc w:val="center"/>
              <w:rPr>
                <w:color w:val="000000"/>
                <w:sz w:val="18"/>
                <w:szCs w:val="18"/>
              </w:rPr>
            </w:pPr>
          </w:p>
        </w:tc>
        <w:tc>
          <w:tcPr>
            <w:tcW w:w="319" w:type="pct"/>
            <w:tcBorders>
              <w:top w:val="nil"/>
              <w:left w:val="nil"/>
              <w:bottom w:val="nil"/>
              <w:right w:val="nil"/>
            </w:tcBorders>
            <w:shd w:val="clear" w:color="auto" w:fill="auto"/>
            <w:noWrap/>
            <w:vAlign w:val="bottom"/>
            <w:hideMark/>
          </w:tcPr>
          <w:p w14:paraId="5006212A" w14:textId="77777777" w:rsidR="001B03B1" w:rsidRPr="00F52AB1" w:rsidRDefault="001B03B1" w:rsidP="00F52AB1">
            <w:pPr>
              <w:pStyle w:val="Tabletexte"/>
              <w:spacing w:line="240" w:lineRule="exact"/>
              <w:jc w:val="center"/>
              <w:rPr>
                <w:color w:val="000000"/>
                <w:sz w:val="18"/>
                <w:szCs w:val="18"/>
              </w:rPr>
            </w:pPr>
          </w:p>
        </w:tc>
        <w:tc>
          <w:tcPr>
            <w:tcW w:w="319" w:type="pct"/>
            <w:tcBorders>
              <w:top w:val="nil"/>
              <w:left w:val="nil"/>
              <w:bottom w:val="nil"/>
              <w:right w:val="nil"/>
            </w:tcBorders>
            <w:shd w:val="clear" w:color="000000" w:fill="FFFFFF"/>
            <w:noWrap/>
            <w:vAlign w:val="bottom"/>
            <w:hideMark/>
          </w:tcPr>
          <w:p w14:paraId="163330B6" w14:textId="77777777" w:rsidR="001B03B1" w:rsidRPr="00F52AB1" w:rsidRDefault="001B03B1" w:rsidP="00F52AB1">
            <w:pPr>
              <w:pStyle w:val="Tabletexte"/>
              <w:spacing w:line="240" w:lineRule="exact"/>
              <w:jc w:val="center"/>
              <w:rPr>
                <w:color w:val="000000"/>
                <w:sz w:val="18"/>
                <w:szCs w:val="18"/>
              </w:rPr>
            </w:pPr>
          </w:p>
        </w:tc>
        <w:tc>
          <w:tcPr>
            <w:tcW w:w="319" w:type="pct"/>
            <w:tcBorders>
              <w:top w:val="nil"/>
              <w:left w:val="nil"/>
              <w:bottom w:val="nil"/>
              <w:right w:val="nil"/>
            </w:tcBorders>
            <w:shd w:val="clear" w:color="000000" w:fill="FFFFFF"/>
            <w:noWrap/>
            <w:vAlign w:val="bottom"/>
            <w:hideMark/>
          </w:tcPr>
          <w:p w14:paraId="44E07189" w14:textId="77777777" w:rsidR="001B03B1" w:rsidRPr="00F52AB1" w:rsidRDefault="001B03B1" w:rsidP="00F52AB1">
            <w:pPr>
              <w:pStyle w:val="Tabletexte"/>
              <w:spacing w:line="240" w:lineRule="exact"/>
              <w:jc w:val="center"/>
              <w:rPr>
                <w:color w:val="000000"/>
                <w:sz w:val="18"/>
                <w:szCs w:val="18"/>
              </w:rPr>
            </w:pPr>
          </w:p>
        </w:tc>
        <w:tc>
          <w:tcPr>
            <w:tcW w:w="319" w:type="pct"/>
            <w:tcBorders>
              <w:top w:val="nil"/>
              <w:left w:val="nil"/>
              <w:bottom w:val="nil"/>
              <w:right w:val="nil"/>
            </w:tcBorders>
            <w:shd w:val="clear" w:color="000000" w:fill="FFFFFF"/>
            <w:noWrap/>
            <w:vAlign w:val="bottom"/>
            <w:hideMark/>
          </w:tcPr>
          <w:p w14:paraId="7170702E" w14:textId="77777777" w:rsidR="001B03B1" w:rsidRPr="00F52AB1" w:rsidRDefault="001B03B1" w:rsidP="00F52AB1">
            <w:pPr>
              <w:pStyle w:val="Tabletexte"/>
              <w:spacing w:line="240" w:lineRule="exact"/>
              <w:jc w:val="center"/>
              <w:rPr>
                <w:color w:val="000000"/>
                <w:sz w:val="18"/>
                <w:szCs w:val="18"/>
              </w:rPr>
            </w:pPr>
          </w:p>
        </w:tc>
        <w:tc>
          <w:tcPr>
            <w:tcW w:w="319" w:type="pct"/>
            <w:tcBorders>
              <w:top w:val="nil"/>
              <w:left w:val="nil"/>
              <w:bottom w:val="nil"/>
              <w:right w:val="nil"/>
            </w:tcBorders>
            <w:shd w:val="clear" w:color="000000" w:fill="FFFFFF"/>
            <w:noWrap/>
            <w:vAlign w:val="bottom"/>
            <w:hideMark/>
          </w:tcPr>
          <w:p w14:paraId="018C85A2" w14:textId="77777777" w:rsidR="001B03B1" w:rsidRPr="00F52AB1" w:rsidRDefault="001B03B1" w:rsidP="00F52AB1">
            <w:pPr>
              <w:pStyle w:val="Tabletexte"/>
              <w:spacing w:line="240" w:lineRule="exact"/>
              <w:jc w:val="center"/>
              <w:rPr>
                <w:color w:val="000000"/>
                <w:sz w:val="18"/>
                <w:szCs w:val="18"/>
              </w:rPr>
            </w:pPr>
          </w:p>
        </w:tc>
        <w:tc>
          <w:tcPr>
            <w:tcW w:w="319" w:type="pct"/>
            <w:tcBorders>
              <w:top w:val="nil"/>
              <w:left w:val="nil"/>
              <w:bottom w:val="nil"/>
              <w:right w:val="nil"/>
            </w:tcBorders>
            <w:shd w:val="clear" w:color="000000" w:fill="FFFFFF"/>
            <w:noWrap/>
            <w:vAlign w:val="bottom"/>
            <w:hideMark/>
          </w:tcPr>
          <w:p w14:paraId="06EF4124" w14:textId="77777777" w:rsidR="001B03B1" w:rsidRPr="00F52AB1" w:rsidRDefault="001B03B1" w:rsidP="00F52AB1">
            <w:pPr>
              <w:pStyle w:val="Tabletexte"/>
              <w:spacing w:line="240" w:lineRule="exact"/>
              <w:jc w:val="center"/>
              <w:rPr>
                <w:color w:val="000000"/>
                <w:sz w:val="18"/>
                <w:szCs w:val="18"/>
              </w:rPr>
            </w:pPr>
          </w:p>
        </w:tc>
        <w:tc>
          <w:tcPr>
            <w:tcW w:w="319" w:type="pct"/>
            <w:tcBorders>
              <w:top w:val="nil"/>
              <w:left w:val="nil"/>
              <w:bottom w:val="nil"/>
              <w:right w:val="nil"/>
            </w:tcBorders>
            <w:shd w:val="clear" w:color="auto" w:fill="auto"/>
          </w:tcPr>
          <w:p w14:paraId="23A2B8C7" w14:textId="77777777" w:rsidR="001B03B1" w:rsidRPr="00F52AB1" w:rsidRDefault="001B03B1" w:rsidP="00F52AB1">
            <w:pPr>
              <w:pStyle w:val="Tabletexte"/>
              <w:spacing w:line="240" w:lineRule="exact"/>
              <w:jc w:val="center"/>
              <w:rPr>
                <w:b/>
                <w:bCs/>
                <w:sz w:val="18"/>
                <w:szCs w:val="18"/>
              </w:rPr>
            </w:pPr>
          </w:p>
        </w:tc>
        <w:tc>
          <w:tcPr>
            <w:tcW w:w="436" w:type="pct"/>
            <w:tcBorders>
              <w:top w:val="nil"/>
              <w:left w:val="nil"/>
              <w:bottom w:val="nil"/>
              <w:right w:val="nil"/>
            </w:tcBorders>
            <w:shd w:val="clear" w:color="auto" w:fill="auto"/>
          </w:tcPr>
          <w:p w14:paraId="34978033" w14:textId="77777777" w:rsidR="001B03B1" w:rsidRPr="00F52AB1" w:rsidRDefault="001B03B1" w:rsidP="00F52AB1">
            <w:pPr>
              <w:pStyle w:val="Tabletexte"/>
              <w:spacing w:line="240" w:lineRule="exact"/>
              <w:jc w:val="center"/>
              <w:rPr>
                <w:b/>
                <w:bCs/>
                <w:sz w:val="18"/>
                <w:szCs w:val="18"/>
              </w:rPr>
            </w:pPr>
          </w:p>
        </w:tc>
        <w:tc>
          <w:tcPr>
            <w:tcW w:w="408" w:type="pct"/>
            <w:tcBorders>
              <w:top w:val="nil"/>
              <w:left w:val="nil"/>
              <w:bottom w:val="nil"/>
              <w:right w:val="single" w:sz="8" w:space="0" w:color="auto"/>
            </w:tcBorders>
            <w:shd w:val="clear" w:color="000000" w:fill="FFFFFF"/>
            <w:noWrap/>
            <w:vAlign w:val="bottom"/>
            <w:hideMark/>
          </w:tcPr>
          <w:p w14:paraId="331DF4D0" w14:textId="77777777" w:rsidR="001B03B1" w:rsidRPr="00F52AB1" w:rsidRDefault="001B03B1" w:rsidP="00F52AB1">
            <w:pPr>
              <w:pStyle w:val="Tabletexte"/>
              <w:spacing w:line="240" w:lineRule="exact"/>
              <w:jc w:val="center"/>
              <w:rPr>
                <w:b/>
                <w:bCs/>
                <w:sz w:val="18"/>
                <w:szCs w:val="18"/>
              </w:rPr>
            </w:pPr>
          </w:p>
        </w:tc>
      </w:tr>
      <w:tr w:rsidR="00F52AB1" w:rsidRPr="00F52AB1" w14:paraId="4E9B0A73" w14:textId="77777777" w:rsidTr="00F010D2">
        <w:trPr>
          <w:trHeight w:val="315"/>
        </w:trPr>
        <w:tc>
          <w:tcPr>
            <w:tcW w:w="1540" w:type="pct"/>
            <w:tcBorders>
              <w:top w:val="single" w:sz="8" w:space="0" w:color="auto"/>
              <w:left w:val="single" w:sz="8" w:space="0" w:color="auto"/>
              <w:bottom w:val="single" w:sz="8" w:space="0" w:color="auto"/>
              <w:right w:val="single" w:sz="4" w:space="0" w:color="auto"/>
            </w:tcBorders>
            <w:shd w:val="clear" w:color="auto" w:fill="auto"/>
            <w:noWrap/>
            <w:hideMark/>
          </w:tcPr>
          <w:p w14:paraId="4F3CED9E" w14:textId="77777777" w:rsidR="001B03B1" w:rsidRPr="00F52AB1" w:rsidRDefault="001B03B1" w:rsidP="00F52AB1">
            <w:pPr>
              <w:pStyle w:val="Tabletexte"/>
              <w:spacing w:line="240" w:lineRule="exact"/>
              <w:jc w:val="left"/>
              <w:rPr>
                <w:sz w:val="18"/>
                <w:szCs w:val="18"/>
              </w:rPr>
            </w:pPr>
            <w:r w:rsidRPr="00F52AB1">
              <w:rPr>
                <w:sz w:val="18"/>
                <w:szCs w:val="18"/>
                <w:rtl/>
              </w:rPr>
              <w:t>النسبة المئوية للتوصيات الجاري تنفيذها</w:t>
            </w:r>
          </w:p>
        </w:tc>
        <w:tc>
          <w:tcPr>
            <w:tcW w:w="382" w:type="pct"/>
            <w:tcBorders>
              <w:top w:val="single" w:sz="8" w:space="0" w:color="auto"/>
              <w:left w:val="nil"/>
              <w:bottom w:val="single" w:sz="8" w:space="0" w:color="auto"/>
              <w:right w:val="single" w:sz="4" w:space="0" w:color="auto"/>
            </w:tcBorders>
            <w:shd w:val="clear" w:color="auto" w:fill="auto"/>
            <w:noWrap/>
            <w:vAlign w:val="center"/>
            <w:hideMark/>
          </w:tcPr>
          <w:p w14:paraId="6F74B195" w14:textId="01A185D6"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0</w:t>
            </w:r>
          </w:p>
        </w:tc>
        <w:tc>
          <w:tcPr>
            <w:tcW w:w="319" w:type="pct"/>
            <w:tcBorders>
              <w:top w:val="single" w:sz="8" w:space="0" w:color="auto"/>
              <w:left w:val="nil"/>
              <w:bottom w:val="single" w:sz="8" w:space="0" w:color="auto"/>
              <w:right w:val="single" w:sz="4" w:space="0" w:color="auto"/>
            </w:tcBorders>
            <w:shd w:val="clear" w:color="auto" w:fill="auto"/>
            <w:noWrap/>
            <w:vAlign w:val="center"/>
            <w:hideMark/>
          </w:tcPr>
          <w:p w14:paraId="6ACD87EE" w14:textId="77777777" w:rsidR="001B03B1" w:rsidRPr="00F52AB1" w:rsidRDefault="001B03B1" w:rsidP="00F52AB1">
            <w:pPr>
              <w:pStyle w:val="Tabletexte"/>
              <w:spacing w:line="240" w:lineRule="exact"/>
              <w:jc w:val="center"/>
              <w:rPr>
                <w:color w:val="000000"/>
                <w:sz w:val="18"/>
                <w:szCs w:val="18"/>
              </w:rPr>
            </w:pPr>
            <w:r w:rsidRPr="00F52AB1">
              <w:rPr>
                <w:sz w:val="18"/>
                <w:szCs w:val="18"/>
              </w:rPr>
              <w:t>-</w:t>
            </w:r>
          </w:p>
        </w:tc>
        <w:tc>
          <w:tcPr>
            <w:tcW w:w="319" w:type="pct"/>
            <w:tcBorders>
              <w:top w:val="single" w:sz="8" w:space="0" w:color="auto"/>
              <w:left w:val="nil"/>
              <w:bottom w:val="single" w:sz="8" w:space="0" w:color="auto"/>
              <w:right w:val="single" w:sz="4" w:space="0" w:color="auto"/>
            </w:tcBorders>
            <w:shd w:val="clear" w:color="auto" w:fill="auto"/>
            <w:noWrap/>
            <w:vAlign w:val="center"/>
            <w:hideMark/>
          </w:tcPr>
          <w:p w14:paraId="69E49764" w14:textId="42E703D7"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4%</w:t>
            </w:r>
          </w:p>
        </w:tc>
        <w:tc>
          <w:tcPr>
            <w:tcW w:w="319" w:type="pct"/>
            <w:tcBorders>
              <w:top w:val="single" w:sz="8" w:space="0" w:color="auto"/>
              <w:left w:val="nil"/>
              <w:bottom w:val="single" w:sz="8" w:space="0" w:color="auto"/>
              <w:right w:val="single" w:sz="4" w:space="0" w:color="auto"/>
            </w:tcBorders>
            <w:shd w:val="clear" w:color="auto" w:fill="auto"/>
            <w:noWrap/>
            <w:vAlign w:val="center"/>
            <w:hideMark/>
          </w:tcPr>
          <w:p w14:paraId="0190C0C2" w14:textId="7B491C58"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4</w:t>
            </w:r>
          </w:p>
        </w:tc>
        <w:tc>
          <w:tcPr>
            <w:tcW w:w="319" w:type="pct"/>
            <w:tcBorders>
              <w:top w:val="single" w:sz="8" w:space="0" w:color="auto"/>
              <w:left w:val="nil"/>
              <w:bottom w:val="single" w:sz="8" w:space="0" w:color="auto"/>
              <w:right w:val="single" w:sz="4" w:space="0" w:color="auto"/>
            </w:tcBorders>
            <w:shd w:val="clear" w:color="auto" w:fill="auto"/>
            <w:noWrap/>
            <w:vAlign w:val="center"/>
            <w:hideMark/>
          </w:tcPr>
          <w:p w14:paraId="293F7565" w14:textId="6F043836"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3</w:t>
            </w:r>
          </w:p>
        </w:tc>
        <w:tc>
          <w:tcPr>
            <w:tcW w:w="319" w:type="pct"/>
            <w:tcBorders>
              <w:top w:val="single" w:sz="8" w:space="0" w:color="auto"/>
              <w:left w:val="nil"/>
              <w:bottom w:val="single" w:sz="8" w:space="0" w:color="auto"/>
              <w:right w:val="single" w:sz="4" w:space="0" w:color="auto"/>
            </w:tcBorders>
            <w:shd w:val="clear" w:color="auto" w:fill="auto"/>
            <w:noWrap/>
            <w:vAlign w:val="center"/>
            <w:hideMark/>
          </w:tcPr>
          <w:p w14:paraId="02876FE6" w14:textId="5173F908"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36</w:t>
            </w:r>
          </w:p>
        </w:tc>
        <w:tc>
          <w:tcPr>
            <w:tcW w:w="319" w:type="pct"/>
            <w:tcBorders>
              <w:top w:val="single" w:sz="8" w:space="0" w:color="auto"/>
              <w:left w:val="nil"/>
              <w:bottom w:val="single" w:sz="8" w:space="0" w:color="auto"/>
              <w:right w:val="nil"/>
            </w:tcBorders>
            <w:shd w:val="clear" w:color="auto" w:fill="auto"/>
            <w:noWrap/>
            <w:vAlign w:val="center"/>
            <w:hideMark/>
          </w:tcPr>
          <w:p w14:paraId="20DC7F1E" w14:textId="7D6F8481"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43</w:t>
            </w:r>
          </w:p>
        </w:tc>
        <w:tc>
          <w:tcPr>
            <w:tcW w:w="319" w:type="pct"/>
            <w:tcBorders>
              <w:top w:val="single" w:sz="8" w:space="0" w:color="auto"/>
              <w:left w:val="single" w:sz="4" w:space="0" w:color="auto"/>
              <w:bottom w:val="single" w:sz="8" w:space="0" w:color="auto"/>
              <w:right w:val="single" w:sz="4" w:space="0" w:color="auto"/>
            </w:tcBorders>
            <w:shd w:val="clear" w:color="auto" w:fill="auto"/>
            <w:vAlign w:val="center"/>
          </w:tcPr>
          <w:p w14:paraId="460578B5" w14:textId="68FFD73A" w:rsidR="001B03B1" w:rsidRPr="00F52AB1" w:rsidRDefault="00F52AB1" w:rsidP="00F52AB1">
            <w:pPr>
              <w:pStyle w:val="Tabletexte"/>
              <w:spacing w:line="240" w:lineRule="exact"/>
              <w:jc w:val="center"/>
              <w:rPr>
                <w:b/>
                <w:bCs/>
                <w:color w:val="000000"/>
                <w:sz w:val="18"/>
                <w:szCs w:val="18"/>
              </w:rPr>
            </w:pPr>
            <w:r w:rsidRPr="00F52AB1">
              <w:rPr>
                <w:sz w:val="18"/>
                <w:szCs w:val="18"/>
              </w:rPr>
              <w:t>%</w:t>
            </w:r>
            <w:r w:rsidR="001B03B1" w:rsidRPr="00F52AB1">
              <w:rPr>
                <w:sz w:val="18"/>
                <w:szCs w:val="18"/>
              </w:rPr>
              <w:t>62</w:t>
            </w:r>
          </w:p>
        </w:tc>
        <w:tc>
          <w:tcPr>
            <w:tcW w:w="436" w:type="pct"/>
            <w:tcBorders>
              <w:top w:val="single" w:sz="8" w:space="0" w:color="auto"/>
              <w:left w:val="single" w:sz="4" w:space="0" w:color="auto"/>
              <w:bottom w:val="single" w:sz="8" w:space="0" w:color="auto"/>
              <w:right w:val="single" w:sz="4" w:space="0" w:color="auto"/>
            </w:tcBorders>
            <w:shd w:val="clear" w:color="auto" w:fill="auto"/>
            <w:vAlign w:val="center"/>
          </w:tcPr>
          <w:p w14:paraId="5AF47F92" w14:textId="3D46BCB7" w:rsidR="001B03B1" w:rsidRPr="00F52AB1" w:rsidRDefault="00F52AB1" w:rsidP="00F52AB1">
            <w:pPr>
              <w:pStyle w:val="Tabletexte"/>
              <w:spacing w:line="240" w:lineRule="exact"/>
              <w:jc w:val="center"/>
              <w:rPr>
                <w:b/>
                <w:bCs/>
                <w:color w:val="000000"/>
                <w:sz w:val="18"/>
                <w:szCs w:val="18"/>
              </w:rPr>
            </w:pPr>
            <w:r w:rsidRPr="00F52AB1">
              <w:rPr>
                <w:sz w:val="18"/>
                <w:szCs w:val="18"/>
              </w:rPr>
              <w:t>%</w:t>
            </w:r>
            <w:r w:rsidR="001B03B1" w:rsidRPr="00F52AB1">
              <w:rPr>
                <w:sz w:val="18"/>
                <w:szCs w:val="18"/>
              </w:rPr>
              <w:t>60</w:t>
            </w:r>
          </w:p>
        </w:tc>
        <w:tc>
          <w:tcPr>
            <w:tcW w:w="408" w:type="pct"/>
            <w:tcBorders>
              <w:top w:val="single" w:sz="8" w:space="0" w:color="auto"/>
              <w:left w:val="single" w:sz="4" w:space="0" w:color="auto"/>
              <w:bottom w:val="single" w:sz="8" w:space="0" w:color="auto"/>
              <w:right w:val="single" w:sz="8" w:space="0" w:color="auto"/>
            </w:tcBorders>
            <w:shd w:val="clear" w:color="000000" w:fill="AEAAAA"/>
            <w:noWrap/>
            <w:vAlign w:val="center"/>
            <w:hideMark/>
          </w:tcPr>
          <w:p w14:paraId="70CEF507" w14:textId="7B36BCC8" w:rsidR="001B03B1" w:rsidRPr="00F52AB1" w:rsidRDefault="00F52AB1" w:rsidP="00F52AB1">
            <w:pPr>
              <w:pStyle w:val="Tabletexte"/>
              <w:spacing w:line="240" w:lineRule="exact"/>
              <w:jc w:val="center"/>
              <w:rPr>
                <w:b/>
                <w:bCs/>
                <w:sz w:val="18"/>
                <w:szCs w:val="18"/>
              </w:rPr>
            </w:pPr>
            <w:r w:rsidRPr="00F52AB1">
              <w:rPr>
                <w:sz w:val="18"/>
                <w:szCs w:val="18"/>
              </w:rPr>
              <w:t>%</w:t>
            </w:r>
            <w:r w:rsidR="001B03B1" w:rsidRPr="00F52AB1">
              <w:rPr>
                <w:b/>
                <w:bCs/>
                <w:sz w:val="18"/>
                <w:szCs w:val="18"/>
              </w:rPr>
              <w:t>17</w:t>
            </w:r>
          </w:p>
        </w:tc>
      </w:tr>
      <w:tr w:rsidR="00F52AB1" w:rsidRPr="00F52AB1" w14:paraId="3A7DB401" w14:textId="77777777" w:rsidTr="00F010D2">
        <w:trPr>
          <w:trHeight w:val="315"/>
        </w:trPr>
        <w:tc>
          <w:tcPr>
            <w:tcW w:w="1540" w:type="pct"/>
            <w:tcBorders>
              <w:top w:val="nil"/>
              <w:left w:val="single" w:sz="8" w:space="0" w:color="auto"/>
              <w:bottom w:val="single" w:sz="8" w:space="0" w:color="auto"/>
              <w:right w:val="single" w:sz="4" w:space="0" w:color="auto"/>
            </w:tcBorders>
            <w:shd w:val="clear" w:color="auto" w:fill="auto"/>
            <w:noWrap/>
            <w:hideMark/>
          </w:tcPr>
          <w:p w14:paraId="2CECAFD3" w14:textId="5A66AD4A" w:rsidR="001B03B1" w:rsidRPr="00F52AB1" w:rsidRDefault="001B03B1" w:rsidP="00F52AB1">
            <w:pPr>
              <w:pStyle w:val="Tabletexte"/>
              <w:spacing w:line="240" w:lineRule="exact"/>
              <w:jc w:val="left"/>
              <w:rPr>
                <w:sz w:val="18"/>
                <w:szCs w:val="18"/>
              </w:rPr>
            </w:pPr>
            <w:r w:rsidRPr="00F52AB1">
              <w:rPr>
                <w:sz w:val="18"/>
                <w:szCs w:val="18"/>
                <w:rtl/>
              </w:rPr>
              <w:t>النسبة المئوية للتوصيات المتأخَر تنفيذها</w:t>
            </w:r>
          </w:p>
        </w:tc>
        <w:tc>
          <w:tcPr>
            <w:tcW w:w="382" w:type="pct"/>
            <w:tcBorders>
              <w:top w:val="nil"/>
              <w:left w:val="nil"/>
              <w:bottom w:val="single" w:sz="8" w:space="0" w:color="auto"/>
              <w:right w:val="single" w:sz="4" w:space="0" w:color="auto"/>
            </w:tcBorders>
            <w:shd w:val="clear" w:color="auto" w:fill="auto"/>
            <w:noWrap/>
            <w:vAlign w:val="center"/>
            <w:hideMark/>
          </w:tcPr>
          <w:p w14:paraId="0F220786" w14:textId="0B076656"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18</w:t>
            </w:r>
          </w:p>
        </w:tc>
        <w:tc>
          <w:tcPr>
            <w:tcW w:w="319" w:type="pct"/>
            <w:tcBorders>
              <w:top w:val="nil"/>
              <w:left w:val="nil"/>
              <w:bottom w:val="single" w:sz="8" w:space="0" w:color="auto"/>
              <w:right w:val="single" w:sz="4" w:space="0" w:color="auto"/>
            </w:tcBorders>
            <w:shd w:val="clear" w:color="auto" w:fill="auto"/>
            <w:noWrap/>
            <w:vAlign w:val="center"/>
            <w:hideMark/>
          </w:tcPr>
          <w:p w14:paraId="2787594D" w14:textId="77777777" w:rsidR="001B03B1" w:rsidRPr="00F52AB1" w:rsidRDefault="001B03B1" w:rsidP="00F52AB1">
            <w:pPr>
              <w:pStyle w:val="Tabletexte"/>
              <w:spacing w:line="240" w:lineRule="exact"/>
              <w:jc w:val="center"/>
              <w:rPr>
                <w:color w:val="000000"/>
                <w:sz w:val="18"/>
                <w:szCs w:val="18"/>
              </w:rPr>
            </w:pPr>
            <w:r w:rsidRPr="00F52AB1">
              <w:rPr>
                <w:sz w:val="18"/>
                <w:szCs w:val="18"/>
              </w:rPr>
              <w:t>-</w:t>
            </w:r>
          </w:p>
        </w:tc>
        <w:tc>
          <w:tcPr>
            <w:tcW w:w="319" w:type="pct"/>
            <w:tcBorders>
              <w:top w:val="nil"/>
              <w:left w:val="nil"/>
              <w:bottom w:val="single" w:sz="8" w:space="0" w:color="auto"/>
              <w:right w:val="single" w:sz="4" w:space="0" w:color="auto"/>
            </w:tcBorders>
            <w:shd w:val="clear" w:color="000000" w:fill="FFFFFF"/>
            <w:noWrap/>
            <w:vAlign w:val="center"/>
            <w:hideMark/>
          </w:tcPr>
          <w:p w14:paraId="0E79AC9A" w14:textId="7B4FED5C" w:rsidR="001B03B1" w:rsidRPr="00F52AB1" w:rsidRDefault="00F52AB1" w:rsidP="00F52AB1">
            <w:pPr>
              <w:pStyle w:val="Tabletexte"/>
              <w:spacing w:line="240" w:lineRule="exact"/>
              <w:jc w:val="center"/>
              <w:rPr>
                <w:sz w:val="18"/>
                <w:szCs w:val="18"/>
              </w:rPr>
            </w:pPr>
            <w:r w:rsidRPr="00F52AB1">
              <w:rPr>
                <w:sz w:val="18"/>
                <w:szCs w:val="18"/>
              </w:rPr>
              <w:t>%</w:t>
            </w:r>
            <w:r w:rsidR="001B03B1" w:rsidRPr="00F52AB1">
              <w:rPr>
                <w:sz w:val="18"/>
                <w:szCs w:val="18"/>
              </w:rPr>
              <w:t>0</w:t>
            </w:r>
          </w:p>
        </w:tc>
        <w:tc>
          <w:tcPr>
            <w:tcW w:w="319" w:type="pct"/>
            <w:tcBorders>
              <w:top w:val="nil"/>
              <w:left w:val="nil"/>
              <w:bottom w:val="single" w:sz="8" w:space="0" w:color="auto"/>
              <w:right w:val="single" w:sz="4" w:space="0" w:color="auto"/>
            </w:tcBorders>
            <w:shd w:val="clear" w:color="000000" w:fill="FFFFFF"/>
            <w:noWrap/>
            <w:vAlign w:val="center"/>
            <w:hideMark/>
          </w:tcPr>
          <w:p w14:paraId="6CDF4A50" w14:textId="0225A603" w:rsidR="001B03B1" w:rsidRPr="00F52AB1" w:rsidRDefault="00F52AB1" w:rsidP="00F52AB1">
            <w:pPr>
              <w:pStyle w:val="Tabletexte"/>
              <w:spacing w:line="240" w:lineRule="exact"/>
              <w:jc w:val="center"/>
              <w:rPr>
                <w:sz w:val="18"/>
                <w:szCs w:val="18"/>
              </w:rPr>
            </w:pPr>
            <w:r w:rsidRPr="00F52AB1">
              <w:rPr>
                <w:sz w:val="18"/>
                <w:szCs w:val="18"/>
              </w:rPr>
              <w:t>%</w:t>
            </w:r>
            <w:r w:rsidR="001B03B1" w:rsidRPr="00F52AB1">
              <w:rPr>
                <w:sz w:val="18"/>
                <w:szCs w:val="18"/>
              </w:rPr>
              <w:t>0</w:t>
            </w:r>
          </w:p>
        </w:tc>
        <w:tc>
          <w:tcPr>
            <w:tcW w:w="319" w:type="pct"/>
            <w:tcBorders>
              <w:top w:val="nil"/>
              <w:left w:val="nil"/>
              <w:bottom w:val="single" w:sz="8" w:space="0" w:color="auto"/>
              <w:right w:val="single" w:sz="4" w:space="0" w:color="auto"/>
            </w:tcBorders>
            <w:shd w:val="clear" w:color="auto" w:fill="auto"/>
            <w:noWrap/>
            <w:vAlign w:val="center"/>
            <w:hideMark/>
          </w:tcPr>
          <w:p w14:paraId="4D32CC02" w14:textId="1ECB8C5F"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0</w:t>
            </w:r>
          </w:p>
        </w:tc>
        <w:tc>
          <w:tcPr>
            <w:tcW w:w="319" w:type="pct"/>
            <w:tcBorders>
              <w:top w:val="nil"/>
              <w:left w:val="nil"/>
              <w:bottom w:val="single" w:sz="8" w:space="0" w:color="auto"/>
              <w:right w:val="single" w:sz="4" w:space="0" w:color="auto"/>
            </w:tcBorders>
            <w:shd w:val="clear" w:color="auto" w:fill="auto"/>
            <w:noWrap/>
            <w:vAlign w:val="center"/>
            <w:hideMark/>
          </w:tcPr>
          <w:p w14:paraId="30C946C3" w14:textId="6208AA5D"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0</w:t>
            </w:r>
          </w:p>
        </w:tc>
        <w:tc>
          <w:tcPr>
            <w:tcW w:w="319" w:type="pct"/>
            <w:tcBorders>
              <w:top w:val="nil"/>
              <w:left w:val="nil"/>
              <w:bottom w:val="single" w:sz="8" w:space="0" w:color="auto"/>
              <w:right w:val="nil"/>
            </w:tcBorders>
            <w:shd w:val="clear" w:color="auto" w:fill="auto"/>
            <w:noWrap/>
            <w:vAlign w:val="center"/>
            <w:hideMark/>
          </w:tcPr>
          <w:p w14:paraId="34AC7F1B" w14:textId="0FACB02F"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0</w:t>
            </w:r>
          </w:p>
        </w:tc>
        <w:tc>
          <w:tcPr>
            <w:tcW w:w="319" w:type="pct"/>
            <w:tcBorders>
              <w:top w:val="nil"/>
              <w:left w:val="single" w:sz="4" w:space="0" w:color="auto"/>
              <w:bottom w:val="single" w:sz="8" w:space="0" w:color="auto"/>
              <w:right w:val="single" w:sz="4" w:space="0" w:color="auto"/>
            </w:tcBorders>
            <w:shd w:val="clear" w:color="auto" w:fill="auto"/>
            <w:vAlign w:val="center"/>
          </w:tcPr>
          <w:p w14:paraId="58950799" w14:textId="65DC4AF8" w:rsidR="001B03B1" w:rsidRPr="00F52AB1" w:rsidRDefault="00F52AB1" w:rsidP="00F52AB1">
            <w:pPr>
              <w:pStyle w:val="Tabletexte"/>
              <w:spacing w:line="240" w:lineRule="exact"/>
              <w:jc w:val="center"/>
              <w:rPr>
                <w:b/>
                <w:bCs/>
                <w:color w:val="000000"/>
                <w:sz w:val="18"/>
                <w:szCs w:val="18"/>
              </w:rPr>
            </w:pPr>
            <w:r w:rsidRPr="00F52AB1">
              <w:rPr>
                <w:sz w:val="18"/>
                <w:szCs w:val="18"/>
              </w:rPr>
              <w:t>%</w:t>
            </w:r>
            <w:r w:rsidR="001B03B1" w:rsidRPr="00F52AB1">
              <w:rPr>
                <w:sz w:val="18"/>
                <w:szCs w:val="18"/>
              </w:rPr>
              <w:t>0</w:t>
            </w:r>
          </w:p>
        </w:tc>
        <w:tc>
          <w:tcPr>
            <w:tcW w:w="436" w:type="pct"/>
            <w:tcBorders>
              <w:top w:val="nil"/>
              <w:left w:val="single" w:sz="4" w:space="0" w:color="auto"/>
              <w:bottom w:val="single" w:sz="8" w:space="0" w:color="auto"/>
              <w:right w:val="single" w:sz="4" w:space="0" w:color="auto"/>
            </w:tcBorders>
            <w:shd w:val="clear" w:color="auto" w:fill="auto"/>
            <w:vAlign w:val="center"/>
          </w:tcPr>
          <w:p w14:paraId="68515BC9" w14:textId="0DCA3613" w:rsidR="001B03B1" w:rsidRPr="00F52AB1" w:rsidRDefault="00F52AB1" w:rsidP="00F52AB1">
            <w:pPr>
              <w:pStyle w:val="Tabletexte"/>
              <w:spacing w:line="240" w:lineRule="exact"/>
              <w:jc w:val="center"/>
              <w:rPr>
                <w:b/>
                <w:bCs/>
                <w:color w:val="000000"/>
                <w:sz w:val="18"/>
                <w:szCs w:val="18"/>
              </w:rPr>
            </w:pPr>
            <w:r w:rsidRPr="00F52AB1">
              <w:rPr>
                <w:sz w:val="18"/>
                <w:szCs w:val="18"/>
              </w:rPr>
              <w:t>%</w:t>
            </w:r>
            <w:r w:rsidR="001B03B1" w:rsidRPr="00F52AB1">
              <w:rPr>
                <w:sz w:val="18"/>
                <w:szCs w:val="18"/>
              </w:rPr>
              <w:t>0</w:t>
            </w:r>
          </w:p>
        </w:tc>
        <w:tc>
          <w:tcPr>
            <w:tcW w:w="408" w:type="pct"/>
            <w:tcBorders>
              <w:top w:val="nil"/>
              <w:left w:val="single" w:sz="4" w:space="0" w:color="auto"/>
              <w:bottom w:val="single" w:sz="8" w:space="0" w:color="auto"/>
              <w:right w:val="single" w:sz="8" w:space="0" w:color="auto"/>
            </w:tcBorders>
            <w:shd w:val="clear" w:color="000000" w:fill="AEAAAA"/>
            <w:noWrap/>
            <w:vAlign w:val="center"/>
            <w:hideMark/>
          </w:tcPr>
          <w:p w14:paraId="143B1ABE" w14:textId="4556DDFB" w:rsidR="001B03B1" w:rsidRPr="00F52AB1" w:rsidRDefault="00F52AB1" w:rsidP="00F52AB1">
            <w:pPr>
              <w:pStyle w:val="Tabletexte"/>
              <w:spacing w:line="240" w:lineRule="exact"/>
              <w:jc w:val="center"/>
              <w:rPr>
                <w:b/>
                <w:bCs/>
                <w:sz w:val="18"/>
                <w:szCs w:val="18"/>
              </w:rPr>
            </w:pPr>
            <w:r w:rsidRPr="00F52AB1">
              <w:rPr>
                <w:sz w:val="18"/>
                <w:szCs w:val="18"/>
              </w:rPr>
              <w:t>%</w:t>
            </w:r>
            <w:r w:rsidR="001B03B1" w:rsidRPr="00F52AB1">
              <w:rPr>
                <w:b/>
                <w:bCs/>
                <w:sz w:val="18"/>
                <w:szCs w:val="18"/>
              </w:rPr>
              <w:t>1</w:t>
            </w:r>
          </w:p>
        </w:tc>
      </w:tr>
      <w:tr w:rsidR="00F52AB1" w:rsidRPr="00F52AB1" w14:paraId="0AAE6D64" w14:textId="77777777" w:rsidTr="00F010D2">
        <w:trPr>
          <w:trHeight w:val="315"/>
        </w:trPr>
        <w:tc>
          <w:tcPr>
            <w:tcW w:w="1540" w:type="pct"/>
            <w:tcBorders>
              <w:top w:val="nil"/>
              <w:left w:val="single" w:sz="8" w:space="0" w:color="auto"/>
              <w:bottom w:val="single" w:sz="8" w:space="0" w:color="auto"/>
              <w:right w:val="single" w:sz="4" w:space="0" w:color="auto"/>
            </w:tcBorders>
            <w:shd w:val="clear" w:color="auto" w:fill="auto"/>
            <w:noWrap/>
            <w:hideMark/>
          </w:tcPr>
          <w:p w14:paraId="036F610F" w14:textId="77777777" w:rsidR="001B03B1" w:rsidRPr="00F52AB1" w:rsidRDefault="001B03B1" w:rsidP="00F52AB1">
            <w:pPr>
              <w:pStyle w:val="Tabletexte"/>
              <w:spacing w:line="240" w:lineRule="exact"/>
              <w:jc w:val="left"/>
              <w:rPr>
                <w:sz w:val="18"/>
                <w:szCs w:val="18"/>
              </w:rPr>
            </w:pPr>
            <w:r w:rsidRPr="00F52AB1">
              <w:rPr>
                <w:sz w:val="18"/>
                <w:szCs w:val="18"/>
                <w:rtl/>
              </w:rPr>
              <w:t>النسبة المئوية للتوصيات التي أُقفل ملفها</w:t>
            </w:r>
          </w:p>
        </w:tc>
        <w:tc>
          <w:tcPr>
            <w:tcW w:w="382" w:type="pct"/>
            <w:tcBorders>
              <w:top w:val="nil"/>
              <w:left w:val="nil"/>
              <w:bottom w:val="single" w:sz="8" w:space="0" w:color="auto"/>
              <w:right w:val="single" w:sz="4" w:space="0" w:color="auto"/>
            </w:tcBorders>
            <w:shd w:val="clear" w:color="auto" w:fill="auto"/>
            <w:noWrap/>
            <w:vAlign w:val="center"/>
            <w:hideMark/>
          </w:tcPr>
          <w:p w14:paraId="62EB35FE" w14:textId="77C104EE"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82</w:t>
            </w:r>
          </w:p>
        </w:tc>
        <w:tc>
          <w:tcPr>
            <w:tcW w:w="319" w:type="pct"/>
            <w:tcBorders>
              <w:top w:val="nil"/>
              <w:left w:val="nil"/>
              <w:bottom w:val="single" w:sz="8" w:space="0" w:color="auto"/>
              <w:right w:val="single" w:sz="4" w:space="0" w:color="auto"/>
            </w:tcBorders>
            <w:shd w:val="clear" w:color="auto" w:fill="auto"/>
            <w:noWrap/>
            <w:vAlign w:val="center"/>
            <w:hideMark/>
          </w:tcPr>
          <w:p w14:paraId="74833E4B" w14:textId="77777777" w:rsidR="001B03B1" w:rsidRPr="00F52AB1" w:rsidRDefault="001B03B1" w:rsidP="00F52AB1">
            <w:pPr>
              <w:pStyle w:val="Tabletexte"/>
              <w:spacing w:line="240" w:lineRule="exact"/>
              <w:jc w:val="center"/>
              <w:rPr>
                <w:sz w:val="18"/>
                <w:szCs w:val="18"/>
              </w:rPr>
            </w:pPr>
            <w:r w:rsidRPr="00F52AB1">
              <w:rPr>
                <w:sz w:val="18"/>
                <w:szCs w:val="18"/>
              </w:rPr>
              <w:t>-</w:t>
            </w:r>
          </w:p>
        </w:tc>
        <w:tc>
          <w:tcPr>
            <w:tcW w:w="319" w:type="pct"/>
            <w:tcBorders>
              <w:top w:val="nil"/>
              <w:left w:val="nil"/>
              <w:bottom w:val="single" w:sz="8" w:space="0" w:color="auto"/>
              <w:right w:val="single" w:sz="4" w:space="0" w:color="auto"/>
            </w:tcBorders>
            <w:shd w:val="clear" w:color="auto" w:fill="auto"/>
            <w:noWrap/>
            <w:vAlign w:val="center"/>
            <w:hideMark/>
          </w:tcPr>
          <w:p w14:paraId="69F9A819" w14:textId="14F9DFAB"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96</w:t>
            </w:r>
          </w:p>
        </w:tc>
        <w:tc>
          <w:tcPr>
            <w:tcW w:w="319" w:type="pct"/>
            <w:tcBorders>
              <w:top w:val="nil"/>
              <w:left w:val="nil"/>
              <w:bottom w:val="single" w:sz="8" w:space="0" w:color="auto"/>
              <w:right w:val="single" w:sz="4" w:space="0" w:color="auto"/>
            </w:tcBorders>
            <w:shd w:val="clear" w:color="auto" w:fill="auto"/>
            <w:noWrap/>
            <w:vAlign w:val="center"/>
            <w:hideMark/>
          </w:tcPr>
          <w:p w14:paraId="29B2B3CE" w14:textId="474497AB"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96</w:t>
            </w:r>
          </w:p>
        </w:tc>
        <w:tc>
          <w:tcPr>
            <w:tcW w:w="319" w:type="pct"/>
            <w:tcBorders>
              <w:top w:val="nil"/>
              <w:left w:val="nil"/>
              <w:bottom w:val="single" w:sz="8" w:space="0" w:color="auto"/>
              <w:right w:val="single" w:sz="4" w:space="0" w:color="auto"/>
            </w:tcBorders>
            <w:shd w:val="clear" w:color="auto" w:fill="auto"/>
            <w:noWrap/>
            <w:vAlign w:val="center"/>
            <w:hideMark/>
          </w:tcPr>
          <w:p w14:paraId="47A8AED1" w14:textId="5E6E3A61"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97</w:t>
            </w:r>
          </w:p>
        </w:tc>
        <w:tc>
          <w:tcPr>
            <w:tcW w:w="319" w:type="pct"/>
            <w:tcBorders>
              <w:top w:val="nil"/>
              <w:left w:val="nil"/>
              <w:bottom w:val="single" w:sz="8" w:space="0" w:color="auto"/>
              <w:right w:val="single" w:sz="4" w:space="0" w:color="auto"/>
            </w:tcBorders>
            <w:shd w:val="clear" w:color="auto" w:fill="auto"/>
            <w:noWrap/>
            <w:vAlign w:val="center"/>
            <w:hideMark/>
          </w:tcPr>
          <w:p w14:paraId="2D475E9F" w14:textId="23F9744C"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64</w:t>
            </w:r>
          </w:p>
        </w:tc>
        <w:tc>
          <w:tcPr>
            <w:tcW w:w="319" w:type="pct"/>
            <w:tcBorders>
              <w:top w:val="nil"/>
              <w:left w:val="nil"/>
              <w:bottom w:val="single" w:sz="8" w:space="0" w:color="auto"/>
              <w:right w:val="nil"/>
            </w:tcBorders>
            <w:shd w:val="clear" w:color="auto" w:fill="auto"/>
            <w:noWrap/>
            <w:vAlign w:val="center"/>
            <w:hideMark/>
          </w:tcPr>
          <w:p w14:paraId="2605B34F" w14:textId="7BC04C20" w:rsidR="001B03B1" w:rsidRPr="00F52AB1" w:rsidRDefault="00F52AB1" w:rsidP="00F52AB1">
            <w:pPr>
              <w:pStyle w:val="Tabletexte"/>
              <w:spacing w:line="240" w:lineRule="exact"/>
              <w:jc w:val="center"/>
              <w:rPr>
                <w:color w:val="000000"/>
                <w:sz w:val="18"/>
                <w:szCs w:val="18"/>
              </w:rPr>
            </w:pPr>
            <w:r w:rsidRPr="00F52AB1">
              <w:rPr>
                <w:sz w:val="18"/>
                <w:szCs w:val="18"/>
              </w:rPr>
              <w:t>%</w:t>
            </w:r>
            <w:r w:rsidR="001B03B1" w:rsidRPr="00F52AB1">
              <w:rPr>
                <w:sz w:val="18"/>
                <w:szCs w:val="18"/>
              </w:rPr>
              <w:t>57</w:t>
            </w:r>
          </w:p>
        </w:tc>
        <w:tc>
          <w:tcPr>
            <w:tcW w:w="319" w:type="pct"/>
            <w:tcBorders>
              <w:top w:val="nil"/>
              <w:left w:val="single" w:sz="4" w:space="0" w:color="auto"/>
              <w:bottom w:val="single" w:sz="8" w:space="0" w:color="auto"/>
              <w:right w:val="single" w:sz="4" w:space="0" w:color="auto"/>
            </w:tcBorders>
            <w:shd w:val="clear" w:color="auto" w:fill="auto"/>
            <w:vAlign w:val="center"/>
          </w:tcPr>
          <w:p w14:paraId="43BCA45B" w14:textId="4076392C" w:rsidR="001B03B1" w:rsidRPr="00F52AB1" w:rsidRDefault="00F52AB1" w:rsidP="00F52AB1">
            <w:pPr>
              <w:pStyle w:val="Tabletexte"/>
              <w:spacing w:line="240" w:lineRule="exact"/>
              <w:jc w:val="center"/>
              <w:rPr>
                <w:b/>
                <w:bCs/>
                <w:color w:val="000000"/>
                <w:sz w:val="18"/>
                <w:szCs w:val="18"/>
              </w:rPr>
            </w:pPr>
            <w:r w:rsidRPr="00F52AB1">
              <w:rPr>
                <w:sz w:val="18"/>
                <w:szCs w:val="18"/>
              </w:rPr>
              <w:t>%</w:t>
            </w:r>
            <w:r w:rsidR="001B03B1" w:rsidRPr="00F52AB1">
              <w:rPr>
                <w:sz w:val="18"/>
                <w:szCs w:val="18"/>
              </w:rPr>
              <w:t>38</w:t>
            </w:r>
          </w:p>
        </w:tc>
        <w:tc>
          <w:tcPr>
            <w:tcW w:w="436" w:type="pct"/>
            <w:tcBorders>
              <w:top w:val="nil"/>
              <w:left w:val="single" w:sz="4" w:space="0" w:color="auto"/>
              <w:bottom w:val="single" w:sz="8" w:space="0" w:color="auto"/>
              <w:right w:val="single" w:sz="4" w:space="0" w:color="auto"/>
            </w:tcBorders>
            <w:shd w:val="clear" w:color="auto" w:fill="auto"/>
            <w:vAlign w:val="center"/>
          </w:tcPr>
          <w:p w14:paraId="36FA1BEA" w14:textId="27596F55" w:rsidR="001B03B1" w:rsidRPr="00F52AB1" w:rsidRDefault="00F52AB1" w:rsidP="00F52AB1">
            <w:pPr>
              <w:pStyle w:val="Tabletexte"/>
              <w:spacing w:line="240" w:lineRule="exact"/>
              <w:jc w:val="center"/>
              <w:rPr>
                <w:b/>
                <w:bCs/>
                <w:color w:val="000000"/>
                <w:sz w:val="18"/>
                <w:szCs w:val="18"/>
              </w:rPr>
            </w:pPr>
            <w:r w:rsidRPr="00F52AB1">
              <w:rPr>
                <w:sz w:val="18"/>
                <w:szCs w:val="18"/>
              </w:rPr>
              <w:t>%</w:t>
            </w:r>
            <w:r w:rsidR="001B03B1" w:rsidRPr="00F52AB1">
              <w:rPr>
                <w:sz w:val="18"/>
                <w:szCs w:val="18"/>
              </w:rPr>
              <w:t>40</w:t>
            </w:r>
          </w:p>
        </w:tc>
        <w:tc>
          <w:tcPr>
            <w:tcW w:w="408" w:type="pct"/>
            <w:tcBorders>
              <w:top w:val="nil"/>
              <w:left w:val="single" w:sz="4" w:space="0" w:color="auto"/>
              <w:bottom w:val="single" w:sz="8" w:space="0" w:color="auto"/>
              <w:right w:val="single" w:sz="8" w:space="0" w:color="auto"/>
            </w:tcBorders>
            <w:shd w:val="clear" w:color="000000" w:fill="AEAAAA"/>
            <w:noWrap/>
            <w:vAlign w:val="center"/>
            <w:hideMark/>
          </w:tcPr>
          <w:p w14:paraId="340DA637" w14:textId="71356328" w:rsidR="001B03B1" w:rsidRPr="00F52AB1" w:rsidRDefault="00F52AB1" w:rsidP="00F52AB1">
            <w:pPr>
              <w:pStyle w:val="Tabletexte"/>
              <w:spacing w:line="240" w:lineRule="exact"/>
              <w:jc w:val="center"/>
              <w:rPr>
                <w:b/>
                <w:bCs/>
                <w:sz w:val="18"/>
                <w:szCs w:val="18"/>
              </w:rPr>
            </w:pPr>
            <w:r w:rsidRPr="00F52AB1">
              <w:rPr>
                <w:sz w:val="18"/>
                <w:szCs w:val="18"/>
              </w:rPr>
              <w:t>%</w:t>
            </w:r>
            <w:r w:rsidR="001B03B1" w:rsidRPr="00F52AB1">
              <w:rPr>
                <w:b/>
                <w:bCs/>
                <w:sz w:val="18"/>
                <w:szCs w:val="18"/>
              </w:rPr>
              <w:t>82</w:t>
            </w:r>
          </w:p>
        </w:tc>
      </w:tr>
      <w:tr w:rsidR="00F52AB1" w:rsidRPr="00F52AB1" w14:paraId="46AE1CDA" w14:textId="77777777" w:rsidTr="00F010D2">
        <w:trPr>
          <w:trHeight w:val="315"/>
        </w:trPr>
        <w:tc>
          <w:tcPr>
            <w:tcW w:w="1540" w:type="pct"/>
            <w:tcBorders>
              <w:top w:val="single" w:sz="8" w:space="0" w:color="auto"/>
            </w:tcBorders>
            <w:shd w:val="clear" w:color="auto" w:fill="auto"/>
            <w:noWrap/>
          </w:tcPr>
          <w:p w14:paraId="60A74DE6" w14:textId="77777777" w:rsidR="001B03B1" w:rsidRPr="00F52AB1" w:rsidRDefault="001B03B1" w:rsidP="00F52AB1">
            <w:pPr>
              <w:pStyle w:val="Tabletexte"/>
              <w:spacing w:line="240" w:lineRule="exact"/>
              <w:rPr>
                <w:sz w:val="18"/>
                <w:szCs w:val="18"/>
                <w:rtl/>
              </w:rPr>
            </w:pPr>
            <w:r w:rsidRPr="00F52AB1">
              <w:rPr>
                <w:sz w:val="18"/>
                <w:szCs w:val="18"/>
                <w:lang w:bidi="ar-EG"/>
              </w:rPr>
              <w:t>(*)</w:t>
            </w:r>
            <w:r w:rsidRPr="00F52AB1">
              <w:rPr>
                <w:rFonts w:hint="cs"/>
                <w:sz w:val="18"/>
                <w:szCs w:val="18"/>
                <w:rtl/>
                <w:lang w:bidi="ar-EG"/>
              </w:rPr>
              <w:t xml:space="preserve"> حتى الآن</w:t>
            </w:r>
          </w:p>
        </w:tc>
        <w:tc>
          <w:tcPr>
            <w:tcW w:w="382" w:type="pct"/>
            <w:tcBorders>
              <w:top w:val="single" w:sz="8" w:space="0" w:color="auto"/>
            </w:tcBorders>
            <w:shd w:val="clear" w:color="auto" w:fill="auto"/>
            <w:noWrap/>
            <w:vAlign w:val="bottom"/>
          </w:tcPr>
          <w:p w14:paraId="0D644FB8" w14:textId="77777777" w:rsidR="001B03B1" w:rsidRPr="00F52AB1" w:rsidRDefault="001B03B1" w:rsidP="00F52AB1">
            <w:pPr>
              <w:snapToGrid w:val="0"/>
              <w:spacing w:before="60" w:after="60" w:line="240" w:lineRule="exact"/>
              <w:jc w:val="center"/>
              <w:rPr>
                <w:color w:val="000000"/>
                <w:sz w:val="18"/>
                <w:szCs w:val="18"/>
              </w:rPr>
            </w:pPr>
          </w:p>
        </w:tc>
        <w:tc>
          <w:tcPr>
            <w:tcW w:w="319" w:type="pct"/>
            <w:tcBorders>
              <w:top w:val="single" w:sz="8" w:space="0" w:color="auto"/>
            </w:tcBorders>
            <w:shd w:val="clear" w:color="auto" w:fill="auto"/>
            <w:noWrap/>
            <w:vAlign w:val="bottom"/>
          </w:tcPr>
          <w:p w14:paraId="5C52ED2E" w14:textId="77777777" w:rsidR="001B03B1" w:rsidRPr="00F52AB1" w:rsidRDefault="001B03B1" w:rsidP="00F52AB1">
            <w:pPr>
              <w:spacing w:before="60" w:after="60" w:line="240" w:lineRule="exact"/>
              <w:jc w:val="center"/>
              <w:rPr>
                <w:color w:val="000000"/>
                <w:sz w:val="18"/>
                <w:szCs w:val="18"/>
                <w:rtl/>
              </w:rPr>
            </w:pPr>
          </w:p>
        </w:tc>
        <w:tc>
          <w:tcPr>
            <w:tcW w:w="319" w:type="pct"/>
            <w:tcBorders>
              <w:top w:val="single" w:sz="8" w:space="0" w:color="auto"/>
            </w:tcBorders>
            <w:shd w:val="clear" w:color="auto" w:fill="auto"/>
            <w:noWrap/>
            <w:vAlign w:val="bottom"/>
          </w:tcPr>
          <w:p w14:paraId="7461E569" w14:textId="77777777" w:rsidR="001B03B1" w:rsidRPr="00F52AB1" w:rsidRDefault="001B03B1" w:rsidP="00F52AB1">
            <w:pPr>
              <w:spacing w:before="60" w:after="60" w:line="240" w:lineRule="exact"/>
              <w:jc w:val="center"/>
              <w:rPr>
                <w:color w:val="000000"/>
                <w:sz w:val="18"/>
                <w:szCs w:val="18"/>
              </w:rPr>
            </w:pPr>
          </w:p>
        </w:tc>
        <w:tc>
          <w:tcPr>
            <w:tcW w:w="319" w:type="pct"/>
            <w:tcBorders>
              <w:top w:val="single" w:sz="8" w:space="0" w:color="auto"/>
            </w:tcBorders>
            <w:shd w:val="clear" w:color="auto" w:fill="auto"/>
            <w:noWrap/>
            <w:vAlign w:val="bottom"/>
          </w:tcPr>
          <w:p w14:paraId="6AAAD5F8" w14:textId="77777777" w:rsidR="001B03B1" w:rsidRPr="00F52AB1" w:rsidRDefault="001B03B1" w:rsidP="00F52AB1">
            <w:pPr>
              <w:snapToGrid w:val="0"/>
              <w:spacing w:before="60" w:after="60" w:line="240" w:lineRule="exact"/>
              <w:jc w:val="center"/>
              <w:rPr>
                <w:color w:val="000000"/>
                <w:sz w:val="18"/>
                <w:szCs w:val="18"/>
              </w:rPr>
            </w:pPr>
          </w:p>
        </w:tc>
        <w:tc>
          <w:tcPr>
            <w:tcW w:w="319" w:type="pct"/>
            <w:tcBorders>
              <w:top w:val="single" w:sz="8" w:space="0" w:color="auto"/>
            </w:tcBorders>
            <w:shd w:val="clear" w:color="auto" w:fill="auto"/>
            <w:noWrap/>
            <w:vAlign w:val="bottom"/>
          </w:tcPr>
          <w:p w14:paraId="36DF696E" w14:textId="77777777" w:rsidR="001B03B1" w:rsidRPr="00F52AB1" w:rsidRDefault="001B03B1" w:rsidP="00F52AB1">
            <w:pPr>
              <w:snapToGrid w:val="0"/>
              <w:spacing w:before="60" w:after="60" w:line="240" w:lineRule="exact"/>
              <w:jc w:val="center"/>
              <w:rPr>
                <w:color w:val="000000"/>
                <w:sz w:val="18"/>
                <w:szCs w:val="18"/>
              </w:rPr>
            </w:pPr>
          </w:p>
        </w:tc>
        <w:tc>
          <w:tcPr>
            <w:tcW w:w="319" w:type="pct"/>
            <w:tcBorders>
              <w:top w:val="single" w:sz="8" w:space="0" w:color="auto"/>
            </w:tcBorders>
            <w:shd w:val="clear" w:color="auto" w:fill="auto"/>
            <w:noWrap/>
            <w:vAlign w:val="bottom"/>
          </w:tcPr>
          <w:p w14:paraId="33DC6EBD" w14:textId="77777777" w:rsidR="001B03B1" w:rsidRPr="00F52AB1" w:rsidRDefault="001B03B1" w:rsidP="00F52AB1">
            <w:pPr>
              <w:spacing w:before="60" w:after="60" w:line="240" w:lineRule="exact"/>
              <w:jc w:val="center"/>
              <w:rPr>
                <w:color w:val="000000"/>
                <w:sz w:val="18"/>
                <w:szCs w:val="18"/>
              </w:rPr>
            </w:pPr>
          </w:p>
        </w:tc>
        <w:tc>
          <w:tcPr>
            <w:tcW w:w="319" w:type="pct"/>
            <w:tcBorders>
              <w:top w:val="single" w:sz="8" w:space="0" w:color="auto"/>
            </w:tcBorders>
            <w:shd w:val="clear" w:color="auto" w:fill="auto"/>
            <w:noWrap/>
            <w:vAlign w:val="bottom"/>
          </w:tcPr>
          <w:p w14:paraId="2A9110F8" w14:textId="77777777" w:rsidR="001B03B1" w:rsidRPr="00F52AB1" w:rsidRDefault="001B03B1" w:rsidP="00F52AB1">
            <w:pPr>
              <w:spacing w:before="60" w:after="60" w:line="240" w:lineRule="exact"/>
              <w:jc w:val="center"/>
              <w:rPr>
                <w:color w:val="000000"/>
                <w:sz w:val="18"/>
                <w:szCs w:val="18"/>
              </w:rPr>
            </w:pPr>
          </w:p>
        </w:tc>
        <w:tc>
          <w:tcPr>
            <w:tcW w:w="319" w:type="pct"/>
            <w:tcBorders>
              <w:top w:val="single" w:sz="8" w:space="0" w:color="auto"/>
            </w:tcBorders>
            <w:shd w:val="clear" w:color="auto" w:fill="auto"/>
          </w:tcPr>
          <w:p w14:paraId="1A44B870" w14:textId="77777777" w:rsidR="001B03B1" w:rsidRPr="00F52AB1" w:rsidRDefault="001B03B1" w:rsidP="00F52AB1">
            <w:pPr>
              <w:spacing w:before="60" w:after="60" w:line="240" w:lineRule="exact"/>
              <w:jc w:val="center"/>
              <w:rPr>
                <w:color w:val="000000"/>
                <w:sz w:val="18"/>
                <w:szCs w:val="18"/>
              </w:rPr>
            </w:pPr>
          </w:p>
        </w:tc>
        <w:tc>
          <w:tcPr>
            <w:tcW w:w="436" w:type="pct"/>
            <w:tcBorders>
              <w:top w:val="single" w:sz="8" w:space="0" w:color="auto"/>
            </w:tcBorders>
            <w:shd w:val="clear" w:color="auto" w:fill="auto"/>
          </w:tcPr>
          <w:p w14:paraId="596458F5" w14:textId="77777777" w:rsidR="001B03B1" w:rsidRPr="00F52AB1" w:rsidRDefault="001B03B1" w:rsidP="00F52AB1">
            <w:pPr>
              <w:spacing w:before="60" w:after="60" w:line="240" w:lineRule="exact"/>
              <w:jc w:val="center"/>
              <w:rPr>
                <w:color w:val="000000"/>
                <w:sz w:val="18"/>
                <w:szCs w:val="18"/>
              </w:rPr>
            </w:pPr>
          </w:p>
        </w:tc>
        <w:tc>
          <w:tcPr>
            <w:tcW w:w="408" w:type="pct"/>
            <w:tcBorders>
              <w:top w:val="single" w:sz="8" w:space="0" w:color="auto"/>
            </w:tcBorders>
            <w:shd w:val="clear" w:color="auto" w:fill="auto"/>
            <w:noWrap/>
            <w:vAlign w:val="bottom"/>
          </w:tcPr>
          <w:p w14:paraId="79B598A6" w14:textId="77777777" w:rsidR="001B03B1" w:rsidRPr="00F52AB1" w:rsidRDefault="001B03B1" w:rsidP="00F52AB1">
            <w:pPr>
              <w:spacing w:before="60" w:after="60" w:line="240" w:lineRule="exact"/>
              <w:jc w:val="center"/>
              <w:rPr>
                <w:b/>
                <w:bCs/>
                <w:color w:val="000000"/>
                <w:sz w:val="18"/>
                <w:szCs w:val="18"/>
              </w:rPr>
            </w:pPr>
          </w:p>
        </w:tc>
      </w:tr>
    </w:tbl>
    <w:p w14:paraId="2095BD7A" w14:textId="77777777" w:rsidR="001B03B1" w:rsidRDefault="001B03B1" w:rsidP="00F52AB1">
      <w:pPr>
        <w:spacing w:before="240" w:after="120"/>
        <w:rPr>
          <w:rtl/>
        </w:rPr>
      </w:pPr>
      <w:r>
        <w:t>19</w:t>
      </w:r>
      <w:r w:rsidRPr="00D04AAA">
        <w:rPr>
          <w:rtl/>
        </w:rPr>
        <w:tab/>
      </w:r>
      <w:r>
        <w:rPr>
          <w:rFonts w:hint="cs"/>
          <w:rtl/>
        </w:rPr>
        <w:t>وفيما يلي لمحة عامة عن مدى أهمية التوصيات التي لا</w:t>
      </w:r>
      <w:r>
        <w:rPr>
          <w:rFonts w:hint="eastAsia"/>
          <w:rtl/>
          <w:lang w:bidi="ar-EG"/>
        </w:rPr>
        <w:t> </w:t>
      </w:r>
      <w:r>
        <w:rPr>
          <w:rFonts w:hint="cs"/>
          <w:rtl/>
        </w:rPr>
        <w:t>يزال تنفيذها جارياً</w:t>
      </w:r>
      <w:r w:rsidRPr="00655FD5">
        <w:rPr>
          <w:rFonts w:hint="cs"/>
          <w:rtl/>
        </w:rPr>
        <w:t>:</w:t>
      </w:r>
    </w:p>
    <w:p w14:paraId="2B92A27A" w14:textId="5B11946C" w:rsidR="001B03B1" w:rsidRDefault="00705C84" w:rsidP="00F52AB1">
      <w:pPr>
        <w:spacing w:before="100" w:beforeAutospacing="1" w:after="100" w:afterAutospacing="1" w:line="240" w:lineRule="auto"/>
        <w:jc w:val="center"/>
      </w:pPr>
      <w:r>
        <w:rPr>
          <w:noProof/>
        </w:rPr>
        <mc:AlternateContent>
          <mc:Choice Requires="wpg">
            <w:drawing>
              <wp:anchor distT="0" distB="0" distL="114300" distR="114300" simplePos="0" relativeHeight="251659264" behindDoc="0" locked="0" layoutInCell="1" allowOverlap="1" wp14:anchorId="59839B61" wp14:editId="186463CB">
                <wp:simplePos x="0" y="0"/>
                <wp:positionH relativeFrom="column">
                  <wp:posOffset>1776925</wp:posOffset>
                </wp:positionH>
                <wp:positionV relativeFrom="paragraph">
                  <wp:posOffset>2083986</wp:posOffset>
                </wp:positionV>
                <wp:extent cx="3007519" cy="182074"/>
                <wp:effectExtent l="0" t="0" r="2540" b="27940"/>
                <wp:wrapNone/>
                <wp:docPr id="8" name="Group 8"/>
                <wp:cNvGraphicFramePr/>
                <a:graphic xmlns:a="http://schemas.openxmlformats.org/drawingml/2006/main">
                  <a:graphicData uri="http://schemas.microsoft.com/office/word/2010/wordprocessingGroup">
                    <wpg:wgp>
                      <wpg:cNvGrpSpPr/>
                      <wpg:grpSpPr>
                        <a:xfrm>
                          <a:off x="0" y="0"/>
                          <a:ext cx="3007519" cy="182074"/>
                          <a:chOff x="-344377" y="-396562"/>
                          <a:chExt cx="3007519" cy="182074"/>
                        </a:xfrm>
                      </wpg:grpSpPr>
                      <wps:wsp>
                        <wps:cNvPr id="1" name="Text Box 1"/>
                        <wps:cNvSpPr txBox="1"/>
                        <wps:spPr>
                          <a:xfrm>
                            <a:off x="-344377" y="-396562"/>
                            <a:ext cx="577781" cy="17108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E1F3CF" w14:textId="77777777" w:rsidR="001B03B1" w:rsidRPr="00CF0052" w:rsidRDefault="001B03B1" w:rsidP="00705C84">
                              <w:pPr>
                                <w:spacing w:before="0"/>
                                <w:jc w:val="center"/>
                                <w:rPr>
                                  <w:sz w:val="16"/>
                                  <w:szCs w:val="16"/>
                                </w:rPr>
                              </w:pPr>
                              <w:r w:rsidRPr="006F793D">
                                <w:rPr>
                                  <w:rFonts w:hint="cs"/>
                                  <w:spacing w:val="2"/>
                                  <w:sz w:val="16"/>
                                  <w:szCs w:val="16"/>
                                  <w:rtl/>
                                  <w:lang w:bidi="ar-EG"/>
                                </w:rPr>
                                <w:t>بالغة</w:t>
                              </w:r>
                              <w:r w:rsidRPr="00CF0052">
                                <w:rPr>
                                  <w:rFonts w:hint="cs"/>
                                  <w:spacing w:val="2"/>
                                  <w:sz w:val="16"/>
                                  <w:szCs w:val="16"/>
                                  <w:rtl/>
                                  <w:lang w:bidi="ar-EG"/>
                                </w:rPr>
                                <w:t xml:space="preserve"> الأهمية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486371" y="-380778"/>
                            <a:ext cx="510614" cy="15574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BC39BE0" w14:textId="77777777" w:rsidR="001B03B1" w:rsidRPr="00CF0052" w:rsidRDefault="001B03B1" w:rsidP="001B03B1">
                              <w:pPr>
                                <w:spacing w:before="0"/>
                                <w:jc w:val="center"/>
                                <w:rPr>
                                  <w:sz w:val="16"/>
                                  <w:szCs w:val="16"/>
                                </w:rPr>
                              </w:pPr>
                              <w:r>
                                <w:rPr>
                                  <w:rFonts w:hint="cs"/>
                                  <w:spacing w:val="2"/>
                                  <w:sz w:val="16"/>
                                  <w:szCs w:val="16"/>
                                  <w:rtl/>
                                  <w:lang w:bidi="ar-EG"/>
                                </w:rPr>
                                <w:t>كبيرة</w:t>
                              </w:r>
                              <w:r w:rsidRPr="00CF0052">
                                <w:rPr>
                                  <w:rFonts w:hint="cs"/>
                                  <w:spacing w:val="2"/>
                                  <w:sz w:val="16"/>
                                  <w:szCs w:val="16"/>
                                  <w:rtl/>
                                  <w:lang w:bidi="ar-EG"/>
                                </w:rPr>
                                <w:t xml:space="preserve"> الأهمية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1222703" y="-380174"/>
                            <a:ext cx="744041" cy="16568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4A79D67" w14:textId="77777777" w:rsidR="001B03B1" w:rsidRPr="00CF0052" w:rsidRDefault="001B03B1" w:rsidP="001B03B1">
                              <w:pPr>
                                <w:spacing w:before="0"/>
                                <w:jc w:val="center"/>
                                <w:rPr>
                                  <w:sz w:val="16"/>
                                  <w:szCs w:val="16"/>
                                </w:rPr>
                              </w:pPr>
                              <w:r w:rsidRPr="00CF0052">
                                <w:rPr>
                                  <w:rFonts w:hint="cs"/>
                                  <w:spacing w:val="2"/>
                                  <w:sz w:val="16"/>
                                  <w:szCs w:val="16"/>
                                  <w:rtl/>
                                  <w:lang w:bidi="ar-EG"/>
                                </w:rPr>
                                <w:t>متوسطة الأهمية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2106286" y="-380202"/>
                            <a:ext cx="556856" cy="155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318FF" w14:textId="77777777" w:rsidR="001B03B1" w:rsidRPr="00CF0052" w:rsidRDefault="001B03B1" w:rsidP="001B03B1">
                              <w:pPr>
                                <w:spacing w:before="0"/>
                                <w:jc w:val="center"/>
                                <w:rPr>
                                  <w:sz w:val="16"/>
                                  <w:szCs w:val="16"/>
                                </w:rPr>
                              </w:pPr>
                              <w:r>
                                <w:rPr>
                                  <w:rFonts w:hint="cs"/>
                                  <w:spacing w:val="2"/>
                                  <w:sz w:val="16"/>
                                  <w:szCs w:val="16"/>
                                  <w:rtl/>
                                  <w:lang w:bidi="ar-EG"/>
                                </w:rPr>
                                <w:t>قليلة</w:t>
                              </w:r>
                              <w:r w:rsidRPr="00CF0052">
                                <w:rPr>
                                  <w:rFonts w:hint="cs"/>
                                  <w:spacing w:val="2"/>
                                  <w:sz w:val="16"/>
                                  <w:szCs w:val="16"/>
                                  <w:rtl/>
                                  <w:lang w:bidi="ar-EG"/>
                                </w:rPr>
                                <w:t xml:space="preserve"> الأهمية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839B61" id="Group 8" o:spid="_x0000_s1026" style="position:absolute;left:0;text-align:left;margin-left:139.9pt;margin-top:164.1pt;width:236.8pt;height:14.35pt;z-index:251659264;mso-width-relative:margin;mso-height-relative:margin" coordorigin="-3443,-3965" coordsize="3007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">
                <v:shapetype id="_x0000_t202" coordsize="21600,21600" o:spt="202" path="m,l,21600r21600,l21600,xe">
                  <v:stroke joinstyle="miter"/>
                  <v:path gradientshapeok="t" o:connecttype="rect"/>
                </v:shapetype>
                <v:shape id="Text Box 1" o:spid="_x0000_s1027" type="#_x0000_t202" style="position:absolute;left:-3443;top:-3965;width:5777;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" fillcolor="white [3201]" strokecolor="white [3212]" strokeweight=".5pt">
                  <v:textbox inset="0,0,0,0">
                    <w:txbxContent>
                      <w:p w14:paraId="6AE1F3CF" w14:textId="77777777" w:rsidR="001B03B1" w:rsidRPr="00CF0052" w:rsidRDefault="001B03B1" w:rsidP="00705C84">
                        <w:pPr>
                          <w:spacing w:before="0"/>
                          <w:jc w:val="center"/>
                          <w:rPr>
                            <w:sz w:val="16"/>
                            <w:szCs w:val="16"/>
                          </w:rPr>
                        </w:pPr>
                        <w:r w:rsidRPr="006F793D">
                          <w:rPr>
                            <w:rFonts w:hint="cs"/>
                            <w:spacing w:val="2"/>
                            <w:sz w:val="16"/>
                            <w:szCs w:val="16"/>
                            <w:rtl/>
                            <w:lang w:bidi="ar-EG"/>
                          </w:rPr>
                          <w:t>بالغة</w:t>
                        </w:r>
                        <w:r w:rsidRPr="00CF0052">
                          <w:rPr>
                            <w:rFonts w:hint="cs"/>
                            <w:spacing w:val="2"/>
                            <w:sz w:val="16"/>
                            <w:szCs w:val="16"/>
                            <w:rtl/>
                            <w:lang w:bidi="ar-EG"/>
                          </w:rPr>
                          <w:t xml:space="preserve"> الأهمية</w:t>
                        </w:r>
                      </w:p>
                    </w:txbxContent>
                  </v:textbox>
                </v:shape>
                <v:shape id="Text Box 3" o:spid="_x0000_s1028" type="#_x0000_t202" style="position:absolute;left:4863;top:-3807;width:5106;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" fillcolor="white [3201]" strokecolor="white [3212]" strokeweight=".5pt">
                  <v:textbox inset="0,0,0,0">
                    <w:txbxContent>
                      <w:p w14:paraId="0BC39BE0" w14:textId="77777777" w:rsidR="001B03B1" w:rsidRPr="00CF0052" w:rsidRDefault="001B03B1" w:rsidP="001B03B1">
                        <w:pPr>
                          <w:spacing w:before="0"/>
                          <w:jc w:val="center"/>
                          <w:rPr>
                            <w:sz w:val="16"/>
                            <w:szCs w:val="16"/>
                          </w:rPr>
                        </w:pPr>
                        <w:r>
                          <w:rPr>
                            <w:rFonts w:hint="cs"/>
                            <w:spacing w:val="2"/>
                            <w:sz w:val="16"/>
                            <w:szCs w:val="16"/>
                            <w:rtl/>
                            <w:lang w:bidi="ar-EG"/>
                          </w:rPr>
                          <w:t>كبيرة</w:t>
                        </w:r>
                        <w:r w:rsidRPr="00CF0052">
                          <w:rPr>
                            <w:rFonts w:hint="cs"/>
                            <w:spacing w:val="2"/>
                            <w:sz w:val="16"/>
                            <w:szCs w:val="16"/>
                            <w:rtl/>
                            <w:lang w:bidi="ar-EG"/>
                          </w:rPr>
                          <w:t xml:space="preserve"> الأهمية</w:t>
                        </w:r>
                      </w:p>
                    </w:txbxContent>
                  </v:textbox>
                </v:shape>
                <v:shape id="Text Box 6" o:spid="_x0000_s1029" type="#_x0000_t202" style="position:absolute;left:12227;top:-3801;width:7440;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" fillcolor="white [3201]" strokecolor="white [3212]" strokeweight=".5pt">
                  <v:textbox inset="0,0,0,0">
                    <w:txbxContent>
                      <w:p w14:paraId="24A79D67" w14:textId="77777777" w:rsidR="001B03B1" w:rsidRPr="00CF0052" w:rsidRDefault="001B03B1" w:rsidP="001B03B1">
                        <w:pPr>
                          <w:spacing w:before="0"/>
                          <w:jc w:val="center"/>
                          <w:rPr>
                            <w:sz w:val="16"/>
                            <w:szCs w:val="16"/>
                          </w:rPr>
                        </w:pPr>
                        <w:r w:rsidRPr="00CF0052">
                          <w:rPr>
                            <w:rFonts w:hint="cs"/>
                            <w:spacing w:val="2"/>
                            <w:sz w:val="16"/>
                            <w:szCs w:val="16"/>
                            <w:rtl/>
                            <w:lang w:bidi="ar-EG"/>
                          </w:rPr>
                          <w:t>متوسطة الأهمية</w:t>
                        </w:r>
                      </w:p>
                    </w:txbxContent>
                  </v:textbox>
                </v:shape>
                <v:shape id="Text Box 7" o:spid="_x0000_s1030" type="#_x0000_t202" style="position:absolute;left:21062;top:-3802;width:5569;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" fillcolor="white [3201]" stroked="f" strokeweight=".5pt">
                  <v:textbox inset="0,0,0,0">
                    <w:txbxContent>
                      <w:p w14:paraId="4E8318FF" w14:textId="77777777" w:rsidR="001B03B1" w:rsidRPr="00CF0052" w:rsidRDefault="001B03B1" w:rsidP="001B03B1">
                        <w:pPr>
                          <w:spacing w:before="0"/>
                          <w:jc w:val="center"/>
                          <w:rPr>
                            <w:sz w:val="16"/>
                            <w:szCs w:val="16"/>
                          </w:rPr>
                        </w:pPr>
                        <w:r>
                          <w:rPr>
                            <w:rFonts w:hint="cs"/>
                            <w:spacing w:val="2"/>
                            <w:sz w:val="16"/>
                            <w:szCs w:val="16"/>
                            <w:rtl/>
                            <w:lang w:bidi="ar-EG"/>
                          </w:rPr>
                          <w:t>قليلة</w:t>
                        </w:r>
                        <w:r w:rsidRPr="00CF0052">
                          <w:rPr>
                            <w:rFonts w:hint="cs"/>
                            <w:spacing w:val="2"/>
                            <w:sz w:val="16"/>
                            <w:szCs w:val="16"/>
                            <w:rtl/>
                            <w:lang w:bidi="ar-EG"/>
                          </w:rPr>
                          <w:t xml:space="preserve"> الأهمية</w:t>
                        </w:r>
                      </w:p>
                    </w:txbxContent>
                  </v:textbox>
                </v:shape>
              </v:group>
            </w:pict>
          </mc:Fallback>
        </mc:AlternateContent>
      </w:r>
      <w:r w:rsidR="001B03B1">
        <w:rPr>
          <w:noProof/>
          <w:lang w:eastAsia="en-US"/>
        </w:rPr>
        <w:drawing>
          <wp:inline distT="0" distB="0" distL="0" distR="0" wp14:anchorId="1C0274BB" wp14:editId="2EB359CB">
            <wp:extent cx="5029200" cy="2222500"/>
            <wp:effectExtent l="0" t="0" r="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4FBA6F" w14:textId="004F2D4F" w:rsidR="001B03B1" w:rsidRPr="00451689" w:rsidRDefault="001B03B1" w:rsidP="00705C84">
      <w:pPr>
        <w:spacing w:before="240"/>
        <w:rPr>
          <w:spacing w:val="2"/>
          <w:rtl/>
          <w:lang w:bidi="ar-EG"/>
        </w:rPr>
      </w:pPr>
      <w:r>
        <w:rPr>
          <w:spacing w:val="2"/>
          <w:lang w:val="en-CA" w:bidi="ar-EG"/>
        </w:rPr>
        <w:t>20</w:t>
      </w:r>
      <w:r>
        <w:rPr>
          <w:spacing w:val="2"/>
          <w:lang w:val="en-CA" w:bidi="ar-EG"/>
        </w:rPr>
        <w:tab/>
      </w:r>
      <w:r>
        <w:rPr>
          <w:rFonts w:hint="cs"/>
          <w:spacing w:val="2"/>
          <w:rtl/>
          <w:lang w:val="en-CA" w:bidi="ar-EG"/>
        </w:rPr>
        <w:t>تنبثق التوصيات بالغة الأهمية لعام</w:t>
      </w:r>
      <w:r>
        <w:rPr>
          <w:rFonts w:hint="eastAsia"/>
          <w:spacing w:val="2"/>
          <w:rtl/>
          <w:lang w:val="en-CA" w:bidi="ar-EG"/>
        </w:rPr>
        <w:t> </w:t>
      </w:r>
      <w:r>
        <w:rPr>
          <w:spacing w:val="2"/>
          <w:lang w:bidi="ar-EG"/>
        </w:rPr>
        <w:t>2019</w:t>
      </w:r>
      <w:r>
        <w:rPr>
          <w:rFonts w:hint="cs"/>
          <w:spacing w:val="2"/>
          <w:rtl/>
          <w:lang w:bidi="ar-EG"/>
        </w:rPr>
        <w:t xml:space="preserve"> من الرسالة الإدارية الصادرة عن وحدة المراجعة الداخلية، عقب التحقيق في</w:t>
      </w:r>
      <w:r>
        <w:rPr>
          <w:rFonts w:hint="eastAsia"/>
          <w:spacing w:val="2"/>
          <w:rtl/>
          <w:lang w:bidi="ar-EG"/>
        </w:rPr>
        <w:t> </w:t>
      </w:r>
      <w:r>
        <w:rPr>
          <w:rFonts w:hint="cs"/>
          <w:spacing w:val="2"/>
          <w:rtl/>
          <w:lang w:bidi="ar-EG"/>
        </w:rPr>
        <w:t xml:space="preserve">حالة الاحتيال </w:t>
      </w:r>
      <w:r>
        <w:rPr>
          <w:rFonts w:hint="cs"/>
          <w:spacing w:val="2"/>
          <w:rtl/>
          <w:lang w:val="en-CA" w:bidi="ar-EG"/>
        </w:rPr>
        <w:t xml:space="preserve">(انظر الفقرة أعلاه بشأن </w:t>
      </w:r>
      <w:r w:rsidRPr="00D152EF">
        <w:rPr>
          <w:rFonts w:hint="cs"/>
          <w:i/>
          <w:iCs/>
          <w:spacing w:val="2"/>
          <w:rtl/>
          <w:lang w:val="en-CA" w:bidi="ar-EG"/>
        </w:rPr>
        <w:t>التحقيقات</w:t>
      </w:r>
      <w:r>
        <w:rPr>
          <w:rFonts w:hint="cs"/>
          <w:spacing w:val="2"/>
          <w:rtl/>
          <w:lang w:val="en-CA" w:bidi="ar-EG"/>
        </w:rPr>
        <w:t>). وتتعلّق أساساً بالحاجة إلى تعزيز الضوابط المتعلقة بالمشتريات وإجراءات الإشراف والمراقبة في المكاتب الإقليمية/مكاتب المناطق، فيما</w:t>
      </w:r>
      <w:r>
        <w:rPr>
          <w:rFonts w:hint="eastAsia"/>
          <w:spacing w:val="2"/>
          <w:rtl/>
          <w:lang w:val="en-CA" w:bidi="ar-EG"/>
        </w:rPr>
        <w:t> </w:t>
      </w:r>
      <w:r>
        <w:rPr>
          <w:rFonts w:hint="cs"/>
          <w:spacing w:val="2"/>
          <w:rtl/>
          <w:lang w:val="en-CA" w:bidi="ar-EG"/>
        </w:rPr>
        <w:t>يتعلق بتوظيف خبراء خارجيين (بموجب اتفاقات الخدمة الخاصة). وبالنسبة لعام</w:t>
      </w:r>
      <w:r>
        <w:rPr>
          <w:rFonts w:hint="eastAsia"/>
          <w:spacing w:val="2"/>
          <w:rtl/>
          <w:lang w:val="en-CA" w:bidi="ar-EG"/>
        </w:rPr>
        <w:t> </w:t>
      </w:r>
      <w:r>
        <w:rPr>
          <w:spacing w:val="2"/>
          <w:lang w:bidi="ar-EG"/>
        </w:rPr>
        <w:t>2018</w:t>
      </w:r>
      <w:r>
        <w:rPr>
          <w:rFonts w:hint="cs"/>
          <w:spacing w:val="2"/>
          <w:rtl/>
          <w:lang w:bidi="ar-EG"/>
        </w:rPr>
        <w:t>، تعلّقت التوصية بالغة الأهمية بالحاجة إلى إصدار كتيب للمشتريات (من شأنه تعزيز الضوابط في هذا المجال). وفيما</w:t>
      </w:r>
      <w:r>
        <w:rPr>
          <w:rFonts w:hint="eastAsia"/>
          <w:spacing w:val="2"/>
          <w:rtl/>
          <w:lang w:bidi="ar-EG"/>
        </w:rPr>
        <w:t> </w:t>
      </w:r>
      <w:r>
        <w:rPr>
          <w:rFonts w:hint="cs"/>
          <w:spacing w:val="2"/>
          <w:rtl/>
          <w:lang w:bidi="ar-EG"/>
        </w:rPr>
        <w:t>يتعلق بالتوصيات المقدمة سابقاً، فقد واظبت الإدارة على إبلاغ وحدة المراجعة الداخلية (و</w:t>
      </w:r>
      <w:r w:rsidRPr="00813B86">
        <w:rPr>
          <w:rtl/>
        </w:rPr>
        <w:t>الل</w:t>
      </w:r>
      <w:r>
        <w:rPr>
          <w:rtl/>
        </w:rPr>
        <w:t>جنة الاستشارية المستقلة للإدارة</w:t>
      </w:r>
      <w:r>
        <w:rPr>
          <w:rFonts w:hint="cs"/>
          <w:spacing w:val="2"/>
          <w:rtl/>
          <w:lang w:bidi="ar-EG"/>
        </w:rPr>
        <w:t>) بالتقدم المحرز بشأنها.</w:t>
      </w:r>
    </w:p>
    <w:p w14:paraId="3EB01D4D" w14:textId="77777777" w:rsidR="001B03B1" w:rsidRPr="00294638" w:rsidRDefault="001B03B1" w:rsidP="001B03B1">
      <w:pPr>
        <w:pStyle w:val="Heading1"/>
        <w:rPr>
          <w:rtl/>
        </w:rPr>
      </w:pPr>
      <w:r w:rsidRPr="00294638">
        <w:rPr>
          <w:rtl/>
        </w:rPr>
        <w:t>الجوانب المتصلة بمنهجية المراجعة</w:t>
      </w:r>
    </w:p>
    <w:p w14:paraId="0560D8CF" w14:textId="4C2CB86F" w:rsidR="001B03B1" w:rsidRPr="000F1B2B" w:rsidRDefault="001B03B1" w:rsidP="001B03B1">
      <w:pPr>
        <w:rPr>
          <w:lang w:val="fr-FR" w:bidi="ar-EG"/>
        </w:rPr>
      </w:pPr>
      <w:r>
        <w:t>21</w:t>
      </w:r>
      <w:r w:rsidRPr="00813B86">
        <w:rPr>
          <w:rtl/>
        </w:rPr>
        <w:tab/>
      </w:r>
      <w:r w:rsidRPr="000F1B2B">
        <w:rPr>
          <w:rFonts w:hint="cs"/>
          <w:rtl/>
          <w:lang w:bidi="ar"/>
        </w:rPr>
        <w:t xml:space="preserve">وفقًا لتكليف معهد المراجعين الداخليين، </w:t>
      </w:r>
      <w:r>
        <w:rPr>
          <w:rFonts w:hint="cs"/>
          <w:rtl/>
          <w:lang w:bidi="ar"/>
        </w:rPr>
        <w:t>ينبغي</w:t>
      </w:r>
      <w:r w:rsidRPr="000F1B2B">
        <w:rPr>
          <w:rFonts w:hint="cs"/>
          <w:rtl/>
          <w:lang w:bidi="ar"/>
        </w:rPr>
        <w:t xml:space="preserve"> إجراء تقييم </w:t>
      </w:r>
      <w:r>
        <w:rPr>
          <w:rFonts w:hint="cs"/>
          <w:rtl/>
          <w:lang w:bidi="ar"/>
        </w:rPr>
        <w:t>لل</w:t>
      </w:r>
      <w:r w:rsidRPr="000F1B2B">
        <w:rPr>
          <w:rFonts w:hint="cs"/>
          <w:rtl/>
          <w:lang w:bidi="ar"/>
        </w:rPr>
        <w:t xml:space="preserve">جودة مرة واحدة على الأقل كل </w:t>
      </w:r>
      <w:r>
        <w:rPr>
          <w:rFonts w:hint="cs"/>
          <w:rtl/>
          <w:lang w:bidi="ar"/>
        </w:rPr>
        <w:t>خمس</w:t>
      </w:r>
      <w:r w:rsidRPr="000F1B2B">
        <w:rPr>
          <w:rFonts w:hint="cs"/>
          <w:rtl/>
          <w:lang w:bidi="ar"/>
        </w:rPr>
        <w:t xml:space="preserve"> سنوات</w:t>
      </w:r>
      <w:r>
        <w:rPr>
          <w:rFonts w:hint="cs"/>
          <w:rtl/>
          <w:lang w:bidi="ar"/>
        </w:rPr>
        <w:t>.</w:t>
      </w:r>
      <w:r w:rsidRPr="000F1B2B">
        <w:rPr>
          <w:rFonts w:hint="cs"/>
          <w:rtl/>
          <w:lang w:bidi="ar"/>
        </w:rPr>
        <w:t xml:space="preserve"> و</w:t>
      </w:r>
      <w:r>
        <w:rPr>
          <w:rFonts w:hint="cs"/>
          <w:rtl/>
          <w:lang w:bidi="ar"/>
        </w:rPr>
        <w:t>عليه، أعلن</w:t>
      </w:r>
      <w:r w:rsidRPr="000F1B2B">
        <w:rPr>
          <w:rFonts w:hint="cs"/>
          <w:rtl/>
          <w:lang w:bidi="ar"/>
        </w:rPr>
        <w:t xml:space="preserve"> الاتحاد</w:t>
      </w:r>
      <w:r>
        <w:rPr>
          <w:rFonts w:hint="cs"/>
          <w:rtl/>
          <w:lang w:bidi="ar"/>
        </w:rPr>
        <w:t xml:space="preserve"> عن</w:t>
      </w:r>
      <w:r w:rsidRPr="000F1B2B">
        <w:rPr>
          <w:rFonts w:hint="cs"/>
          <w:rtl/>
          <w:lang w:bidi="ar"/>
        </w:rPr>
        <w:t xml:space="preserve"> إجراء </w:t>
      </w:r>
      <w:r>
        <w:rPr>
          <w:rFonts w:hint="cs"/>
          <w:rtl/>
          <w:lang w:bidi="ar"/>
        </w:rPr>
        <w:t>استعراض</w:t>
      </w:r>
      <w:r w:rsidRPr="000F1B2B">
        <w:rPr>
          <w:rFonts w:hint="cs"/>
          <w:rtl/>
          <w:lang w:bidi="ar"/>
        </w:rPr>
        <w:t xml:space="preserve"> </w:t>
      </w:r>
      <w:r>
        <w:rPr>
          <w:rFonts w:hint="cs"/>
          <w:rtl/>
          <w:lang w:bidi="ar"/>
        </w:rPr>
        <w:t>ل</w:t>
      </w:r>
      <w:r w:rsidRPr="000F1B2B">
        <w:rPr>
          <w:rFonts w:hint="cs"/>
          <w:rtl/>
          <w:lang w:bidi="ar"/>
        </w:rPr>
        <w:t>تقييم الجودة (</w:t>
      </w:r>
      <w:r w:rsidRPr="000F1B2B">
        <w:rPr>
          <w:rFonts w:hint="cs"/>
          <w:lang w:val="fr-FR" w:bidi="ar-EG"/>
        </w:rPr>
        <w:t>QAR</w:t>
      </w:r>
      <w:r w:rsidRPr="000F1B2B">
        <w:rPr>
          <w:rFonts w:hint="cs"/>
          <w:rtl/>
          <w:lang w:bidi="ar"/>
        </w:rPr>
        <w:t xml:space="preserve">) </w:t>
      </w:r>
      <w:r>
        <w:rPr>
          <w:rFonts w:hint="cs"/>
          <w:rtl/>
          <w:lang w:bidi="ar"/>
        </w:rPr>
        <w:t xml:space="preserve">على أن يجرى </w:t>
      </w:r>
      <w:r w:rsidRPr="000F1B2B">
        <w:rPr>
          <w:rFonts w:hint="cs"/>
          <w:rtl/>
          <w:lang w:bidi="ar"/>
        </w:rPr>
        <w:t xml:space="preserve">في فبراير 2020. </w:t>
      </w:r>
      <w:r>
        <w:rPr>
          <w:rFonts w:hint="cs"/>
          <w:rtl/>
          <w:lang w:bidi="ar"/>
        </w:rPr>
        <w:t>و</w:t>
      </w:r>
      <w:r w:rsidRPr="000F1B2B">
        <w:rPr>
          <w:rFonts w:hint="cs"/>
          <w:rtl/>
          <w:lang w:bidi="ar"/>
        </w:rPr>
        <w:t xml:space="preserve">بعد </w:t>
      </w:r>
      <w:r>
        <w:rPr>
          <w:rFonts w:hint="cs"/>
          <w:rtl/>
          <w:lang w:bidi="ar"/>
        </w:rPr>
        <w:t>عملية</w:t>
      </w:r>
      <w:r w:rsidRPr="000F1B2B">
        <w:rPr>
          <w:rFonts w:hint="cs"/>
          <w:rtl/>
          <w:lang w:bidi="ar"/>
        </w:rPr>
        <w:t xml:space="preserve"> </w:t>
      </w:r>
      <w:r>
        <w:rPr>
          <w:rFonts w:hint="cs"/>
          <w:rtl/>
          <w:lang w:bidi="ar"/>
        </w:rPr>
        <w:t>تقديم العروض</w:t>
      </w:r>
      <w:r w:rsidRPr="000F1B2B">
        <w:rPr>
          <w:rFonts w:hint="cs"/>
          <w:rtl/>
          <w:lang w:bidi="ar"/>
        </w:rPr>
        <w:t xml:space="preserve">، تعاقد الاتحاد مع رئيس سابق </w:t>
      </w:r>
      <w:r>
        <w:rPr>
          <w:rFonts w:hint="cs"/>
          <w:rtl/>
          <w:lang w:bidi="ar"/>
        </w:rPr>
        <w:t>للمعهد العالمي لل</w:t>
      </w:r>
      <w:r w:rsidRPr="000F1B2B">
        <w:rPr>
          <w:rFonts w:hint="cs"/>
          <w:rtl/>
          <w:lang w:bidi="ar"/>
        </w:rPr>
        <w:t xml:space="preserve">مراجعين الداخليين لإجراء هذا </w:t>
      </w:r>
      <w:r>
        <w:rPr>
          <w:rFonts w:hint="cs"/>
          <w:rtl/>
          <w:lang w:bidi="ar"/>
        </w:rPr>
        <w:t>الاستعراض</w:t>
      </w:r>
      <w:r w:rsidRPr="000F1B2B">
        <w:rPr>
          <w:rFonts w:hint="cs"/>
          <w:rtl/>
          <w:lang w:bidi="ar"/>
        </w:rPr>
        <w:t xml:space="preserve">. </w:t>
      </w:r>
      <w:r>
        <w:rPr>
          <w:rFonts w:hint="cs"/>
          <w:rtl/>
          <w:lang w:bidi="ar"/>
        </w:rPr>
        <w:t xml:space="preserve">وقد </w:t>
      </w:r>
      <w:r w:rsidRPr="000F1B2B">
        <w:rPr>
          <w:rFonts w:hint="cs"/>
          <w:rtl/>
          <w:lang w:bidi="ar"/>
        </w:rPr>
        <w:t>تمك</w:t>
      </w:r>
      <w:r>
        <w:rPr>
          <w:rFonts w:hint="cs"/>
          <w:rtl/>
          <w:lang w:bidi="ar"/>
        </w:rPr>
        <w:t>ّ</w:t>
      </w:r>
      <w:r w:rsidRPr="000F1B2B">
        <w:rPr>
          <w:rFonts w:hint="cs"/>
          <w:rtl/>
          <w:lang w:bidi="ar"/>
        </w:rPr>
        <w:t xml:space="preserve">ن </w:t>
      </w:r>
      <w:r>
        <w:rPr>
          <w:rFonts w:hint="cs"/>
          <w:rtl/>
          <w:lang w:bidi="ar"/>
        </w:rPr>
        <w:t>القائم بالتقييم</w:t>
      </w:r>
      <w:r w:rsidRPr="000F1B2B">
        <w:rPr>
          <w:rFonts w:hint="cs"/>
          <w:rtl/>
          <w:lang w:bidi="ar"/>
        </w:rPr>
        <w:t xml:space="preserve"> من </w:t>
      </w:r>
      <w:r>
        <w:rPr>
          <w:rFonts w:hint="cs"/>
          <w:rtl/>
          <w:lang w:bidi="ar"/>
        </w:rPr>
        <w:t>التحقق من</w:t>
      </w:r>
      <w:r w:rsidRPr="000F1B2B">
        <w:rPr>
          <w:rFonts w:hint="cs"/>
          <w:rtl/>
          <w:lang w:bidi="ar"/>
        </w:rPr>
        <w:t xml:space="preserve"> أن وظيفة المراجعة الداخلية في الاتحاد تتوافق بشكل عام مع المعايير ومدونة </w:t>
      </w:r>
      <w:r>
        <w:rPr>
          <w:rFonts w:hint="cs"/>
          <w:rtl/>
          <w:lang w:bidi="ar"/>
        </w:rPr>
        <w:t>الاخلاقيات</w:t>
      </w:r>
      <w:r w:rsidRPr="000F1B2B">
        <w:rPr>
          <w:rFonts w:hint="cs"/>
          <w:rtl/>
          <w:lang w:bidi="ar"/>
        </w:rPr>
        <w:t>.</w:t>
      </w:r>
    </w:p>
    <w:p w14:paraId="6F6A3BC3" w14:textId="77777777" w:rsidR="001B03B1" w:rsidRDefault="001B03B1" w:rsidP="001B03B1">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1B03B1"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3D36B" w14:textId="77777777" w:rsidR="00675343" w:rsidRDefault="00675343" w:rsidP="006C3242">
      <w:pPr>
        <w:spacing w:before="0" w:line="240" w:lineRule="auto"/>
      </w:pPr>
      <w:r>
        <w:separator/>
      </w:r>
    </w:p>
  </w:endnote>
  <w:endnote w:type="continuationSeparator" w:id="0">
    <w:p w14:paraId="6CD57D60" w14:textId="77777777" w:rsidR="00675343" w:rsidRDefault="0067534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91AE6" w14:textId="09DF8D52" w:rsidR="006C3242" w:rsidRPr="00771207"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771207">
      <w:rPr>
        <w:color w:val="D9D9D9" w:themeColor="background1" w:themeShade="D9"/>
        <w:sz w:val="16"/>
        <w:szCs w:val="16"/>
        <w:lang w:val="fr-FR"/>
      </w:rPr>
      <w:fldChar w:fldCharType="begin"/>
    </w:r>
    <w:r w:rsidRPr="00771207">
      <w:rPr>
        <w:color w:val="D9D9D9" w:themeColor="background1" w:themeShade="D9"/>
        <w:sz w:val="16"/>
        <w:szCs w:val="16"/>
        <w:lang w:val="fr-FR"/>
      </w:rPr>
      <w:instrText xml:space="preserve"> FILENAME \p \* MERGEFORMAT </w:instrText>
    </w:r>
    <w:r w:rsidRPr="00771207">
      <w:rPr>
        <w:color w:val="D9D9D9" w:themeColor="background1" w:themeShade="D9"/>
        <w:sz w:val="16"/>
        <w:szCs w:val="16"/>
        <w:lang w:val="fr-FR"/>
      </w:rPr>
      <w:fldChar w:fldCharType="separate"/>
    </w:r>
    <w:r w:rsidR="00705C84" w:rsidRPr="00771207">
      <w:rPr>
        <w:noProof/>
        <w:color w:val="D9D9D9" w:themeColor="background1" w:themeShade="D9"/>
        <w:sz w:val="16"/>
        <w:szCs w:val="16"/>
        <w:lang w:val="fr-FR"/>
      </w:rPr>
      <w:t>P:\ARA\SG\CONSEIL\C20\000\044V2A.docx</w:t>
    </w:r>
    <w:r w:rsidRPr="00771207">
      <w:rPr>
        <w:color w:val="D9D9D9" w:themeColor="background1" w:themeShade="D9"/>
        <w:sz w:val="16"/>
        <w:szCs w:val="16"/>
      </w:rPr>
      <w:fldChar w:fldCharType="end"/>
    </w:r>
    <w:r w:rsidRPr="00771207">
      <w:rPr>
        <w:color w:val="D9D9D9" w:themeColor="background1" w:themeShade="D9"/>
        <w:sz w:val="16"/>
        <w:szCs w:val="16"/>
        <w:lang w:val="fr-FR"/>
      </w:rPr>
      <w:t xml:space="preserve"> (</w:t>
    </w:r>
    <w:r w:rsidR="001B03B1" w:rsidRPr="00771207">
      <w:rPr>
        <w:color w:val="D9D9D9" w:themeColor="background1" w:themeShade="D9"/>
        <w:sz w:val="16"/>
        <w:szCs w:val="16"/>
        <w:lang w:val="fr-FR"/>
      </w:rPr>
      <w:t>467354</w:t>
    </w:r>
    <w:r w:rsidRPr="00771207">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E3F0B"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FA85C" w14:textId="77777777" w:rsidR="00675343" w:rsidRDefault="00675343" w:rsidP="006C3242">
      <w:pPr>
        <w:spacing w:before="0" w:line="240" w:lineRule="auto"/>
      </w:pPr>
      <w:r>
        <w:separator/>
      </w:r>
    </w:p>
  </w:footnote>
  <w:footnote w:type="continuationSeparator" w:id="0">
    <w:p w14:paraId="4CE0E96E" w14:textId="77777777" w:rsidR="00675343" w:rsidRDefault="00675343" w:rsidP="006C3242">
      <w:pPr>
        <w:spacing w:before="0" w:line="240" w:lineRule="auto"/>
      </w:pPr>
      <w:r>
        <w:continuationSeparator/>
      </w:r>
    </w:p>
  </w:footnote>
  <w:footnote w:id="1">
    <w:p w14:paraId="62B75FB9" w14:textId="77777777" w:rsidR="001B03B1" w:rsidRDefault="001B03B1" w:rsidP="001B03B1">
      <w:pPr>
        <w:pStyle w:val="Footnotetexte"/>
      </w:pPr>
      <w:r>
        <w:rPr>
          <w:rStyle w:val="FootnoteReference"/>
        </w:rPr>
        <w:footnoteRef/>
      </w:r>
      <w:r>
        <w:rPr>
          <w:rtl/>
        </w:rPr>
        <w:t xml:space="preserve"> </w:t>
      </w:r>
      <w:r>
        <w:rPr>
          <w:rtl/>
        </w:rPr>
        <w:tab/>
        <w:t>الأمر الإداري</w:t>
      </w:r>
      <w:r>
        <w:rPr>
          <w:rFonts w:hint="cs"/>
          <w:rtl/>
        </w:rPr>
        <w:t xml:space="preserve"> رقم</w:t>
      </w:r>
      <w:r>
        <w:rPr>
          <w:rtl/>
        </w:rPr>
        <w:t xml:space="preserve"> </w:t>
      </w:r>
      <w:r>
        <w:t>13/09</w:t>
      </w:r>
      <w:r>
        <w:rPr>
          <w:rtl/>
        </w:rPr>
        <w:t xml:space="preserve">، </w:t>
      </w:r>
      <w:r>
        <w:rPr>
          <w:rFonts w:hint="cs"/>
          <w:rtl/>
        </w:rPr>
        <w:t>الصادر عن</w:t>
      </w:r>
      <w:r>
        <w:rPr>
          <w:rtl/>
        </w:rPr>
        <w:t xml:space="preserve"> الأمين العام في</w:t>
      </w:r>
      <w:r>
        <w:rPr>
          <w:rFonts w:hint="cs"/>
          <w:rtl/>
        </w:rPr>
        <w:t> </w:t>
      </w:r>
      <w:r>
        <w:t>27</w:t>
      </w:r>
      <w:r>
        <w:rPr>
          <w:rFonts w:hint="cs"/>
          <w:rtl/>
        </w:rPr>
        <w:t> </w:t>
      </w:r>
      <w:r>
        <w:rPr>
          <w:rtl/>
        </w:rPr>
        <w:t>يونيو</w:t>
      </w:r>
      <w:r>
        <w:rPr>
          <w:rFonts w:hint="cs"/>
          <w:rtl/>
        </w:rPr>
        <w:t> </w:t>
      </w:r>
      <w:r>
        <w:t>2013</w:t>
      </w:r>
      <w:r>
        <w:rPr>
          <w:rtl/>
        </w:rPr>
        <w:t>.</w:t>
      </w:r>
    </w:p>
  </w:footnote>
  <w:footnote w:id="2">
    <w:p w14:paraId="2FE01EBD" w14:textId="77777777" w:rsidR="001B03B1" w:rsidRDefault="001B03B1" w:rsidP="001B03B1">
      <w:pPr>
        <w:pStyle w:val="Footnotetexte"/>
        <w:rPr>
          <w:rtl/>
        </w:rPr>
      </w:pPr>
      <w:r>
        <w:rPr>
          <w:rStyle w:val="FootnoteReference"/>
        </w:rPr>
        <w:footnoteRef/>
      </w:r>
      <w:r>
        <w:tab/>
      </w:r>
      <w:r w:rsidRPr="001A27E6">
        <w:rPr>
          <w:rtl/>
        </w:rPr>
        <w:t xml:space="preserve">معهد مراجعي الحسابات الداخليين، </w:t>
      </w:r>
      <w:hyperlink r:id="rId1" w:history="1">
        <w:r w:rsidRPr="001A27E6">
          <w:rPr>
            <w:rStyle w:val="Hyperlink"/>
          </w:rPr>
          <w:t>www.theiia.org</w:t>
        </w:r>
      </w:hyperlink>
      <w:r w:rsidRPr="001A27E6">
        <w:rPr>
          <w:rtl/>
        </w:rPr>
        <w:t>.</w:t>
      </w:r>
    </w:p>
  </w:footnote>
  <w:footnote w:id="3">
    <w:p w14:paraId="44080D08" w14:textId="4B7D0E33" w:rsidR="001B03B1" w:rsidRDefault="001B03B1" w:rsidP="001B03B1">
      <w:pPr>
        <w:pStyle w:val="Footnotetexte"/>
      </w:pPr>
      <w:r>
        <w:rPr>
          <w:rStyle w:val="FootnoteReference"/>
        </w:rPr>
        <w:footnoteRef/>
      </w:r>
      <w:r>
        <w:rPr>
          <w:rtl/>
        </w:rPr>
        <w:tab/>
        <w:t xml:space="preserve">الأمر الإداري </w:t>
      </w:r>
      <w:r>
        <w:rPr>
          <w:rFonts w:hint="cs"/>
          <w:rtl/>
        </w:rPr>
        <w:t>رقم</w:t>
      </w:r>
      <w:r>
        <w:rPr>
          <w:rtl/>
        </w:rPr>
        <w:t xml:space="preserve"> </w:t>
      </w:r>
      <w:r>
        <w:t>13/09</w:t>
      </w:r>
      <w:r>
        <w:rPr>
          <w:rtl/>
        </w:rPr>
        <w:t xml:space="preserve">، الذي اعتمده الأمين العام في </w:t>
      </w:r>
      <w:r>
        <w:t>27</w:t>
      </w:r>
      <w:r>
        <w:rPr>
          <w:rFonts w:hint="cs"/>
          <w:rtl/>
        </w:rPr>
        <w:t> </w:t>
      </w:r>
      <w:r>
        <w:rPr>
          <w:rtl/>
        </w:rPr>
        <w:t>يونيو</w:t>
      </w:r>
      <w:r>
        <w:rPr>
          <w:rFonts w:hint="cs"/>
          <w:rtl/>
        </w:rPr>
        <w:t> </w:t>
      </w:r>
      <w:r>
        <w:t>2013</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7A7F8" w14:textId="69F57FB5" w:rsidR="00447F32" w:rsidRPr="00447F32" w:rsidRDefault="00771207"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1B03B1">
          <w:rPr>
            <w:rFonts w:cs="Calibri"/>
            <w:noProof/>
            <w:sz w:val="20"/>
            <w:szCs w:val="20"/>
          </w:rPr>
          <w:t>44</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43"/>
    <w:rsid w:val="00090574"/>
    <w:rsid w:val="000C1C0E"/>
    <w:rsid w:val="000C548A"/>
    <w:rsid w:val="001B03B1"/>
    <w:rsid w:val="001C0169"/>
    <w:rsid w:val="001D1D50"/>
    <w:rsid w:val="001D6745"/>
    <w:rsid w:val="001E446E"/>
    <w:rsid w:val="002154EE"/>
    <w:rsid w:val="002276D2"/>
    <w:rsid w:val="0023283D"/>
    <w:rsid w:val="0026373E"/>
    <w:rsid w:val="00271C43"/>
    <w:rsid w:val="00290728"/>
    <w:rsid w:val="002978F4"/>
    <w:rsid w:val="002B028D"/>
    <w:rsid w:val="002E6541"/>
    <w:rsid w:val="002F71D8"/>
    <w:rsid w:val="00334924"/>
    <w:rsid w:val="003409BC"/>
    <w:rsid w:val="00357185"/>
    <w:rsid w:val="00383829"/>
    <w:rsid w:val="003C2100"/>
    <w:rsid w:val="003C6B4F"/>
    <w:rsid w:val="003F4B29"/>
    <w:rsid w:val="0042686F"/>
    <w:rsid w:val="004317D8"/>
    <w:rsid w:val="00434183"/>
    <w:rsid w:val="00443869"/>
    <w:rsid w:val="00447F32"/>
    <w:rsid w:val="004E11DC"/>
    <w:rsid w:val="005409AC"/>
    <w:rsid w:val="0055516A"/>
    <w:rsid w:val="0058491B"/>
    <w:rsid w:val="00592EA5"/>
    <w:rsid w:val="005A3170"/>
    <w:rsid w:val="005B1652"/>
    <w:rsid w:val="00614855"/>
    <w:rsid w:val="00675343"/>
    <w:rsid w:val="00677396"/>
    <w:rsid w:val="0069200F"/>
    <w:rsid w:val="006A65CB"/>
    <w:rsid w:val="006A793B"/>
    <w:rsid w:val="006C3242"/>
    <w:rsid w:val="006C7CC0"/>
    <w:rsid w:val="006F63F7"/>
    <w:rsid w:val="007025C7"/>
    <w:rsid w:val="00705C84"/>
    <w:rsid w:val="00706D7A"/>
    <w:rsid w:val="00722F0D"/>
    <w:rsid w:val="0074420E"/>
    <w:rsid w:val="00771207"/>
    <w:rsid w:val="00783E26"/>
    <w:rsid w:val="007C3BC7"/>
    <w:rsid w:val="007C3BCD"/>
    <w:rsid w:val="007D4ACF"/>
    <w:rsid w:val="007F0787"/>
    <w:rsid w:val="00810B7B"/>
    <w:rsid w:val="0082358A"/>
    <w:rsid w:val="008235CD"/>
    <w:rsid w:val="008247DE"/>
    <w:rsid w:val="00840B10"/>
    <w:rsid w:val="008513CB"/>
    <w:rsid w:val="008A7F84"/>
    <w:rsid w:val="0091702E"/>
    <w:rsid w:val="00923B0C"/>
    <w:rsid w:val="0094021C"/>
    <w:rsid w:val="00952F86"/>
    <w:rsid w:val="00982B28"/>
    <w:rsid w:val="009D313F"/>
    <w:rsid w:val="00A47A5A"/>
    <w:rsid w:val="00A6683B"/>
    <w:rsid w:val="00A97F94"/>
    <w:rsid w:val="00B03099"/>
    <w:rsid w:val="00B05BC8"/>
    <w:rsid w:val="00B64B47"/>
    <w:rsid w:val="00BB7213"/>
    <w:rsid w:val="00C002DE"/>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92863"/>
    <w:rsid w:val="00EB796D"/>
    <w:rsid w:val="00F058DC"/>
    <w:rsid w:val="00F24FC4"/>
    <w:rsid w:val="00F2676C"/>
    <w:rsid w:val="00F52AB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94F89"/>
  <w15:chartTrackingRefBased/>
  <w15:docId w15:val="{55B23111-8F24-4768-A3A0-FA63AF87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Financial-Regulations/S-GEN-REG_RGTFIN-2018-PDF-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khalil\Desktop\Doc_TRAD\www.theiia.org"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blue\dfs\sgo\INT_AUDIT\7.%20Internal%20Audits\Previous%20Follow-up%20registers\Internal%20audits%20-%20Follow-up%20register%20October%20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00" b="0" i="0" u="none" strike="noStrike" baseline="0">
                <a:solidFill>
                  <a:srgbClr val="000000"/>
                </a:solidFill>
                <a:latin typeface="Calibri"/>
                <a:ea typeface="Calibri"/>
                <a:cs typeface="Calibri"/>
              </a:defRPr>
            </a:pPr>
            <a:r>
              <a:rPr lang="ar-EG" sz="1400" b="0" i="0" u="none" strike="noStrike" baseline="0">
                <a:solidFill>
                  <a:srgbClr val="333333"/>
                </a:solidFill>
                <a:latin typeface="Dubai" panose="020B0503030403030204" pitchFamily="34" charset="-78"/>
                <a:cs typeface="Dubai" panose="020B0503030403030204" pitchFamily="34" charset="-78"/>
              </a:rPr>
              <a:t>مدى أهمية التوصيات الجاري تنفيذها/المتأخَّر في تنفيذها</a:t>
            </a:r>
            <a:endParaRPr lang="en-US" sz="1400" b="0" i="0" u="none" strike="noStrike" baseline="0">
              <a:solidFill>
                <a:srgbClr val="333333"/>
              </a:solidFill>
              <a:latin typeface="Dubai" panose="020B0503030403030204" pitchFamily="34" charset="-78"/>
              <a:cs typeface="Dubai" panose="020B0503030403030204" pitchFamily="34" charset="-78"/>
            </a:endParaRPr>
          </a:p>
        </c:rich>
      </c:tx>
      <c:layout>
        <c:manualLayout>
          <c:xMode val="edge"/>
          <c:yMode val="edge"/>
          <c:x val="0.11267676767676768"/>
          <c:y val="6.4524184476940388E-2"/>
        </c:manualLayout>
      </c:layout>
      <c:overlay val="0"/>
      <c:spPr>
        <a:noFill/>
        <a:ln w="25400">
          <a:noFill/>
        </a:ln>
      </c:spPr>
    </c:title>
    <c:autoTitleDeleted val="0"/>
    <c:plotArea>
      <c:layout>
        <c:manualLayout>
          <c:layoutTarget val="inner"/>
          <c:xMode val="edge"/>
          <c:yMode val="edge"/>
          <c:x val="6.6580927384076991E-2"/>
          <c:y val="0.23694444444444446"/>
          <c:w val="0.90286351706036749"/>
          <c:h val="0.5358639545056868"/>
        </c:manualLayout>
      </c:layout>
      <c:barChart>
        <c:barDir val="col"/>
        <c:grouping val="clustered"/>
        <c:varyColors val="0"/>
        <c:ser>
          <c:idx val="0"/>
          <c:order val="0"/>
          <c:tx>
            <c:strRef>
              <c:f>'[Internal audits - Follow-up register October 2019.xls]Statistics'!$O$38</c:f>
              <c:strCache>
                <c:ptCount val="1"/>
                <c:pt idx="0">
                  <c:v>Critical</c:v>
                </c:pt>
              </c:strCache>
            </c:strRef>
          </c:tx>
          <c:spPr>
            <a:solidFill>
              <a:srgbClr val="FF0000"/>
            </a:solidFill>
            <a:ln w="25400">
              <a:noFill/>
            </a:ln>
          </c:spPr>
          <c:invertIfNegative val="0"/>
          <c:cat>
            <c:numRef>
              <c:f>'[Internal audits - Follow-up register October 2019.xls]Statistics'!$N$39:$N$47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'[Internal audits - Follow-up register October 2019.xls]Statistics'!$O$39:$O$47</c:f>
              <c:numCache>
                <c:formatCode>General</c:formatCode>
                <c:ptCount val="9"/>
                <c:pt idx="4">
                  <c:v>0</c:v>
                </c:pt>
                <c:pt idx="7">
                  <c:v>0</c:v>
                </c:pt>
                <c:pt idx="8">
                  <c:v>2</c:v>
                </c:pt>
              </c:numCache>
            </c:numRef>
          </c:val>
          <c:extLst>
            <c:ext xmlns:c16="http://schemas.microsoft.com/office/drawing/2014/chart" uri="{C3380CC4-5D6E-409C-BE32-E72D297353CC}">
              <c16:uniqueId val="{00000000-17AB-435C-86A3-DFE16B749C31}"/>
            </c:ext>
          </c:extLst>
        </c:ser>
        <c:ser>
          <c:idx val="1"/>
          <c:order val="1"/>
          <c:tx>
            <c:strRef>
              <c:f>'[Internal audits - Follow-up register October 2019.xls]Statistics'!$P$38</c:f>
              <c:strCache>
                <c:ptCount val="1"/>
                <c:pt idx="0">
                  <c:v>High </c:v>
                </c:pt>
              </c:strCache>
            </c:strRef>
          </c:tx>
          <c:spPr>
            <a:solidFill>
              <a:srgbClr val="FFC000"/>
            </a:solidFill>
            <a:ln w="25400">
              <a:noFill/>
            </a:ln>
          </c:spPr>
          <c:invertIfNegative val="0"/>
          <c:cat>
            <c:numRef>
              <c:f>'[Internal audits - Follow-up register October 2019.xls]Statistics'!$N$39:$N$47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'[Internal audits - Follow-up register October 2019.xls]Statistics'!$P$39:$P$47</c:f>
              <c:numCache>
                <c:formatCode>General</c:formatCode>
                <c:ptCount val="9"/>
                <c:pt idx="0">
                  <c:v>0</c:v>
                </c:pt>
                <c:pt idx="2">
                  <c:v>2</c:v>
                </c:pt>
                <c:pt idx="3">
                  <c:v>2</c:v>
                </c:pt>
                <c:pt idx="4">
                  <c:v>0</c:v>
                </c:pt>
                <c:pt idx="5">
                  <c:v>6</c:v>
                </c:pt>
                <c:pt idx="6">
                  <c:v>6</c:v>
                </c:pt>
                <c:pt idx="7">
                  <c:v>7</c:v>
                </c:pt>
                <c:pt idx="8">
                  <c:v>5</c:v>
                </c:pt>
              </c:numCache>
            </c:numRef>
          </c:val>
          <c:extLst>
            <c:ext xmlns:c16="http://schemas.microsoft.com/office/drawing/2014/chart" uri="{C3380CC4-5D6E-409C-BE32-E72D297353CC}">
              <c16:uniqueId val="{00000001-17AB-435C-86A3-DFE16B749C31}"/>
            </c:ext>
          </c:extLst>
        </c:ser>
        <c:ser>
          <c:idx val="2"/>
          <c:order val="2"/>
          <c:tx>
            <c:strRef>
              <c:f>'[Internal audits - Follow-up register October 2019.xls]Statistics'!$Q$38</c:f>
              <c:strCache>
                <c:ptCount val="1"/>
                <c:pt idx="0">
                  <c:v>Medium</c:v>
                </c:pt>
              </c:strCache>
            </c:strRef>
          </c:tx>
          <c:spPr>
            <a:solidFill>
              <a:srgbClr val="FFFF00"/>
            </a:solidFill>
            <a:ln w="25400">
              <a:noFill/>
            </a:ln>
          </c:spPr>
          <c:invertIfNegative val="0"/>
          <c:cat>
            <c:numRef>
              <c:f>'[Internal audits - Follow-up register October 2019.xls]Statistics'!$N$39:$N$47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'[Internal audits - Follow-up register October 2019.xls]Statistics'!$Q$39:$Q$47</c:f>
              <c:numCache>
                <c:formatCode>General</c:formatCode>
                <c:ptCount val="9"/>
                <c:pt idx="0">
                  <c:v>2</c:v>
                </c:pt>
                <c:pt idx="2">
                  <c:v>3</c:v>
                </c:pt>
                <c:pt idx="3">
                  <c:v>0</c:v>
                </c:pt>
                <c:pt idx="4">
                  <c:v>1</c:v>
                </c:pt>
                <c:pt idx="5">
                  <c:v>2</c:v>
                </c:pt>
                <c:pt idx="6">
                  <c:v>7</c:v>
                </c:pt>
                <c:pt idx="7">
                  <c:v>7</c:v>
                </c:pt>
                <c:pt idx="8">
                  <c:v>2</c:v>
                </c:pt>
              </c:numCache>
            </c:numRef>
          </c:val>
          <c:extLst>
            <c:ext xmlns:c16="http://schemas.microsoft.com/office/drawing/2014/chart" uri="{C3380CC4-5D6E-409C-BE32-E72D297353CC}">
              <c16:uniqueId val="{00000002-17AB-435C-86A3-DFE16B749C31}"/>
            </c:ext>
          </c:extLst>
        </c:ser>
        <c:ser>
          <c:idx val="3"/>
          <c:order val="3"/>
          <c:tx>
            <c:strRef>
              <c:f>'[Internal audits - Follow-up register October 2019.xls]Statistics'!$R$38</c:f>
              <c:strCache>
                <c:ptCount val="1"/>
                <c:pt idx="0">
                  <c:v>Low</c:v>
                </c:pt>
              </c:strCache>
            </c:strRef>
          </c:tx>
          <c:spPr>
            <a:solidFill>
              <a:srgbClr val="00B050"/>
            </a:solidFill>
            <a:ln w="25400">
              <a:noFill/>
            </a:ln>
          </c:spPr>
          <c:invertIfNegative val="0"/>
          <c:cat>
            <c:numRef>
              <c:f>'[Internal audits - Follow-up register October 2019.xls]Statistics'!$N$39:$N$47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'[Internal audits - Follow-up register October 2019.xls]Statistics'!$R$39:$R$47</c:f>
              <c:numCache>
                <c:formatCode>General</c:formatCode>
                <c:ptCount val="9"/>
                <c:pt idx="0">
                  <c:v>1</c:v>
                </c:pt>
                <c:pt idx="2">
                  <c:v>0</c:v>
                </c:pt>
                <c:pt idx="5">
                  <c:v>0</c:v>
                </c:pt>
                <c:pt idx="7">
                  <c:v>2</c:v>
                </c:pt>
              </c:numCache>
            </c:numRef>
          </c:val>
          <c:extLst>
            <c:ext xmlns:c16="http://schemas.microsoft.com/office/drawing/2014/chart" uri="{C3380CC4-5D6E-409C-BE32-E72D297353CC}">
              <c16:uniqueId val="{00000003-17AB-435C-86A3-DFE16B749C31}"/>
            </c:ext>
          </c:extLst>
        </c:ser>
        <c:dLbls>
          <c:showLegendKey val="0"/>
          <c:showVal val="0"/>
          <c:showCatName val="0"/>
          <c:showSerName val="0"/>
          <c:showPercent val="0"/>
          <c:showBubbleSize val="0"/>
        </c:dLbls>
        <c:gapWidth val="219"/>
        <c:overlap val="-27"/>
        <c:axId val="1855740511"/>
        <c:axId val="1"/>
      </c:barChart>
      <c:catAx>
        <c:axId val="1855740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en-US"/>
          </a:p>
        </c:txPr>
        <c:crossAx val="1855740511"/>
        <c:crosses val="autoZero"/>
        <c:crossBetween val="between"/>
      </c:valAx>
      <c:spPr>
        <a:noFill/>
        <a:ln w="25400">
          <a:noFill/>
        </a:ln>
      </c:spPr>
    </c:plotArea>
    <c:legend>
      <c:legendPos val="r"/>
      <c:layout>
        <c:manualLayout>
          <c:xMode val="edge"/>
          <c:yMode val="edge"/>
          <c:x val="0.13956156048675733"/>
          <c:y val="0.8943957709511664"/>
          <c:w val="0.70670285532490262"/>
          <c:h val="7.2772540756349091E-2"/>
        </c:manualLayout>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3" name="Picture 2" descr="A screenshot of a cell phone&#10;&#10;Description automatically generated"/>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7876190" cy="349523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C0246-155F-481B-826F-936C67353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9BC13-FD01-411D-942D-12E336823B7D}">
  <ds:schemaRefs>
    <ds:schemaRef ds:uri="http://schemas.microsoft.com/sharepoint/v3/contenttype/forms"/>
  </ds:schemaRefs>
</ds:datastoreItem>
</file>

<file path=customXml/itemProps3.xml><?xml version="1.0" encoding="utf-8"?>
<ds:datastoreItem xmlns:ds="http://schemas.openxmlformats.org/officeDocument/2006/customXml" ds:itemID="{A76CEACB-5660-47C2-9CA2-3BAE7E85CB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D4C65C-94A2-4EA0-B84D-A5ABDA19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1831</Words>
  <Characters>10439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Internal Auditor on internal audit activities</dc:title>
  <dc:subject>Council 2020</dc:subject>
  <dc:creator>Tahawi, Hiba</dc:creator>
  <cp:keywords>C2020, C20</cp:keywords>
  <dc:description/>
  <cp:lastModifiedBy>Brouard, Ricarda</cp:lastModifiedBy>
  <cp:revision>2</cp:revision>
  <dcterms:created xsi:type="dcterms:W3CDTF">2020-06-01T10:01:00Z</dcterms:created>
  <dcterms:modified xsi:type="dcterms:W3CDTF">2020-06-01T10:01:00Z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