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369E51F" w14:textId="77777777">
        <w:trPr>
          <w:cantSplit/>
        </w:trPr>
        <w:tc>
          <w:tcPr>
            <w:tcW w:w="6912" w:type="dxa"/>
          </w:tcPr>
          <w:p w14:paraId="0564F8C9"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0DA8E51B"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2170E845" wp14:editId="038B51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EE3797B" w14:textId="77777777">
        <w:trPr>
          <w:cantSplit/>
          <w:trHeight w:val="20"/>
        </w:trPr>
        <w:tc>
          <w:tcPr>
            <w:tcW w:w="10173" w:type="dxa"/>
            <w:gridSpan w:val="2"/>
            <w:tcBorders>
              <w:bottom w:val="single" w:sz="12" w:space="0" w:color="auto"/>
            </w:tcBorders>
          </w:tcPr>
          <w:p w14:paraId="3087A576" w14:textId="77777777" w:rsidR="00093EEB" w:rsidRPr="00EB1212" w:rsidRDefault="00093EEB">
            <w:pPr>
              <w:spacing w:before="0"/>
              <w:rPr>
                <w:b/>
                <w:bCs/>
                <w:szCs w:val="24"/>
              </w:rPr>
            </w:pPr>
          </w:p>
        </w:tc>
      </w:tr>
      <w:tr w:rsidR="00093EEB" w:rsidRPr="000B0D00" w14:paraId="29FE1387" w14:textId="77777777">
        <w:trPr>
          <w:cantSplit/>
          <w:trHeight w:val="20"/>
        </w:trPr>
        <w:tc>
          <w:tcPr>
            <w:tcW w:w="6912" w:type="dxa"/>
            <w:tcBorders>
              <w:top w:val="single" w:sz="12" w:space="0" w:color="auto"/>
            </w:tcBorders>
          </w:tcPr>
          <w:p w14:paraId="57B846D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3817F50" w14:textId="77777777" w:rsidR="00093EEB" w:rsidRPr="000B0D00" w:rsidRDefault="00093EEB">
            <w:pPr>
              <w:spacing w:before="0"/>
              <w:rPr>
                <w:b/>
                <w:bCs/>
                <w:szCs w:val="24"/>
              </w:rPr>
            </w:pPr>
          </w:p>
        </w:tc>
      </w:tr>
      <w:tr w:rsidR="00093EEB" w:rsidRPr="000B0D00" w14:paraId="48B7BA75" w14:textId="77777777">
        <w:trPr>
          <w:cantSplit/>
          <w:trHeight w:val="20"/>
        </w:trPr>
        <w:tc>
          <w:tcPr>
            <w:tcW w:w="6912" w:type="dxa"/>
            <w:shd w:val="clear" w:color="auto" w:fill="auto"/>
          </w:tcPr>
          <w:p w14:paraId="133FF85D" w14:textId="0849484C" w:rsidR="00093EEB" w:rsidRPr="00093EEB" w:rsidRDefault="002153B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2153BE">
              <w:rPr>
                <w:rFonts w:cs="Times"/>
                <w:b/>
                <w:szCs w:val="24"/>
              </w:rPr>
              <w:t>Punto del orden del día: ADM 22</w:t>
            </w:r>
          </w:p>
        </w:tc>
        <w:tc>
          <w:tcPr>
            <w:tcW w:w="3261" w:type="dxa"/>
          </w:tcPr>
          <w:p w14:paraId="1827C4DB" w14:textId="76D0029B" w:rsidR="00093EEB" w:rsidRPr="00093EEB" w:rsidRDefault="00093EEB" w:rsidP="00C2727F">
            <w:pPr>
              <w:spacing w:before="0"/>
              <w:rPr>
                <w:b/>
                <w:bCs/>
                <w:szCs w:val="24"/>
              </w:rPr>
            </w:pPr>
            <w:r>
              <w:rPr>
                <w:b/>
                <w:bCs/>
                <w:szCs w:val="24"/>
              </w:rPr>
              <w:t>Documento C</w:t>
            </w:r>
            <w:r w:rsidR="007955DA">
              <w:rPr>
                <w:b/>
                <w:bCs/>
                <w:szCs w:val="24"/>
              </w:rPr>
              <w:t>20</w:t>
            </w:r>
            <w:r>
              <w:rPr>
                <w:b/>
                <w:bCs/>
                <w:szCs w:val="24"/>
              </w:rPr>
              <w:t>/</w:t>
            </w:r>
            <w:r w:rsidR="00902FF4">
              <w:rPr>
                <w:b/>
                <w:bCs/>
                <w:szCs w:val="24"/>
              </w:rPr>
              <w:t>43</w:t>
            </w:r>
            <w:r>
              <w:rPr>
                <w:b/>
                <w:bCs/>
                <w:szCs w:val="24"/>
              </w:rPr>
              <w:t>-S</w:t>
            </w:r>
          </w:p>
        </w:tc>
      </w:tr>
      <w:tr w:rsidR="00093EEB" w:rsidRPr="000B0D00" w14:paraId="7767D4A0" w14:textId="77777777">
        <w:trPr>
          <w:cantSplit/>
          <w:trHeight w:val="20"/>
        </w:trPr>
        <w:tc>
          <w:tcPr>
            <w:tcW w:w="6912" w:type="dxa"/>
            <w:shd w:val="clear" w:color="auto" w:fill="auto"/>
          </w:tcPr>
          <w:p w14:paraId="4B78FD7C"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7BA155DC" w14:textId="2931FDB6" w:rsidR="00093EEB" w:rsidRPr="00093EEB" w:rsidRDefault="00053768" w:rsidP="00C2727F">
            <w:pPr>
              <w:spacing w:before="0"/>
              <w:rPr>
                <w:b/>
                <w:bCs/>
                <w:szCs w:val="24"/>
              </w:rPr>
            </w:pPr>
            <w:r w:rsidRPr="00053768">
              <w:rPr>
                <w:b/>
                <w:bCs/>
                <w:szCs w:val="24"/>
              </w:rPr>
              <w:t>29 de abril de 2020</w:t>
            </w:r>
          </w:p>
        </w:tc>
      </w:tr>
      <w:tr w:rsidR="00093EEB" w:rsidRPr="000B0D00" w14:paraId="6A9BF6D1" w14:textId="77777777">
        <w:trPr>
          <w:cantSplit/>
          <w:trHeight w:val="20"/>
        </w:trPr>
        <w:tc>
          <w:tcPr>
            <w:tcW w:w="6912" w:type="dxa"/>
            <w:shd w:val="clear" w:color="auto" w:fill="auto"/>
          </w:tcPr>
          <w:p w14:paraId="6554FA21"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80CB582" w14:textId="77777777" w:rsidR="00093EEB" w:rsidRPr="00093EEB" w:rsidRDefault="00093EEB" w:rsidP="00093EEB">
            <w:pPr>
              <w:spacing w:before="0"/>
              <w:rPr>
                <w:b/>
                <w:bCs/>
                <w:szCs w:val="24"/>
              </w:rPr>
            </w:pPr>
            <w:r>
              <w:rPr>
                <w:b/>
                <w:bCs/>
                <w:szCs w:val="24"/>
              </w:rPr>
              <w:t>Original: inglés</w:t>
            </w:r>
          </w:p>
        </w:tc>
      </w:tr>
      <w:tr w:rsidR="00053768" w:rsidRPr="000B0D00" w14:paraId="71A8F0D0" w14:textId="77777777">
        <w:trPr>
          <w:cantSplit/>
        </w:trPr>
        <w:tc>
          <w:tcPr>
            <w:tcW w:w="10173" w:type="dxa"/>
            <w:gridSpan w:val="2"/>
          </w:tcPr>
          <w:p w14:paraId="7C58B1C6" w14:textId="73025D26" w:rsidR="00053768" w:rsidRPr="000B0D00" w:rsidRDefault="00053768" w:rsidP="00053768">
            <w:pPr>
              <w:pStyle w:val="Source"/>
            </w:pPr>
            <w:bookmarkStart w:id="7" w:name="dsource" w:colFirst="0" w:colLast="0"/>
            <w:bookmarkEnd w:id="1"/>
            <w:bookmarkEnd w:id="6"/>
            <w:r w:rsidRPr="00044C3B">
              <w:t>Informe del Secretario General</w:t>
            </w:r>
          </w:p>
        </w:tc>
      </w:tr>
      <w:tr w:rsidR="00053768" w:rsidRPr="000B0D00" w14:paraId="0D4458C9" w14:textId="77777777">
        <w:trPr>
          <w:cantSplit/>
        </w:trPr>
        <w:tc>
          <w:tcPr>
            <w:tcW w:w="10173" w:type="dxa"/>
            <w:gridSpan w:val="2"/>
          </w:tcPr>
          <w:p w14:paraId="792B4D60" w14:textId="3CBC73D0" w:rsidR="00053768" w:rsidRPr="000B0D00" w:rsidRDefault="00053768" w:rsidP="00053768">
            <w:pPr>
              <w:pStyle w:val="Title1"/>
            </w:pPr>
            <w:bookmarkStart w:id="8" w:name="dtitle1" w:colFirst="0" w:colLast="0"/>
            <w:bookmarkEnd w:id="7"/>
            <w:r>
              <w:t xml:space="preserve">MARCO DE RENDICIÓN DE </w:t>
            </w:r>
            <w:r w:rsidRPr="00044C3B">
              <w:t>CUENTAS</w:t>
            </w:r>
            <w:r>
              <w:t xml:space="preserve"> Y TRANSPARENCIA</w:t>
            </w:r>
            <w:r>
              <w:br/>
              <w:t>UNIÓN INTERNACIONAL DE TELECOMUNICACIONES</w:t>
            </w:r>
          </w:p>
        </w:tc>
      </w:tr>
      <w:bookmarkEnd w:id="8"/>
    </w:tbl>
    <w:p w14:paraId="120EC2B5"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0FFC8B5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504942" w14:textId="77777777" w:rsidR="00093EEB" w:rsidRPr="000B0D00" w:rsidRDefault="00093EEB">
            <w:pPr>
              <w:pStyle w:val="Headingb"/>
              <w:rPr>
                <w:lang w:val="es-ES"/>
              </w:rPr>
            </w:pPr>
            <w:r w:rsidRPr="000B0D00">
              <w:rPr>
                <w:lang w:val="es-ES"/>
              </w:rPr>
              <w:t>Resumen</w:t>
            </w:r>
          </w:p>
          <w:p w14:paraId="321748F6" w14:textId="0CCFAD96" w:rsidR="00093EEB" w:rsidRDefault="00053768">
            <w:pPr>
              <w:rPr>
                <w:lang w:val="es-ES"/>
              </w:rPr>
            </w:pPr>
            <w:r w:rsidRPr="00053768">
              <w:rPr>
                <w:lang w:val="es-ES"/>
              </w:rPr>
              <w:t>De conformidad con el examen de la gestión de la UIT realizado por la DCI e 2015 (</w:t>
            </w:r>
            <w:hyperlink r:id="rId10" w:history="1">
              <w:r w:rsidRPr="00053768">
                <w:rPr>
                  <w:rStyle w:val="Hyperlink"/>
                  <w:lang w:val="es-ES"/>
                </w:rPr>
                <w:t>JIU/REP/2016/1</w:t>
              </w:r>
            </w:hyperlink>
            <w:r w:rsidRPr="00053768">
              <w:rPr>
                <w:lang w:val="es-ES"/>
              </w:rPr>
              <w:t>) el Secretario General presentó a la reunión de 2017 del Consejo un Marco Autónomo de Rendición de Cuentas que refunde los elementos fundamentales de la responsabilidad en tres pilares principales y criterios conexos.</w:t>
            </w:r>
          </w:p>
          <w:p w14:paraId="0576C26E" w14:textId="77777777" w:rsidR="00053768" w:rsidRPr="00053768" w:rsidRDefault="00053768" w:rsidP="00053768">
            <w:pPr>
              <w:rPr>
                <w:lang w:val="es-ES"/>
              </w:rPr>
            </w:pPr>
            <w:r w:rsidRPr="00053768">
              <w:rPr>
                <w:lang w:val="es-ES"/>
              </w:rPr>
              <w:t>En este informe se facilita información actualizada sobre los progresos logrados en la aplicación de los criterios de la DCI para el Marco de Rendición de Cuentas.</w:t>
            </w:r>
          </w:p>
          <w:p w14:paraId="24BACA16" w14:textId="7BD445BF" w:rsidR="00053768" w:rsidRPr="000B0D00" w:rsidRDefault="00053768" w:rsidP="00053768">
            <w:pPr>
              <w:rPr>
                <w:lang w:val="es-ES"/>
              </w:rPr>
            </w:pPr>
            <w:r w:rsidRPr="00053768">
              <w:rPr>
                <w:lang w:val="es-ES"/>
              </w:rPr>
              <w:t xml:space="preserve">El </w:t>
            </w:r>
            <w:r w:rsidR="002153BE" w:rsidRPr="00053768">
              <w:rPr>
                <w:lang w:val="es-ES"/>
              </w:rPr>
              <w:t xml:space="preserve">Anexo </w:t>
            </w:r>
            <w:r w:rsidRPr="00053768">
              <w:rPr>
                <w:lang w:val="es-ES"/>
              </w:rPr>
              <w:t>sirve de lista de verificación para la rendición de cuentas. Se preparará un marco revisado para tener en cuenta otras iniciativas paralelas en curso que contribuyen a mejorar la rendición de cuentas.</w:t>
            </w:r>
          </w:p>
          <w:p w14:paraId="4256D2FE" w14:textId="77777777" w:rsidR="00093EEB" w:rsidRPr="000B0D00" w:rsidRDefault="00093EEB">
            <w:pPr>
              <w:pStyle w:val="Headingb"/>
              <w:rPr>
                <w:lang w:val="es-ES"/>
              </w:rPr>
            </w:pPr>
            <w:r w:rsidRPr="000B0D00">
              <w:rPr>
                <w:lang w:val="es-ES"/>
              </w:rPr>
              <w:t>Acción solicitada</w:t>
            </w:r>
          </w:p>
          <w:p w14:paraId="17E93B02" w14:textId="7C0F711B" w:rsidR="00093EEB" w:rsidRPr="000B0D00" w:rsidRDefault="00053768">
            <w:pPr>
              <w:rPr>
                <w:lang w:val="es-ES"/>
              </w:rPr>
            </w:pPr>
            <w:r w:rsidRPr="00053768">
              <w:rPr>
                <w:lang w:val="es-ES"/>
              </w:rPr>
              <w:t xml:space="preserve">Se invita al Consejo a </w:t>
            </w:r>
            <w:r w:rsidRPr="00053768">
              <w:rPr>
                <w:b/>
                <w:bCs/>
                <w:lang w:val="es-ES"/>
              </w:rPr>
              <w:t>tomar nota</w:t>
            </w:r>
            <w:r w:rsidRPr="00053768">
              <w:rPr>
                <w:lang w:val="es-ES"/>
              </w:rPr>
              <w:t xml:space="preserve"> del informe.</w:t>
            </w:r>
          </w:p>
          <w:p w14:paraId="6989824F"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5B58EE95" w14:textId="357C308B" w:rsidR="00093EEB" w:rsidRPr="000B0D00" w:rsidRDefault="00093EEB">
            <w:pPr>
              <w:pStyle w:val="Headingb"/>
              <w:rPr>
                <w:lang w:val="es-ES"/>
              </w:rPr>
            </w:pPr>
            <w:r w:rsidRPr="000B0D00">
              <w:rPr>
                <w:lang w:val="es-ES"/>
              </w:rPr>
              <w:t>Referencia</w:t>
            </w:r>
            <w:r w:rsidR="007F67ED">
              <w:rPr>
                <w:lang w:val="es-ES"/>
              </w:rPr>
              <w:t>s</w:t>
            </w:r>
          </w:p>
          <w:p w14:paraId="259CEB53" w14:textId="72A5EBB9" w:rsidR="00093EEB" w:rsidRPr="000B0D00" w:rsidRDefault="00D31DAF" w:rsidP="007F67ED">
            <w:pPr>
              <w:spacing w:after="120"/>
              <w:rPr>
                <w:i/>
                <w:iCs/>
                <w:lang w:val="es-ES"/>
              </w:rPr>
            </w:pPr>
            <w:hyperlink r:id="rId11" w:history="1">
              <w:r w:rsidR="00053768" w:rsidRPr="00053768">
                <w:rPr>
                  <w:rStyle w:val="Hyperlink"/>
                  <w:i/>
                  <w:iCs/>
                </w:rPr>
                <w:t>C17/64</w:t>
              </w:r>
            </w:hyperlink>
            <w:r w:rsidR="00053768" w:rsidRPr="00053768">
              <w:rPr>
                <w:i/>
                <w:iCs/>
              </w:rPr>
              <w:t xml:space="preserve">, </w:t>
            </w:r>
            <w:hyperlink r:id="rId12" w:history="1">
              <w:r w:rsidR="00053768" w:rsidRPr="00053768">
                <w:rPr>
                  <w:rStyle w:val="Hyperlink"/>
                  <w:i/>
                  <w:iCs/>
                </w:rPr>
                <w:t>JIU/REP/2011/5</w:t>
              </w:r>
            </w:hyperlink>
            <w:r w:rsidR="00053768" w:rsidRPr="00053768">
              <w:rPr>
                <w:i/>
                <w:iCs/>
              </w:rPr>
              <w:t>,</w:t>
            </w:r>
            <w:r w:rsidR="00053768" w:rsidRPr="00053768">
              <w:rPr>
                <w:i/>
                <w:iCs/>
                <w:u w:val="single"/>
              </w:rPr>
              <w:t xml:space="preserve"> </w:t>
            </w:r>
            <w:hyperlink r:id="rId13" w:history="1">
              <w:r w:rsidR="00053768" w:rsidRPr="00053768">
                <w:rPr>
                  <w:rStyle w:val="Hyperlink"/>
                  <w:i/>
                  <w:iCs/>
                </w:rPr>
                <w:t>JIU/REP/2016/1</w:t>
              </w:r>
            </w:hyperlink>
            <w:r w:rsidR="00053768" w:rsidRPr="002153BE">
              <w:rPr>
                <w:i/>
                <w:iCs/>
              </w:rPr>
              <w:t xml:space="preserve"> </w:t>
            </w:r>
            <w:r w:rsidR="00053768" w:rsidRPr="00053768">
              <w:rPr>
                <w:i/>
                <w:iCs/>
              </w:rPr>
              <w:t>y</w:t>
            </w:r>
            <w:r w:rsidR="007F67ED">
              <w:rPr>
                <w:i/>
                <w:iCs/>
                <w:u w:val="single"/>
              </w:rPr>
              <w:br/>
            </w:r>
            <w:hyperlink r:id="rId14" w:history="1">
              <w:r w:rsidR="00053768" w:rsidRPr="00053768">
                <w:rPr>
                  <w:rStyle w:val="Hyperlink"/>
                  <w:i/>
                  <w:iCs/>
                </w:rPr>
                <w:t>Resolución 64/259</w:t>
              </w:r>
            </w:hyperlink>
            <w:r w:rsidR="00053768" w:rsidRPr="002153BE">
              <w:rPr>
                <w:i/>
                <w:iCs/>
              </w:rPr>
              <w:t xml:space="preserve"> </w:t>
            </w:r>
            <w:r w:rsidR="00053768" w:rsidRPr="00053768">
              <w:rPr>
                <w:i/>
                <w:iCs/>
              </w:rPr>
              <w:t>de la Asamblea General de las Naciones Unidas.</w:t>
            </w:r>
          </w:p>
        </w:tc>
      </w:tr>
    </w:tbl>
    <w:p w14:paraId="628EF599" w14:textId="67411541" w:rsidR="00053768" w:rsidRDefault="00053768" w:rsidP="00042C7B">
      <w:pPr>
        <w:spacing w:before="1800"/>
        <w:rPr>
          <w:b/>
          <w:bCs/>
        </w:rPr>
      </w:pPr>
      <w:r w:rsidRPr="00053768">
        <w:rPr>
          <w:b/>
          <w:bCs/>
        </w:rPr>
        <w:t xml:space="preserve">Anexo: </w:t>
      </w:r>
      <w:r w:rsidRPr="007F67ED">
        <w:rPr>
          <w:bCs/>
        </w:rPr>
        <w:t>1</w:t>
      </w:r>
      <w:r>
        <w:rPr>
          <w:b/>
          <w:bCs/>
        </w:rPr>
        <w:br w:type="page"/>
      </w:r>
    </w:p>
    <w:p w14:paraId="7AD72E98" w14:textId="11E5EDB6" w:rsidR="00053768" w:rsidRPr="00E70501" w:rsidRDefault="00053768" w:rsidP="007F67ED">
      <w:r w:rsidRPr="00E70501">
        <w:lastRenderedPageBreak/>
        <w:t>1</w:t>
      </w:r>
      <w:r w:rsidRPr="00E70501">
        <w:tab/>
      </w:r>
      <w:proofErr w:type="gramStart"/>
      <w:r>
        <w:t>La</w:t>
      </w:r>
      <w:proofErr w:type="gramEnd"/>
      <w:r>
        <w:t xml:space="preserve"> finalidad</w:t>
      </w:r>
      <w:r w:rsidRPr="00E70501">
        <w:t xml:space="preserve"> del presente documento </w:t>
      </w:r>
      <w:r>
        <w:t>es proporcionar información actualizada sobre los progresos logrados en la aplicación de los criterios de la DCI para el Marco de Rendición de Cuentas</w:t>
      </w:r>
      <w:r w:rsidR="00042C7B">
        <w:t> </w:t>
      </w:r>
      <w:r w:rsidRPr="00E70501">
        <w:t>(MRC).</w:t>
      </w:r>
    </w:p>
    <w:p w14:paraId="46D95DFE" w14:textId="0D09B216" w:rsidR="00C2727F" w:rsidRDefault="00053768" w:rsidP="007F67ED">
      <w:r>
        <w:t>2</w:t>
      </w:r>
      <w:r w:rsidRPr="00E70501">
        <w:tab/>
      </w:r>
      <w:proofErr w:type="gramStart"/>
      <w:r>
        <w:t>Como</w:t>
      </w:r>
      <w:proofErr w:type="gramEnd"/>
      <w:r>
        <w:t xml:space="preserve"> se indica en el Anexo, e</w:t>
      </w:r>
      <w:r w:rsidRPr="00E70501">
        <w:t xml:space="preserve">l </w:t>
      </w:r>
      <w:r>
        <w:t xml:space="preserve">actual </w:t>
      </w:r>
      <w:r w:rsidRPr="00E70501">
        <w:t>Marco de rendición de cuentas de la UIT se apoya en tres pilares principales que se fundamentan en la estructura presentada en el informe de la DCI, como se indica a continuación.</w:t>
      </w:r>
    </w:p>
    <w:tbl>
      <w:tblPr>
        <w:tblStyle w:val="TableGrid"/>
        <w:tblpPr w:leftFromText="180" w:rightFromText="180" w:vertAnchor="text" w:horzAnchor="margin" w:tblpY="209"/>
        <w:tblW w:w="9634" w:type="dxa"/>
        <w:tblLook w:val="04A0" w:firstRow="1" w:lastRow="0" w:firstColumn="1" w:lastColumn="0" w:noHBand="0" w:noVBand="1"/>
      </w:tblPr>
      <w:tblGrid>
        <w:gridCol w:w="3539"/>
        <w:gridCol w:w="2977"/>
        <w:gridCol w:w="3118"/>
      </w:tblGrid>
      <w:tr w:rsidR="00053768" w:rsidRPr="00CC5E23" w14:paraId="60FD4E55" w14:textId="77777777" w:rsidTr="00053768">
        <w:tc>
          <w:tcPr>
            <w:tcW w:w="3539" w:type="dxa"/>
            <w:shd w:val="clear" w:color="auto" w:fill="365F91" w:themeFill="accent1" w:themeFillShade="BF"/>
          </w:tcPr>
          <w:p w14:paraId="2F23B696" w14:textId="77777777" w:rsidR="00053768" w:rsidRPr="00CC5E23" w:rsidRDefault="00053768" w:rsidP="00053768">
            <w:pPr>
              <w:pStyle w:val="Tablehead"/>
              <w:rPr>
                <w:color w:val="FFFFFF" w:themeColor="background1"/>
                <w:sz w:val="18"/>
                <w:szCs w:val="18"/>
              </w:rPr>
            </w:pPr>
            <w:r w:rsidRPr="00CC5E23">
              <w:rPr>
                <w:color w:val="FFFFFF" w:themeColor="background1"/>
                <w:sz w:val="18"/>
                <w:szCs w:val="18"/>
              </w:rPr>
              <w:t>PILAR 1</w:t>
            </w:r>
          </w:p>
          <w:p w14:paraId="08206A9E" w14:textId="77777777" w:rsidR="00053768" w:rsidRPr="00CC5E23" w:rsidRDefault="00053768" w:rsidP="00053768">
            <w:pPr>
              <w:pStyle w:val="Tablehead"/>
              <w:rPr>
                <w:color w:val="FFFFFF" w:themeColor="background1"/>
                <w:sz w:val="18"/>
                <w:szCs w:val="18"/>
              </w:rPr>
            </w:pPr>
            <w:r w:rsidRPr="00CC5E23">
              <w:rPr>
                <w:color w:val="FFFFFF" w:themeColor="background1"/>
                <w:sz w:val="18"/>
                <w:szCs w:val="18"/>
              </w:rPr>
              <w:t>Pacto político con los Estados Miembros, Miembros de los Sectores, Asociados, Sectores académicos y usuarios de los Servicios de la UIT</w:t>
            </w:r>
          </w:p>
        </w:tc>
        <w:tc>
          <w:tcPr>
            <w:tcW w:w="2977" w:type="dxa"/>
            <w:shd w:val="clear" w:color="auto" w:fill="365F91" w:themeFill="accent1" w:themeFillShade="BF"/>
          </w:tcPr>
          <w:p w14:paraId="5EA6E5DF" w14:textId="77777777" w:rsidR="00053768" w:rsidRPr="00CC5E23" w:rsidRDefault="00053768" w:rsidP="00053768">
            <w:pPr>
              <w:pStyle w:val="Tablehead"/>
              <w:rPr>
                <w:color w:val="FFFFFF" w:themeColor="background1"/>
                <w:sz w:val="18"/>
                <w:szCs w:val="18"/>
              </w:rPr>
            </w:pPr>
            <w:r w:rsidRPr="00CC5E23">
              <w:rPr>
                <w:color w:val="FFFFFF" w:themeColor="background1"/>
                <w:sz w:val="18"/>
                <w:szCs w:val="18"/>
              </w:rPr>
              <w:t>PILAR 2</w:t>
            </w:r>
          </w:p>
          <w:p w14:paraId="43CD77E0" w14:textId="057DFAEB" w:rsidR="00053768" w:rsidRPr="00CC5E23" w:rsidRDefault="00053768" w:rsidP="00053768">
            <w:pPr>
              <w:pStyle w:val="Tablehead"/>
              <w:rPr>
                <w:color w:val="FFFFFF" w:themeColor="background1"/>
                <w:sz w:val="18"/>
                <w:szCs w:val="18"/>
              </w:rPr>
            </w:pPr>
            <w:r w:rsidRPr="00CC5E23">
              <w:rPr>
                <w:color w:val="FFFFFF" w:themeColor="background1"/>
                <w:sz w:val="18"/>
                <w:szCs w:val="18"/>
              </w:rPr>
              <w:t>Controles internos y gestión de</w:t>
            </w:r>
            <w:r>
              <w:rPr>
                <w:color w:val="FFFFFF" w:themeColor="background1"/>
                <w:sz w:val="18"/>
                <w:szCs w:val="18"/>
              </w:rPr>
              <w:t> </w:t>
            </w:r>
            <w:r w:rsidRPr="00CC5E23">
              <w:rPr>
                <w:color w:val="FFFFFF" w:themeColor="background1"/>
                <w:sz w:val="18"/>
                <w:szCs w:val="18"/>
              </w:rPr>
              <w:t>riesgos</w:t>
            </w:r>
          </w:p>
        </w:tc>
        <w:tc>
          <w:tcPr>
            <w:tcW w:w="3118" w:type="dxa"/>
            <w:shd w:val="clear" w:color="auto" w:fill="365F91" w:themeFill="accent1" w:themeFillShade="BF"/>
          </w:tcPr>
          <w:p w14:paraId="3C7C9A60" w14:textId="77777777" w:rsidR="00053768" w:rsidRPr="00CC5E23" w:rsidRDefault="00053768" w:rsidP="00053768">
            <w:pPr>
              <w:pStyle w:val="Tablehead"/>
              <w:rPr>
                <w:color w:val="FFFFFF" w:themeColor="background1"/>
                <w:sz w:val="18"/>
                <w:szCs w:val="18"/>
              </w:rPr>
            </w:pPr>
            <w:r w:rsidRPr="00CC5E23">
              <w:rPr>
                <w:color w:val="FFFFFF" w:themeColor="background1"/>
                <w:sz w:val="18"/>
                <w:szCs w:val="18"/>
              </w:rPr>
              <w:t>PILAR 3</w:t>
            </w:r>
          </w:p>
          <w:p w14:paraId="133B3217" w14:textId="77777777" w:rsidR="00053768" w:rsidRPr="00CC5E23" w:rsidRDefault="00053768" w:rsidP="00053768">
            <w:pPr>
              <w:pStyle w:val="Tablehead"/>
              <w:rPr>
                <w:color w:val="FFFFFF" w:themeColor="background1"/>
                <w:sz w:val="18"/>
                <w:szCs w:val="18"/>
              </w:rPr>
            </w:pPr>
            <w:r w:rsidRPr="00CC5E23">
              <w:rPr>
                <w:color w:val="FFFFFF" w:themeColor="background1"/>
                <w:sz w:val="18"/>
                <w:szCs w:val="18"/>
              </w:rPr>
              <w:t xml:space="preserve">Mecanismos de reclamación </w:t>
            </w:r>
            <w:r>
              <w:rPr>
                <w:color w:val="FFFFFF" w:themeColor="background1"/>
                <w:sz w:val="18"/>
                <w:szCs w:val="18"/>
              </w:rPr>
              <w:br/>
            </w:r>
            <w:r w:rsidRPr="00CC5E23">
              <w:rPr>
                <w:color w:val="FFFFFF" w:themeColor="background1"/>
                <w:sz w:val="18"/>
                <w:szCs w:val="18"/>
              </w:rPr>
              <w:t>de respuesta</w:t>
            </w:r>
          </w:p>
        </w:tc>
      </w:tr>
      <w:tr w:rsidR="00053768" w:rsidRPr="00CC5E23" w14:paraId="7BD4F0FF" w14:textId="77777777" w:rsidTr="00053768">
        <w:tc>
          <w:tcPr>
            <w:tcW w:w="3539" w:type="dxa"/>
            <w:shd w:val="clear" w:color="auto" w:fill="B8CCE4" w:themeFill="accent1" w:themeFillTint="66"/>
          </w:tcPr>
          <w:p w14:paraId="70B2F2A2"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Instrumentos básicos de la UIT, acuerdos y tratados pertinentes</w:t>
            </w:r>
          </w:p>
          <w:p w14:paraId="1C13364D"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Marco de resultados de la UIT</w:t>
            </w:r>
          </w:p>
        </w:tc>
        <w:tc>
          <w:tcPr>
            <w:tcW w:w="2977" w:type="dxa"/>
            <w:shd w:val="clear" w:color="auto" w:fill="B8CCE4" w:themeFill="accent1" w:themeFillTint="66"/>
          </w:tcPr>
          <w:p w14:paraId="2816EEC8"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Entorno de control</w:t>
            </w:r>
          </w:p>
          <w:p w14:paraId="12D33B16"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Actividades de control</w:t>
            </w:r>
          </w:p>
          <w:p w14:paraId="4C8E78F5"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Evaluación del riesgo</w:t>
            </w:r>
          </w:p>
          <w:p w14:paraId="094A7C59" w14:textId="77777777" w:rsidR="00053768" w:rsidRDefault="00053768" w:rsidP="00053768">
            <w:pPr>
              <w:pStyle w:val="Tabletext"/>
              <w:ind w:left="243" w:hanging="243"/>
              <w:rPr>
                <w:sz w:val="18"/>
                <w:szCs w:val="18"/>
              </w:rPr>
            </w:pPr>
            <w:r w:rsidRPr="006F300A">
              <w:rPr>
                <w:sz w:val="18"/>
                <w:szCs w:val="18"/>
              </w:rPr>
              <w:t>-</w:t>
            </w:r>
            <w:r w:rsidRPr="006F300A">
              <w:rPr>
                <w:sz w:val="18"/>
                <w:szCs w:val="18"/>
              </w:rPr>
              <w:tab/>
            </w:r>
            <w:r w:rsidRPr="00D65F7E">
              <w:rPr>
                <w:sz w:val="18"/>
                <w:szCs w:val="18"/>
              </w:rPr>
              <w:t>Supervisión</w:t>
            </w:r>
            <w:r w:rsidRPr="00CC5E23">
              <w:rPr>
                <w:sz w:val="18"/>
                <w:szCs w:val="18"/>
              </w:rPr>
              <w:t xml:space="preserve"> </w:t>
            </w:r>
          </w:p>
          <w:p w14:paraId="10C3312A" w14:textId="6BC18745" w:rsidR="00D65F7E" w:rsidRPr="00CC5E23" w:rsidRDefault="00D65F7E" w:rsidP="00053768">
            <w:pPr>
              <w:pStyle w:val="Tabletext"/>
              <w:ind w:left="243" w:hanging="243"/>
              <w:rPr>
                <w:sz w:val="18"/>
                <w:szCs w:val="18"/>
              </w:rPr>
            </w:pPr>
            <w:r w:rsidRPr="006F300A">
              <w:rPr>
                <w:sz w:val="18"/>
                <w:szCs w:val="18"/>
              </w:rPr>
              <w:t>-</w:t>
            </w:r>
            <w:r w:rsidRPr="006F300A">
              <w:rPr>
                <w:sz w:val="18"/>
                <w:szCs w:val="18"/>
              </w:rPr>
              <w:tab/>
            </w:r>
            <w:r>
              <w:rPr>
                <w:sz w:val="18"/>
                <w:szCs w:val="18"/>
              </w:rPr>
              <w:t>Adquisiciones</w:t>
            </w:r>
          </w:p>
        </w:tc>
        <w:tc>
          <w:tcPr>
            <w:tcW w:w="3118" w:type="dxa"/>
            <w:shd w:val="clear" w:color="auto" w:fill="B8CCE4" w:themeFill="accent1" w:themeFillTint="66"/>
          </w:tcPr>
          <w:p w14:paraId="15E70056" w14:textId="77777777"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Personal de la UIT</w:t>
            </w:r>
          </w:p>
          <w:p w14:paraId="5A048E53" w14:textId="22BBCE4C" w:rsidR="00053768" w:rsidRPr="00CC5E23" w:rsidRDefault="00053768" w:rsidP="00053768">
            <w:pPr>
              <w:pStyle w:val="Tabletext"/>
              <w:ind w:left="243" w:hanging="243"/>
              <w:rPr>
                <w:sz w:val="18"/>
                <w:szCs w:val="18"/>
              </w:rPr>
            </w:pPr>
            <w:r w:rsidRPr="00CC5E23">
              <w:rPr>
                <w:sz w:val="18"/>
                <w:szCs w:val="18"/>
              </w:rPr>
              <w:t>-</w:t>
            </w:r>
            <w:r w:rsidRPr="00CC5E23">
              <w:rPr>
                <w:sz w:val="18"/>
                <w:szCs w:val="18"/>
              </w:rPr>
              <w:tab/>
              <w:t>Miembros y demás usuarios de lo</w:t>
            </w:r>
            <w:r w:rsidR="006F300A">
              <w:rPr>
                <w:sz w:val="18"/>
                <w:szCs w:val="18"/>
              </w:rPr>
              <w:t>s </w:t>
            </w:r>
            <w:r w:rsidRPr="00CC5E23">
              <w:rPr>
                <w:sz w:val="18"/>
                <w:szCs w:val="18"/>
              </w:rPr>
              <w:t>servicios de la UIT</w:t>
            </w:r>
          </w:p>
        </w:tc>
      </w:tr>
    </w:tbl>
    <w:p w14:paraId="035C0977" w14:textId="19E5FAE0" w:rsidR="00053768" w:rsidRDefault="00053768" w:rsidP="00E1617F">
      <w:pPr>
        <w:spacing w:before="240"/>
      </w:pPr>
      <w:r>
        <w:t>3</w:t>
      </w:r>
      <w:r w:rsidRPr="00E70501">
        <w:tab/>
      </w:r>
      <w:proofErr w:type="gramStart"/>
      <w:r>
        <w:t>Se</w:t>
      </w:r>
      <w:proofErr w:type="gramEnd"/>
      <w:r>
        <w:t xml:space="preserve"> ha iniciado una revisión completa del</w:t>
      </w:r>
      <w:r w:rsidRPr="00E70501">
        <w:t xml:space="preserve"> Marco de Rendición de Cuentas de la UIT</w:t>
      </w:r>
      <w:r>
        <w:t xml:space="preserve">, la cual se adaptará a otras iniciativas paralelas en curso (GBR, desarrollo del marco de delegación de autoridad, gestión del riesgo), todas las cuales contribuyen a una mejor rendición de cuentas. </w:t>
      </w:r>
      <w:r w:rsidRPr="00E70501">
        <w:t>Se pondrá al día para recoger los nuevos requisitos o las mejoras que dimanen de las nuevas iniciativas o de las experiencias adquiridas. La UIT garantizará que el Marco de Rendición de Cuentas siga siendo pertinente al mandato y los objetivos de la Unión.</w:t>
      </w:r>
      <w:r w:rsidRPr="009318D3">
        <w:t xml:space="preserve"> </w:t>
      </w:r>
      <w:r w:rsidRPr="00E70501">
        <w:t>La UIT continuará garantizando que el Marco de Rendición de Cuentas de la Unión responda a las circunstancias en evolución y tenga en cuenta las prácticas recomendadas en el sistema de las Naciones Unidas.</w:t>
      </w:r>
    </w:p>
    <w:p w14:paraId="540720F2" w14:textId="1FD96D32" w:rsidR="00053768" w:rsidRDefault="00053768" w:rsidP="007F67ED">
      <w:r>
        <w:t>4</w:t>
      </w:r>
      <w:r>
        <w:tab/>
      </w:r>
      <w:proofErr w:type="gramStart"/>
      <w:r>
        <w:t>En</w:t>
      </w:r>
      <w:proofErr w:type="gramEnd"/>
      <w:r>
        <w:t xml:space="preserve"> el cuadro Anexo se actualizan los progresos logrados en </w:t>
      </w:r>
      <w:r>
        <w:rPr>
          <w:color w:val="000000"/>
        </w:rPr>
        <w:t>la aplicación de los criterios de la</w:t>
      </w:r>
      <w:r w:rsidR="00042C7B">
        <w:rPr>
          <w:color w:val="000000"/>
        </w:rPr>
        <w:t> </w:t>
      </w:r>
      <w:r>
        <w:rPr>
          <w:color w:val="000000"/>
        </w:rPr>
        <w:t>DCI para el Marco de Rendición de Cuentas</w:t>
      </w:r>
      <w:r>
        <w:t xml:space="preserve"> </w:t>
      </w:r>
      <w:r w:rsidRPr="00E70501">
        <w:t>(MRC</w:t>
      </w:r>
      <w:r>
        <w:t>) para los tres pilares antes descritos.</w:t>
      </w:r>
    </w:p>
    <w:p w14:paraId="733EDC3F" w14:textId="746968B1" w:rsidR="007F67ED" w:rsidRDefault="007F67ED" w:rsidP="007F67ED"/>
    <w:p w14:paraId="0AE24836" w14:textId="77777777" w:rsidR="007F67ED" w:rsidRDefault="007F67ED" w:rsidP="007F67ED">
      <w:pPr>
        <w:sectPr w:rsidR="007F67ED"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14:paraId="1334E542" w14:textId="77777777" w:rsidR="00053768" w:rsidRPr="00E70501" w:rsidRDefault="00053768" w:rsidP="007F67ED">
      <w:pPr>
        <w:pStyle w:val="AnnexNo"/>
        <w:rPr>
          <w:rFonts w:eastAsiaTheme="majorEastAsia"/>
        </w:rPr>
      </w:pPr>
      <w:r w:rsidRPr="007F67ED">
        <w:rPr>
          <w:rFonts w:eastAsiaTheme="majorEastAsia"/>
        </w:rPr>
        <w:lastRenderedPageBreak/>
        <w:t>ANEXO</w:t>
      </w:r>
    </w:p>
    <w:p w14:paraId="6F4BCA3F" w14:textId="77777777" w:rsidR="00053768" w:rsidRPr="00E70501" w:rsidRDefault="00053768" w:rsidP="00053768">
      <w:pPr>
        <w:pStyle w:val="Annextitle"/>
        <w:rPr>
          <w:rFonts w:eastAsiaTheme="majorEastAsia"/>
        </w:rPr>
      </w:pPr>
      <w:r w:rsidRPr="00E70501">
        <w:rPr>
          <w:rFonts w:eastAsiaTheme="majorEastAsia"/>
        </w:rPr>
        <w:t>Progreso</w:t>
      </w:r>
      <w:r>
        <w:rPr>
          <w:rFonts w:eastAsiaTheme="majorEastAsia"/>
        </w:rPr>
        <w:t>s logrados en</w:t>
      </w:r>
      <w:r w:rsidRPr="00E70501">
        <w:rPr>
          <w:rFonts w:eastAsiaTheme="majorEastAsia"/>
        </w:rPr>
        <w:t xml:space="preserve"> la aplicación de los criterios de la DCI para el Marco de Rendición de Cuentas</w:t>
      </w:r>
    </w:p>
    <w:p w14:paraId="499AD8B5" w14:textId="77777777" w:rsidR="00053768" w:rsidRPr="007F67ED" w:rsidRDefault="00053768" w:rsidP="007F67ED">
      <w:pPr>
        <w:pStyle w:val="Headingb"/>
        <w:spacing w:after="120"/>
      </w:pPr>
      <w:r w:rsidRPr="00E70501">
        <w:t>Pilar 1</w:t>
      </w:r>
    </w:p>
    <w:tbl>
      <w:tblPr>
        <w:tblStyle w:val="TableGrid"/>
        <w:tblW w:w="14601" w:type="dxa"/>
        <w:tblInd w:w="-5" w:type="dxa"/>
        <w:tblLayout w:type="fixed"/>
        <w:tblLook w:val="04A0" w:firstRow="1" w:lastRow="0" w:firstColumn="1" w:lastColumn="0" w:noHBand="0" w:noVBand="1"/>
      </w:tblPr>
      <w:tblGrid>
        <w:gridCol w:w="3544"/>
        <w:gridCol w:w="3827"/>
        <w:gridCol w:w="851"/>
        <w:gridCol w:w="6379"/>
      </w:tblGrid>
      <w:tr w:rsidR="00053768" w:rsidRPr="00CC5E23" w14:paraId="488F8E05" w14:textId="77777777" w:rsidTr="007F67ED">
        <w:trPr>
          <w:tblHeader/>
        </w:trPr>
        <w:tc>
          <w:tcPr>
            <w:tcW w:w="3544" w:type="dxa"/>
            <w:shd w:val="clear" w:color="auto" w:fill="B8CCE4" w:themeFill="accent1" w:themeFillTint="66"/>
          </w:tcPr>
          <w:p w14:paraId="5478817A" w14:textId="77777777" w:rsidR="00053768" w:rsidRPr="00CC5E23" w:rsidRDefault="00053768" w:rsidP="004707EA">
            <w:pPr>
              <w:pStyle w:val="Tablehead"/>
              <w:rPr>
                <w:sz w:val="18"/>
                <w:szCs w:val="18"/>
              </w:rPr>
            </w:pPr>
            <w:r w:rsidRPr="00CC5E23">
              <w:rPr>
                <w:sz w:val="18"/>
                <w:szCs w:val="18"/>
              </w:rPr>
              <w:t>Criterio</w:t>
            </w:r>
          </w:p>
        </w:tc>
        <w:tc>
          <w:tcPr>
            <w:tcW w:w="3827" w:type="dxa"/>
            <w:shd w:val="clear" w:color="auto" w:fill="B8CCE4" w:themeFill="accent1" w:themeFillTint="66"/>
          </w:tcPr>
          <w:p w14:paraId="2E0C0A7A" w14:textId="77777777" w:rsidR="00053768" w:rsidRPr="00CC5E23" w:rsidRDefault="00053768" w:rsidP="004707EA">
            <w:pPr>
              <w:pStyle w:val="Tablehead"/>
              <w:rPr>
                <w:sz w:val="18"/>
                <w:szCs w:val="18"/>
              </w:rPr>
            </w:pPr>
            <w:r w:rsidRPr="00CC5E23">
              <w:rPr>
                <w:sz w:val="18"/>
                <w:szCs w:val="18"/>
              </w:rPr>
              <w:t>Instrumentos</w:t>
            </w:r>
          </w:p>
        </w:tc>
        <w:tc>
          <w:tcPr>
            <w:tcW w:w="851" w:type="dxa"/>
            <w:shd w:val="clear" w:color="auto" w:fill="B8CCE4" w:themeFill="accent1" w:themeFillTint="66"/>
          </w:tcPr>
          <w:p w14:paraId="1EFAA60A" w14:textId="77777777" w:rsidR="00053768" w:rsidRPr="00CC5E23" w:rsidRDefault="00053768" w:rsidP="004707EA">
            <w:pPr>
              <w:pStyle w:val="Tablehead"/>
              <w:rPr>
                <w:sz w:val="18"/>
                <w:szCs w:val="18"/>
              </w:rPr>
            </w:pPr>
            <w:r w:rsidRPr="00CC5E23">
              <w:rPr>
                <w:sz w:val="18"/>
                <w:szCs w:val="18"/>
              </w:rPr>
              <w:t>Estado</w:t>
            </w:r>
          </w:p>
        </w:tc>
        <w:tc>
          <w:tcPr>
            <w:tcW w:w="6379" w:type="dxa"/>
            <w:shd w:val="clear" w:color="auto" w:fill="B8CCE4" w:themeFill="accent1" w:themeFillTint="66"/>
          </w:tcPr>
          <w:p w14:paraId="10C09E8F" w14:textId="77777777" w:rsidR="00053768" w:rsidRPr="00CC5E23" w:rsidRDefault="00053768" w:rsidP="004707EA">
            <w:pPr>
              <w:pStyle w:val="Tablehead"/>
              <w:rPr>
                <w:sz w:val="18"/>
                <w:szCs w:val="18"/>
              </w:rPr>
            </w:pPr>
            <w:r w:rsidRPr="00CC5E23">
              <w:rPr>
                <w:sz w:val="18"/>
                <w:szCs w:val="18"/>
              </w:rPr>
              <w:t>Observaciones</w:t>
            </w:r>
          </w:p>
        </w:tc>
      </w:tr>
      <w:tr w:rsidR="00053768" w:rsidRPr="00CC5E23" w14:paraId="0DED60AF" w14:textId="77777777" w:rsidTr="007F67ED">
        <w:trPr>
          <w:trHeight w:val="255"/>
        </w:trPr>
        <w:tc>
          <w:tcPr>
            <w:tcW w:w="3544" w:type="dxa"/>
            <w:vMerge w:val="restart"/>
          </w:tcPr>
          <w:p w14:paraId="464826E4" w14:textId="77777777" w:rsidR="00053768" w:rsidRPr="00CC5E23" w:rsidRDefault="00053768" w:rsidP="004707EA">
            <w:pPr>
              <w:pStyle w:val="Tabletext"/>
              <w:rPr>
                <w:sz w:val="18"/>
                <w:szCs w:val="18"/>
              </w:rPr>
            </w:pPr>
            <w:r w:rsidRPr="00CC5E23">
              <w:rPr>
                <w:sz w:val="18"/>
                <w:szCs w:val="18"/>
              </w:rPr>
              <w:t>1. Existe un marco de rendición de cuentas claro, en el que se define la rendición de cuentas, se delimitan las responsabilidades relativas a la aplicación general del marco y se vinculan entre sí todos los componentes</w:t>
            </w:r>
            <w:r>
              <w:rPr>
                <w:sz w:val="18"/>
                <w:szCs w:val="18"/>
              </w:rPr>
              <w:t>.</w:t>
            </w:r>
          </w:p>
        </w:tc>
        <w:tc>
          <w:tcPr>
            <w:tcW w:w="3827" w:type="dxa"/>
          </w:tcPr>
          <w:p w14:paraId="5908C0D5" w14:textId="77777777" w:rsidR="00053768" w:rsidRPr="00CC5E23" w:rsidRDefault="00053768" w:rsidP="004707EA">
            <w:pPr>
              <w:pStyle w:val="Tabletext"/>
              <w:rPr>
                <w:sz w:val="18"/>
                <w:szCs w:val="18"/>
              </w:rPr>
            </w:pPr>
            <w:r w:rsidRPr="00CC5E23">
              <w:rPr>
                <w:sz w:val="18"/>
                <w:szCs w:val="18"/>
              </w:rPr>
              <w:t>Documento de política sobre el marco</w:t>
            </w:r>
          </w:p>
        </w:tc>
        <w:tc>
          <w:tcPr>
            <w:tcW w:w="851" w:type="dxa"/>
            <w:vAlign w:val="center"/>
          </w:tcPr>
          <w:p w14:paraId="3FDA9A93"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restart"/>
            <w:vAlign w:val="center"/>
          </w:tcPr>
          <w:p w14:paraId="4068C228" w14:textId="36D59E20" w:rsidR="00053768" w:rsidRPr="00CC5E23" w:rsidRDefault="00053768" w:rsidP="004707EA">
            <w:pPr>
              <w:pStyle w:val="Tabletext"/>
              <w:rPr>
                <w:sz w:val="18"/>
                <w:szCs w:val="18"/>
              </w:rPr>
            </w:pPr>
            <w:r w:rsidRPr="00C06D36">
              <w:rPr>
                <w:sz w:val="18"/>
                <w:szCs w:val="18"/>
              </w:rPr>
              <w:t xml:space="preserve">Se ha establecido un marco. No obstante, para </w:t>
            </w:r>
            <w:r>
              <w:rPr>
                <w:sz w:val="18"/>
                <w:szCs w:val="18"/>
              </w:rPr>
              <w:t>seguir mejorándolo</w:t>
            </w:r>
            <w:r w:rsidRPr="00C06D36">
              <w:rPr>
                <w:sz w:val="18"/>
                <w:szCs w:val="18"/>
              </w:rPr>
              <w:t xml:space="preserve">, se elaborará un documento </w:t>
            </w:r>
            <w:r>
              <w:rPr>
                <w:sz w:val="18"/>
                <w:szCs w:val="18"/>
              </w:rPr>
              <w:t>político</w:t>
            </w:r>
            <w:r w:rsidRPr="00C06D36">
              <w:rPr>
                <w:sz w:val="18"/>
                <w:szCs w:val="18"/>
              </w:rPr>
              <w:t xml:space="preserve"> completo </w:t>
            </w:r>
            <w:r>
              <w:rPr>
                <w:sz w:val="18"/>
                <w:szCs w:val="18"/>
              </w:rPr>
              <w:t>destinado a</w:t>
            </w:r>
            <w:r w:rsidRPr="00C06D36">
              <w:rPr>
                <w:sz w:val="18"/>
                <w:szCs w:val="18"/>
              </w:rPr>
              <w:t xml:space="preserve"> </w:t>
            </w:r>
            <w:r>
              <w:rPr>
                <w:sz w:val="18"/>
                <w:szCs w:val="18"/>
              </w:rPr>
              <w:t>ofrecer</w:t>
            </w:r>
            <w:r w:rsidRPr="00C06D36">
              <w:rPr>
                <w:sz w:val="18"/>
                <w:szCs w:val="18"/>
              </w:rPr>
              <w:t xml:space="preserve"> más información sobre los procesos en vigor para todos y cada uno de los aspectos del Marco de Rendición de Cuentas. </w:t>
            </w:r>
            <w:r>
              <w:rPr>
                <w:sz w:val="18"/>
                <w:szCs w:val="18"/>
              </w:rPr>
              <w:t>Puede que se identifiquen</w:t>
            </w:r>
            <w:r w:rsidRPr="00C06D36">
              <w:rPr>
                <w:sz w:val="18"/>
                <w:szCs w:val="18"/>
              </w:rPr>
              <w:t xml:space="preserve"> otras posibles lagunas o debilidades </w:t>
            </w:r>
            <w:r>
              <w:rPr>
                <w:sz w:val="18"/>
                <w:szCs w:val="18"/>
              </w:rPr>
              <w:t>y cabe</w:t>
            </w:r>
            <w:r w:rsidRPr="00C06D36">
              <w:rPr>
                <w:sz w:val="18"/>
                <w:szCs w:val="18"/>
              </w:rPr>
              <w:t xml:space="preserve"> esperar que se aborden </w:t>
            </w:r>
            <w:r>
              <w:rPr>
                <w:sz w:val="18"/>
                <w:szCs w:val="18"/>
              </w:rPr>
              <w:t>a raíz del citado</w:t>
            </w:r>
            <w:r w:rsidRPr="00C06D36">
              <w:rPr>
                <w:sz w:val="18"/>
                <w:szCs w:val="18"/>
              </w:rPr>
              <w:t xml:space="preserve"> ejercicio.</w:t>
            </w:r>
          </w:p>
        </w:tc>
      </w:tr>
      <w:tr w:rsidR="00053768" w:rsidRPr="00CC5E23" w14:paraId="2A6CE616" w14:textId="77777777" w:rsidTr="007F67ED">
        <w:trPr>
          <w:trHeight w:val="256"/>
        </w:trPr>
        <w:tc>
          <w:tcPr>
            <w:tcW w:w="3544" w:type="dxa"/>
            <w:vMerge/>
          </w:tcPr>
          <w:p w14:paraId="66A2DF7B" w14:textId="77777777" w:rsidR="00053768" w:rsidRPr="00CC5E23" w:rsidRDefault="00053768" w:rsidP="004707EA">
            <w:pPr>
              <w:pStyle w:val="Tabletext"/>
              <w:rPr>
                <w:sz w:val="18"/>
                <w:szCs w:val="18"/>
              </w:rPr>
            </w:pPr>
          </w:p>
        </w:tc>
        <w:tc>
          <w:tcPr>
            <w:tcW w:w="3827" w:type="dxa"/>
          </w:tcPr>
          <w:p w14:paraId="11645D95" w14:textId="77777777" w:rsidR="00053768" w:rsidRPr="00CC5E23" w:rsidRDefault="00053768" w:rsidP="004707EA">
            <w:pPr>
              <w:pStyle w:val="Tabletext"/>
              <w:rPr>
                <w:sz w:val="18"/>
                <w:szCs w:val="18"/>
              </w:rPr>
            </w:pPr>
            <w:r w:rsidRPr="00CC5E23">
              <w:rPr>
                <w:sz w:val="18"/>
                <w:szCs w:val="18"/>
              </w:rPr>
              <w:t>Definición de rendición de cuentas</w:t>
            </w:r>
          </w:p>
        </w:tc>
        <w:tc>
          <w:tcPr>
            <w:tcW w:w="851" w:type="dxa"/>
            <w:vAlign w:val="center"/>
          </w:tcPr>
          <w:p w14:paraId="5266E62F"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tcPr>
          <w:p w14:paraId="509976BC" w14:textId="77777777" w:rsidR="00053768" w:rsidRPr="00CC5E23" w:rsidRDefault="00053768" w:rsidP="004707EA">
            <w:pPr>
              <w:pStyle w:val="Tabletext"/>
              <w:rPr>
                <w:sz w:val="18"/>
                <w:szCs w:val="18"/>
              </w:rPr>
            </w:pPr>
          </w:p>
        </w:tc>
      </w:tr>
      <w:tr w:rsidR="00053768" w:rsidRPr="00CC5E23" w14:paraId="68E1A8F9" w14:textId="77777777" w:rsidTr="007F67ED">
        <w:trPr>
          <w:trHeight w:val="255"/>
        </w:trPr>
        <w:tc>
          <w:tcPr>
            <w:tcW w:w="3544" w:type="dxa"/>
            <w:vMerge/>
          </w:tcPr>
          <w:p w14:paraId="2EC3A107" w14:textId="77777777" w:rsidR="00053768" w:rsidRPr="00CC5E23" w:rsidRDefault="00053768" w:rsidP="004707EA">
            <w:pPr>
              <w:pStyle w:val="Tabletext"/>
              <w:rPr>
                <w:sz w:val="18"/>
                <w:szCs w:val="18"/>
              </w:rPr>
            </w:pPr>
          </w:p>
        </w:tc>
        <w:tc>
          <w:tcPr>
            <w:tcW w:w="3827" w:type="dxa"/>
          </w:tcPr>
          <w:p w14:paraId="22054484" w14:textId="77777777" w:rsidR="00053768" w:rsidRPr="00CC5E23" w:rsidRDefault="00053768" w:rsidP="004707EA">
            <w:pPr>
              <w:pStyle w:val="Tabletext"/>
              <w:rPr>
                <w:sz w:val="18"/>
                <w:szCs w:val="18"/>
              </w:rPr>
            </w:pPr>
            <w:r w:rsidRPr="00CC5E23">
              <w:rPr>
                <w:sz w:val="18"/>
                <w:szCs w:val="18"/>
              </w:rPr>
              <w:t>Funciones y responsabilidades de los directivos superiores, los departamentos de ejecución y el personal</w:t>
            </w:r>
          </w:p>
        </w:tc>
        <w:tc>
          <w:tcPr>
            <w:tcW w:w="851" w:type="dxa"/>
            <w:vAlign w:val="center"/>
          </w:tcPr>
          <w:p w14:paraId="3F222D8E"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tcPr>
          <w:p w14:paraId="1D3A83DE" w14:textId="77777777" w:rsidR="00053768" w:rsidRPr="00CC5E23" w:rsidRDefault="00053768" w:rsidP="004707EA">
            <w:pPr>
              <w:pStyle w:val="Tabletext"/>
              <w:rPr>
                <w:sz w:val="18"/>
                <w:szCs w:val="18"/>
              </w:rPr>
            </w:pPr>
          </w:p>
        </w:tc>
      </w:tr>
      <w:tr w:rsidR="00053768" w:rsidRPr="00CC5E23" w14:paraId="14D9205B" w14:textId="77777777" w:rsidTr="007F67ED">
        <w:trPr>
          <w:trHeight w:val="256"/>
        </w:trPr>
        <w:tc>
          <w:tcPr>
            <w:tcW w:w="3544" w:type="dxa"/>
            <w:vMerge/>
          </w:tcPr>
          <w:p w14:paraId="341C43AE" w14:textId="77777777" w:rsidR="00053768" w:rsidRPr="00CC5E23" w:rsidRDefault="00053768" w:rsidP="004707EA">
            <w:pPr>
              <w:pStyle w:val="Tabletext"/>
              <w:rPr>
                <w:sz w:val="18"/>
                <w:szCs w:val="18"/>
              </w:rPr>
            </w:pPr>
          </w:p>
        </w:tc>
        <w:tc>
          <w:tcPr>
            <w:tcW w:w="3827" w:type="dxa"/>
          </w:tcPr>
          <w:p w14:paraId="3B5D4147" w14:textId="77777777" w:rsidR="00053768" w:rsidRPr="00CC5E23" w:rsidRDefault="00053768" w:rsidP="004707EA">
            <w:pPr>
              <w:pStyle w:val="Tabletext"/>
              <w:rPr>
                <w:sz w:val="18"/>
                <w:szCs w:val="18"/>
              </w:rPr>
            </w:pPr>
            <w:r w:rsidRPr="00CC5E23">
              <w:rPr>
                <w:sz w:val="18"/>
                <w:szCs w:val="18"/>
              </w:rPr>
              <w:t>Documento de política disponible en el sitio web y para el personal</w:t>
            </w:r>
          </w:p>
        </w:tc>
        <w:tc>
          <w:tcPr>
            <w:tcW w:w="851" w:type="dxa"/>
            <w:vAlign w:val="center"/>
          </w:tcPr>
          <w:p w14:paraId="039E1D2F" w14:textId="57EF7F30"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tcPr>
          <w:p w14:paraId="63D24620" w14:textId="77777777" w:rsidR="00053768" w:rsidRPr="00CC5E23" w:rsidRDefault="00053768" w:rsidP="004707EA">
            <w:pPr>
              <w:pStyle w:val="Tabletext"/>
              <w:rPr>
                <w:sz w:val="18"/>
                <w:szCs w:val="18"/>
              </w:rPr>
            </w:pPr>
          </w:p>
        </w:tc>
      </w:tr>
      <w:tr w:rsidR="00053768" w:rsidRPr="00CC5E23" w14:paraId="2B355215" w14:textId="77777777" w:rsidTr="007F67ED">
        <w:trPr>
          <w:trHeight w:val="256"/>
        </w:trPr>
        <w:tc>
          <w:tcPr>
            <w:tcW w:w="3544" w:type="dxa"/>
            <w:vMerge/>
          </w:tcPr>
          <w:p w14:paraId="68BAF7A8" w14:textId="77777777" w:rsidR="00053768" w:rsidRPr="00CC5E23" w:rsidRDefault="00053768" w:rsidP="004707EA">
            <w:pPr>
              <w:pStyle w:val="Tabletext"/>
              <w:rPr>
                <w:sz w:val="18"/>
                <w:szCs w:val="18"/>
              </w:rPr>
            </w:pPr>
          </w:p>
        </w:tc>
        <w:tc>
          <w:tcPr>
            <w:tcW w:w="3827" w:type="dxa"/>
          </w:tcPr>
          <w:p w14:paraId="67BBD580" w14:textId="77777777" w:rsidR="00053768" w:rsidRPr="00CC5E23" w:rsidRDefault="00053768" w:rsidP="004707EA">
            <w:pPr>
              <w:pStyle w:val="Tabletext"/>
              <w:rPr>
                <w:sz w:val="18"/>
                <w:szCs w:val="18"/>
              </w:rPr>
            </w:pPr>
            <w:r w:rsidRPr="00CC5E23">
              <w:rPr>
                <w:sz w:val="18"/>
                <w:szCs w:val="18"/>
              </w:rPr>
              <w:t>Inclusión en el marco de los componentes fundamentales de la rendición de cuentas.</w:t>
            </w:r>
          </w:p>
        </w:tc>
        <w:tc>
          <w:tcPr>
            <w:tcW w:w="851" w:type="dxa"/>
            <w:vAlign w:val="center"/>
          </w:tcPr>
          <w:p w14:paraId="2BFA77CD" w14:textId="19EF2789" w:rsidR="00053768" w:rsidRPr="00CC5E23" w:rsidRDefault="00053768" w:rsidP="004707EA">
            <w:pPr>
              <w:pStyle w:val="Tabletext"/>
              <w:jc w:val="center"/>
              <w:rPr>
                <w:sz w:val="18"/>
                <w:szCs w:val="18"/>
              </w:rPr>
            </w:pPr>
            <w:r w:rsidRPr="00CC5E23">
              <w:rPr>
                <w:sz w:val="18"/>
                <w:szCs w:val="18"/>
              </w:rPr>
              <w:t>En curso</w:t>
            </w:r>
          </w:p>
        </w:tc>
        <w:tc>
          <w:tcPr>
            <w:tcW w:w="6379" w:type="dxa"/>
            <w:vMerge/>
          </w:tcPr>
          <w:p w14:paraId="42D2C751" w14:textId="77777777" w:rsidR="00053768" w:rsidRPr="00CC5E23" w:rsidRDefault="00053768" w:rsidP="004707EA">
            <w:pPr>
              <w:pStyle w:val="Tabletext"/>
              <w:rPr>
                <w:sz w:val="18"/>
                <w:szCs w:val="18"/>
              </w:rPr>
            </w:pPr>
          </w:p>
        </w:tc>
      </w:tr>
      <w:tr w:rsidR="00053768" w:rsidRPr="00CC5E23" w14:paraId="65B0AB1E" w14:textId="77777777" w:rsidTr="007F67ED">
        <w:trPr>
          <w:trHeight w:val="479"/>
        </w:trPr>
        <w:tc>
          <w:tcPr>
            <w:tcW w:w="3544" w:type="dxa"/>
            <w:vMerge w:val="restart"/>
          </w:tcPr>
          <w:p w14:paraId="379AB96F" w14:textId="77777777" w:rsidR="00053768" w:rsidRPr="00CC5E23" w:rsidRDefault="00053768" w:rsidP="004707EA">
            <w:pPr>
              <w:pStyle w:val="Tabletext"/>
              <w:rPr>
                <w:sz w:val="18"/>
                <w:szCs w:val="18"/>
              </w:rPr>
            </w:pPr>
            <w:r w:rsidRPr="00CC5E23">
              <w:rPr>
                <w:sz w:val="18"/>
                <w:szCs w:val="18"/>
              </w:rPr>
              <w:t>2. La gestión basada en los resultados es operacional y coherente con los mandatos y los objetivos de la organización, y se traduce en planes de trabajo de las dependencias y personales</w:t>
            </w:r>
            <w:r>
              <w:rPr>
                <w:sz w:val="18"/>
                <w:szCs w:val="18"/>
              </w:rPr>
              <w:t>.</w:t>
            </w:r>
          </w:p>
        </w:tc>
        <w:tc>
          <w:tcPr>
            <w:tcW w:w="3827" w:type="dxa"/>
          </w:tcPr>
          <w:p w14:paraId="45C8ADF1" w14:textId="77777777" w:rsidR="00053768" w:rsidRPr="00CC5E23" w:rsidRDefault="00053768" w:rsidP="004707EA">
            <w:pPr>
              <w:pStyle w:val="Tabletext"/>
              <w:rPr>
                <w:sz w:val="18"/>
                <w:szCs w:val="18"/>
              </w:rPr>
            </w:pPr>
            <w:r w:rsidRPr="00CC5E23">
              <w:rPr>
                <w:sz w:val="18"/>
                <w:szCs w:val="18"/>
              </w:rPr>
              <w:t>Planes estratégicos</w:t>
            </w:r>
          </w:p>
        </w:tc>
        <w:tc>
          <w:tcPr>
            <w:tcW w:w="851" w:type="dxa"/>
            <w:vAlign w:val="center"/>
          </w:tcPr>
          <w:p w14:paraId="3EC5CF7E"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restart"/>
            <w:vAlign w:val="center"/>
          </w:tcPr>
          <w:p w14:paraId="6D4E08B3" w14:textId="24AB1F7B" w:rsidR="00053768" w:rsidRPr="00CC5E23" w:rsidRDefault="00053768" w:rsidP="004707EA">
            <w:pPr>
              <w:pStyle w:val="Tabletext"/>
              <w:rPr>
                <w:sz w:val="18"/>
                <w:szCs w:val="18"/>
              </w:rPr>
            </w:pPr>
            <w:r w:rsidRPr="00C06D36">
              <w:rPr>
                <w:sz w:val="18"/>
                <w:szCs w:val="18"/>
              </w:rPr>
              <w:t xml:space="preserve">La </w:t>
            </w:r>
            <w:r>
              <w:rPr>
                <w:sz w:val="18"/>
                <w:szCs w:val="18"/>
              </w:rPr>
              <w:t>GBR</w:t>
            </w:r>
            <w:r w:rsidRPr="00C06D36">
              <w:rPr>
                <w:sz w:val="18"/>
                <w:szCs w:val="18"/>
              </w:rPr>
              <w:t xml:space="preserve"> </w:t>
            </w:r>
            <w:r>
              <w:rPr>
                <w:sz w:val="18"/>
                <w:szCs w:val="18"/>
              </w:rPr>
              <w:t>se introdujo</w:t>
            </w:r>
            <w:r w:rsidRPr="00C06D36">
              <w:rPr>
                <w:sz w:val="18"/>
                <w:szCs w:val="18"/>
              </w:rPr>
              <w:t xml:space="preserve"> hace más de 20 años. Actualmente, la UIT se esfuerza por reforzar el impacto del marco mediante un examen general, capacitación y cursos prácticos, y centrándose en la aplicación de los conceptos de la gestión basada en los resultados.</w:t>
            </w:r>
          </w:p>
        </w:tc>
      </w:tr>
      <w:tr w:rsidR="00053768" w:rsidRPr="00CC5E23" w14:paraId="3AB06DBE" w14:textId="77777777" w:rsidTr="007F67ED">
        <w:trPr>
          <w:trHeight w:val="454"/>
        </w:trPr>
        <w:tc>
          <w:tcPr>
            <w:tcW w:w="3544" w:type="dxa"/>
            <w:vMerge/>
          </w:tcPr>
          <w:p w14:paraId="45A193E9" w14:textId="77777777" w:rsidR="00053768" w:rsidRPr="00CC5E23" w:rsidRDefault="00053768" w:rsidP="004707EA">
            <w:pPr>
              <w:pStyle w:val="Tabletext"/>
              <w:rPr>
                <w:sz w:val="18"/>
                <w:szCs w:val="18"/>
              </w:rPr>
            </w:pPr>
          </w:p>
        </w:tc>
        <w:tc>
          <w:tcPr>
            <w:tcW w:w="3827" w:type="dxa"/>
          </w:tcPr>
          <w:p w14:paraId="62B42EB4" w14:textId="77777777" w:rsidR="00053768" w:rsidRPr="00CC5E23" w:rsidRDefault="00053768" w:rsidP="004707EA">
            <w:pPr>
              <w:pStyle w:val="Tabletext"/>
              <w:rPr>
                <w:sz w:val="18"/>
                <w:szCs w:val="18"/>
              </w:rPr>
            </w:pPr>
            <w:r w:rsidRPr="00CC5E23">
              <w:rPr>
                <w:sz w:val="18"/>
                <w:szCs w:val="18"/>
              </w:rPr>
              <w:t>Planes de trabajo de las dependencias</w:t>
            </w:r>
          </w:p>
        </w:tc>
        <w:tc>
          <w:tcPr>
            <w:tcW w:w="851" w:type="dxa"/>
            <w:vAlign w:val="center"/>
          </w:tcPr>
          <w:p w14:paraId="3570A029" w14:textId="06CC771C"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ign w:val="center"/>
          </w:tcPr>
          <w:p w14:paraId="3CBD0688" w14:textId="77777777" w:rsidR="00053768" w:rsidRPr="00CC5E23" w:rsidRDefault="00053768" w:rsidP="004707EA">
            <w:pPr>
              <w:pStyle w:val="Tabletext"/>
              <w:rPr>
                <w:sz w:val="18"/>
                <w:szCs w:val="18"/>
              </w:rPr>
            </w:pPr>
          </w:p>
        </w:tc>
      </w:tr>
      <w:tr w:rsidR="00053768" w:rsidRPr="00CC5E23" w14:paraId="3FC156B7" w14:textId="77777777" w:rsidTr="007F67ED">
        <w:trPr>
          <w:trHeight w:val="287"/>
        </w:trPr>
        <w:tc>
          <w:tcPr>
            <w:tcW w:w="3544" w:type="dxa"/>
            <w:vMerge/>
          </w:tcPr>
          <w:p w14:paraId="1D6EDFCD" w14:textId="77777777" w:rsidR="00053768" w:rsidRPr="00CC5E23" w:rsidRDefault="00053768" w:rsidP="004707EA">
            <w:pPr>
              <w:pStyle w:val="Tabletext"/>
              <w:rPr>
                <w:sz w:val="18"/>
                <w:szCs w:val="18"/>
              </w:rPr>
            </w:pPr>
          </w:p>
        </w:tc>
        <w:tc>
          <w:tcPr>
            <w:tcW w:w="3827" w:type="dxa"/>
          </w:tcPr>
          <w:p w14:paraId="418C83C7" w14:textId="77777777" w:rsidR="00053768" w:rsidRPr="00CC5E23" w:rsidRDefault="00053768" w:rsidP="004707EA">
            <w:pPr>
              <w:pStyle w:val="Tabletext"/>
              <w:rPr>
                <w:sz w:val="18"/>
                <w:szCs w:val="18"/>
              </w:rPr>
            </w:pPr>
            <w:r w:rsidRPr="00CC5E23">
              <w:rPr>
                <w:sz w:val="18"/>
                <w:szCs w:val="18"/>
              </w:rPr>
              <w:t>Objetivos personales de trabajo</w:t>
            </w:r>
          </w:p>
        </w:tc>
        <w:tc>
          <w:tcPr>
            <w:tcW w:w="851" w:type="dxa"/>
            <w:vAlign w:val="center"/>
          </w:tcPr>
          <w:p w14:paraId="46A84DFF"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ign w:val="center"/>
          </w:tcPr>
          <w:p w14:paraId="41C50E45" w14:textId="77777777" w:rsidR="00053768" w:rsidRPr="00CC5E23" w:rsidRDefault="00053768" w:rsidP="004707EA">
            <w:pPr>
              <w:pStyle w:val="Tabletext"/>
              <w:rPr>
                <w:sz w:val="18"/>
                <w:szCs w:val="18"/>
              </w:rPr>
            </w:pPr>
          </w:p>
        </w:tc>
      </w:tr>
      <w:tr w:rsidR="00053768" w:rsidRPr="00CC5E23" w14:paraId="19561F0C" w14:textId="77777777" w:rsidTr="007F67ED">
        <w:tc>
          <w:tcPr>
            <w:tcW w:w="3544" w:type="dxa"/>
          </w:tcPr>
          <w:p w14:paraId="772888AA" w14:textId="77777777" w:rsidR="00053768" w:rsidRPr="00CC5E23" w:rsidRDefault="00053768" w:rsidP="004707EA">
            <w:pPr>
              <w:pStyle w:val="Tabletext"/>
              <w:rPr>
                <w:sz w:val="18"/>
                <w:szCs w:val="18"/>
              </w:rPr>
            </w:pPr>
            <w:r w:rsidRPr="00CC5E23">
              <w:rPr>
                <w:sz w:val="18"/>
                <w:szCs w:val="18"/>
              </w:rPr>
              <w:t>3. Las organizaciones realizan evaluaciones creíbles y útiles y comunican las constataciones, conclusiones y recomendaciones a las partes interesadas</w:t>
            </w:r>
            <w:r>
              <w:rPr>
                <w:sz w:val="18"/>
                <w:szCs w:val="18"/>
              </w:rPr>
              <w:t>.</w:t>
            </w:r>
          </w:p>
        </w:tc>
        <w:tc>
          <w:tcPr>
            <w:tcW w:w="3827" w:type="dxa"/>
          </w:tcPr>
          <w:p w14:paraId="690FC7F5" w14:textId="77777777" w:rsidR="00053768" w:rsidRPr="00CC5E23" w:rsidRDefault="00053768" w:rsidP="004707EA">
            <w:pPr>
              <w:pStyle w:val="Tabletext"/>
              <w:rPr>
                <w:sz w:val="18"/>
                <w:szCs w:val="18"/>
              </w:rPr>
            </w:pPr>
            <w:r w:rsidRPr="00CC5E23">
              <w:rPr>
                <w:sz w:val="18"/>
                <w:szCs w:val="18"/>
              </w:rPr>
              <w:t>Función de evaluación</w:t>
            </w:r>
          </w:p>
        </w:tc>
        <w:tc>
          <w:tcPr>
            <w:tcW w:w="851" w:type="dxa"/>
            <w:vAlign w:val="center"/>
          </w:tcPr>
          <w:p w14:paraId="1D76F8EB" w14:textId="77777777" w:rsidR="00053768" w:rsidRPr="00CC5E23" w:rsidRDefault="00053768" w:rsidP="004707EA">
            <w:pPr>
              <w:pStyle w:val="Tabletext"/>
              <w:jc w:val="center"/>
              <w:rPr>
                <w:sz w:val="18"/>
                <w:szCs w:val="18"/>
              </w:rPr>
            </w:pPr>
            <w:r w:rsidRPr="00CC5E23">
              <w:rPr>
                <w:sz w:val="18"/>
                <w:szCs w:val="18"/>
              </w:rPr>
              <w:t>En curso</w:t>
            </w:r>
          </w:p>
        </w:tc>
        <w:tc>
          <w:tcPr>
            <w:tcW w:w="6379" w:type="dxa"/>
            <w:vAlign w:val="center"/>
          </w:tcPr>
          <w:p w14:paraId="78380CF6" w14:textId="37FBF4EA" w:rsidR="00053768" w:rsidRPr="00CC5E23" w:rsidRDefault="00053768" w:rsidP="004707EA">
            <w:pPr>
              <w:pStyle w:val="Tabletext"/>
              <w:rPr>
                <w:sz w:val="18"/>
                <w:szCs w:val="18"/>
              </w:rPr>
            </w:pPr>
            <w:r w:rsidRPr="00CC5E23">
              <w:rPr>
                <w:sz w:val="18"/>
                <w:szCs w:val="18"/>
              </w:rPr>
              <w:t xml:space="preserve">Se </w:t>
            </w:r>
            <w:r>
              <w:rPr>
                <w:sz w:val="18"/>
                <w:szCs w:val="18"/>
              </w:rPr>
              <w:t>ha llevado</w:t>
            </w:r>
            <w:r w:rsidRPr="00CC5E23">
              <w:rPr>
                <w:sz w:val="18"/>
                <w:szCs w:val="18"/>
              </w:rPr>
              <w:t xml:space="preserve"> a cabo un</w:t>
            </w:r>
            <w:r>
              <w:rPr>
                <w:sz w:val="18"/>
                <w:szCs w:val="18"/>
              </w:rPr>
              <w:t>a evaluación del</w:t>
            </w:r>
            <w:r w:rsidRPr="00CC5E23">
              <w:rPr>
                <w:sz w:val="18"/>
                <w:szCs w:val="18"/>
              </w:rPr>
              <w:t xml:space="preserve"> estudio de viabilidad de la UIT</w:t>
            </w:r>
            <w:r>
              <w:rPr>
                <w:sz w:val="18"/>
                <w:szCs w:val="18"/>
              </w:rPr>
              <w:t>: se han desarrollado una</w:t>
            </w:r>
            <w:r w:rsidRPr="00CC5E23">
              <w:rPr>
                <w:sz w:val="18"/>
                <w:szCs w:val="18"/>
              </w:rPr>
              <w:t xml:space="preserve"> política de evaluación, directrices</w:t>
            </w:r>
            <w:r>
              <w:rPr>
                <w:sz w:val="18"/>
                <w:szCs w:val="18"/>
              </w:rPr>
              <w:t xml:space="preserve"> y</w:t>
            </w:r>
            <w:r w:rsidRPr="00CC5E23">
              <w:rPr>
                <w:sz w:val="18"/>
                <w:szCs w:val="18"/>
              </w:rPr>
              <w:t xml:space="preserve"> plan</w:t>
            </w:r>
            <w:r>
              <w:rPr>
                <w:sz w:val="18"/>
                <w:szCs w:val="18"/>
              </w:rPr>
              <w:t>es</w:t>
            </w:r>
            <w:r w:rsidRPr="00CC5E23">
              <w:rPr>
                <w:sz w:val="18"/>
                <w:szCs w:val="18"/>
              </w:rPr>
              <w:t xml:space="preserve"> de trabajo</w:t>
            </w:r>
            <w:r>
              <w:rPr>
                <w:sz w:val="18"/>
                <w:szCs w:val="18"/>
              </w:rPr>
              <w:t>,</w:t>
            </w:r>
            <w:r w:rsidRPr="00CC5E23">
              <w:rPr>
                <w:sz w:val="18"/>
                <w:szCs w:val="18"/>
              </w:rPr>
              <w:t xml:space="preserve"> y </w:t>
            </w:r>
            <w:r>
              <w:rPr>
                <w:sz w:val="18"/>
                <w:szCs w:val="18"/>
              </w:rPr>
              <w:t>se pondrá en marcha</w:t>
            </w:r>
            <w:r w:rsidRPr="00CC5E23">
              <w:rPr>
                <w:sz w:val="18"/>
                <w:szCs w:val="18"/>
              </w:rPr>
              <w:t xml:space="preserve"> un proyecto piloto de evaluación</w:t>
            </w:r>
            <w:r>
              <w:rPr>
                <w:sz w:val="18"/>
                <w:szCs w:val="18"/>
              </w:rPr>
              <w:t>.</w:t>
            </w:r>
          </w:p>
        </w:tc>
      </w:tr>
      <w:tr w:rsidR="00053768" w:rsidRPr="00CC5E23" w14:paraId="40EACBA8" w14:textId="77777777" w:rsidTr="007F67ED">
        <w:trPr>
          <w:trHeight w:val="576"/>
        </w:trPr>
        <w:tc>
          <w:tcPr>
            <w:tcW w:w="3544" w:type="dxa"/>
            <w:vMerge w:val="restart"/>
          </w:tcPr>
          <w:p w14:paraId="17F1D592" w14:textId="77777777" w:rsidR="00053768" w:rsidRPr="00CC5E23" w:rsidRDefault="00053768" w:rsidP="004707EA">
            <w:pPr>
              <w:pStyle w:val="Tabletext"/>
              <w:rPr>
                <w:sz w:val="18"/>
                <w:szCs w:val="18"/>
              </w:rPr>
            </w:pPr>
            <w:r w:rsidRPr="00CC5E23">
              <w:rPr>
                <w:sz w:val="18"/>
                <w:szCs w:val="18"/>
              </w:rPr>
              <w:t>4. Las organizaciones han establecido una política de divulgación de información que aplican de forma efectiva y por la que se comunican periódicamente los resultados de las actividades de la organización a los órganos legislativos, los Estados miembros y otros interesados, en particular los donantes, los beneficiarios y el público en general</w:t>
            </w:r>
            <w:r>
              <w:rPr>
                <w:sz w:val="18"/>
                <w:szCs w:val="18"/>
              </w:rPr>
              <w:t>.</w:t>
            </w:r>
          </w:p>
        </w:tc>
        <w:tc>
          <w:tcPr>
            <w:tcW w:w="3827" w:type="dxa"/>
          </w:tcPr>
          <w:p w14:paraId="339AFD15" w14:textId="77777777" w:rsidR="00053768" w:rsidRPr="00CC5E23" w:rsidRDefault="00053768" w:rsidP="004707EA">
            <w:pPr>
              <w:pStyle w:val="Tabletext"/>
              <w:rPr>
                <w:sz w:val="18"/>
                <w:szCs w:val="18"/>
              </w:rPr>
            </w:pPr>
            <w:r w:rsidRPr="00CC5E23">
              <w:rPr>
                <w:sz w:val="18"/>
                <w:szCs w:val="18"/>
              </w:rPr>
              <w:t>Política de divulgación de información</w:t>
            </w:r>
          </w:p>
        </w:tc>
        <w:tc>
          <w:tcPr>
            <w:tcW w:w="851" w:type="dxa"/>
            <w:vAlign w:val="center"/>
          </w:tcPr>
          <w:p w14:paraId="5BEBED90"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restart"/>
            <w:vAlign w:val="center"/>
          </w:tcPr>
          <w:p w14:paraId="05058C7A" w14:textId="4C722192" w:rsidR="00053768" w:rsidRPr="00CC5E23" w:rsidRDefault="00053768" w:rsidP="004707EA">
            <w:pPr>
              <w:pStyle w:val="Tabletext"/>
              <w:rPr>
                <w:sz w:val="18"/>
                <w:szCs w:val="18"/>
              </w:rPr>
            </w:pPr>
            <w:r w:rsidRPr="00CC5E23">
              <w:rPr>
                <w:sz w:val="18"/>
                <w:szCs w:val="18"/>
              </w:rPr>
              <w:t>Con el ánimo de conseguir una mayor transparencia en la rendición de cuentas, el Consejo de la UIT adoptó en su reunión de 2016 una política de acceso a la información y los documentos de la UIT que "asegura que el público pueda acceder a la información guardada, gestionada o generada por la UIT"; esta política entrará en vigor el 1</w:t>
            </w:r>
            <w:r w:rsidR="00381DC3">
              <w:rPr>
                <w:rFonts w:cs="Calibri"/>
                <w:sz w:val="18"/>
                <w:szCs w:val="18"/>
              </w:rPr>
              <w:t> </w:t>
            </w:r>
            <w:r w:rsidRPr="00CC5E23">
              <w:rPr>
                <w:sz w:val="18"/>
                <w:szCs w:val="18"/>
              </w:rPr>
              <w:t>de enero de 2017 con carácter provisional.</w:t>
            </w:r>
          </w:p>
        </w:tc>
      </w:tr>
      <w:tr w:rsidR="00053768" w:rsidRPr="00CC5E23" w14:paraId="15313606" w14:textId="77777777" w:rsidTr="007F67ED">
        <w:tc>
          <w:tcPr>
            <w:tcW w:w="3544" w:type="dxa"/>
            <w:vMerge/>
          </w:tcPr>
          <w:p w14:paraId="0A93D3BC" w14:textId="77777777" w:rsidR="00053768" w:rsidRPr="00CC5E23" w:rsidRDefault="00053768" w:rsidP="004707EA">
            <w:pPr>
              <w:pStyle w:val="Tabletext"/>
              <w:rPr>
                <w:sz w:val="18"/>
                <w:szCs w:val="18"/>
              </w:rPr>
            </w:pPr>
          </w:p>
        </w:tc>
        <w:tc>
          <w:tcPr>
            <w:tcW w:w="3827" w:type="dxa"/>
          </w:tcPr>
          <w:p w14:paraId="642E95C2" w14:textId="77777777" w:rsidR="00053768" w:rsidRPr="00CC5E23" w:rsidRDefault="00053768" w:rsidP="004707EA">
            <w:pPr>
              <w:pStyle w:val="Tabletext"/>
              <w:rPr>
                <w:sz w:val="18"/>
                <w:szCs w:val="18"/>
              </w:rPr>
            </w:pPr>
            <w:r w:rsidRPr="00CC5E23">
              <w:rPr>
                <w:sz w:val="18"/>
                <w:szCs w:val="18"/>
              </w:rPr>
              <w:t>Resultados de las evaluaciones y auditorías</w:t>
            </w:r>
          </w:p>
        </w:tc>
        <w:tc>
          <w:tcPr>
            <w:tcW w:w="851" w:type="dxa"/>
            <w:vAlign w:val="center"/>
          </w:tcPr>
          <w:p w14:paraId="6A3411BC" w14:textId="6D021375" w:rsidR="00053768" w:rsidRPr="00CC5E23" w:rsidRDefault="00053768" w:rsidP="004707EA">
            <w:pPr>
              <w:pStyle w:val="Tabletext"/>
              <w:jc w:val="center"/>
              <w:rPr>
                <w:sz w:val="18"/>
                <w:szCs w:val="18"/>
              </w:rPr>
            </w:pPr>
            <w:r>
              <w:rPr>
                <w:sz w:val="18"/>
                <w:szCs w:val="18"/>
              </w:rPr>
              <w:t>En curso</w:t>
            </w:r>
          </w:p>
        </w:tc>
        <w:tc>
          <w:tcPr>
            <w:tcW w:w="6379" w:type="dxa"/>
            <w:vMerge/>
            <w:vAlign w:val="center"/>
          </w:tcPr>
          <w:p w14:paraId="6A994677" w14:textId="77777777" w:rsidR="00053768" w:rsidRPr="00CC5E23" w:rsidRDefault="00053768" w:rsidP="004707EA">
            <w:pPr>
              <w:pStyle w:val="Tabletext"/>
              <w:rPr>
                <w:sz w:val="18"/>
                <w:szCs w:val="18"/>
              </w:rPr>
            </w:pPr>
          </w:p>
        </w:tc>
      </w:tr>
      <w:tr w:rsidR="00053768" w:rsidRPr="00CC5E23" w14:paraId="0E6E1E84" w14:textId="77777777" w:rsidTr="007F67ED">
        <w:tc>
          <w:tcPr>
            <w:tcW w:w="3544" w:type="dxa"/>
            <w:vMerge/>
          </w:tcPr>
          <w:p w14:paraId="1BF24226" w14:textId="77777777" w:rsidR="00053768" w:rsidRPr="00CC5E23" w:rsidRDefault="00053768" w:rsidP="004707EA">
            <w:pPr>
              <w:pStyle w:val="Tabletext"/>
              <w:rPr>
                <w:sz w:val="18"/>
                <w:szCs w:val="18"/>
              </w:rPr>
            </w:pPr>
          </w:p>
        </w:tc>
        <w:tc>
          <w:tcPr>
            <w:tcW w:w="3827" w:type="dxa"/>
          </w:tcPr>
          <w:p w14:paraId="37E06799" w14:textId="77777777" w:rsidR="00053768" w:rsidRPr="00CC5E23" w:rsidRDefault="00053768" w:rsidP="004707EA">
            <w:pPr>
              <w:pStyle w:val="Tabletext"/>
              <w:rPr>
                <w:sz w:val="18"/>
                <w:szCs w:val="18"/>
              </w:rPr>
            </w:pPr>
            <w:r w:rsidRPr="00CC5E23">
              <w:rPr>
                <w:sz w:val="18"/>
                <w:szCs w:val="18"/>
              </w:rPr>
              <w:t>Informes financieros anuales consolidados</w:t>
            </w:r>
          </w:p>
        </w:tc>
        <w:tc>
          <w:tcPr>
            <w:tcW w:w="851" w:type="dxa"/>
            <w:vAlign w:val="center"/>
          </w:tcPr>
          <w:p w14:paraId="36F33079"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379" w:type="dxa"/>
            <w:vMerge w:val="restart"/>
            <w:vAlign w:val="center"/>
          </w:tcPr>
          <w:p w14:paraId="2A976E45" w14:textId="77777777" w:rsidR="00053768" w:rsidRPr="00CC5E23" w:rsidRDefault="00053768" w:rsidP="004707EA">
            <w:pPr>
              <w:pStyle w:val="Tabletext"/>
              <w:rPr>
                <w:sz w:val="18"/>
                <w:szCs w:val="18"/>
              </w:rPr>
            </w:pPr>
            <w:r w:rsidRPr="00CC5E23">
              <w:rPr>
                <w:sz w:val="18"/>
                <w:szCs w:val="18"/>
              </w:rPr>
              <w:t>Se presentan al Consejo informes anuales consolidados</w:t>
            </w:r>
            <w:r>
              <w:rPr>
                <w:sz w:val="18"/>
                <w:szCs w:val="18"/>
              </w:rPr>
              <w:t>. Se facilitan a los miembros informes trimestrales sobre los avances.</w:t>
            </w:r>
          </w:p>
        </w:tc>
      </w:tr>
      <w:tr w:rsidR="00053768" w:rsidRPr="00CC5E23" w14:paraId="4ADB1444" w14:textId="77777777" w:rsidTr="007F67ED">
        <w:tc>
          <w:tcPr>
            <w:tcW w:w="3544" w:type="dxa"/>
            <w:vMerge/>
          </w:tcPr>
          <w:p w14:paraId="31957270" w14:textId="77777777" w:rsidR="00053768" w:rsidRPr="00CC5E23" w:rsidRDefault="00053768" w:rsidP="004707EA">
            <w:pPr>
              <w:spacing w:before="40" w:after="40"/>
              <w:rPr>
                <w:sz w:val="18"/>
                <w:szCs w:val="18"/>
              </w:rPr>
            </w:pPr>
          </w:p>
        </w:tc>
        <w:tc>
          <w:tcPr>
            <w:tcW w:w="3827" w:type="dxa"/>
          </w:tcPr>
          <w:p w14:paraId="4D540D46" w14:textId="77777777" w:rsidR="00053768" w:rsidRPr="00CC5E23" w:rsidRDefault="00053768" w:rsidP="004707EA">
            <w:pPr>
              <w:spacing w:before="40" w:after="40"/>
              <w:rPr>
                <w:sz w:val="18"/>
                <w:szCs w:val="18"/>
              </w:rPr>
            </w:pPr>
            <w:r w:rsidRPr="00CC5E23">
              <w:rPr>
                <w:sz w:val="18"/>
                <w:szCs w:val="18"/>
              </w:rPr>
              <w:t>Resultados de los programas</w:t>
            </w:r>
          </w:p>
        </w:tc>
        <w:tc>
          <w:tcPr>
            <w:tcW w:w="851" w:type="dxa"/>
            <w:vAlign w:val="center"/>
          </w:tcPr>
          <w:p w14:paraId="2C8E276C" w14:textId="77777777" w:rsidR="00053768" w:rsidRPr="00CC5E23" w:rsidRDefault="00053768" w:rsidP="004707EA">
            <w:pPr>
              <w:spacing w:before="40" w:after="40"/>
              <w:jc w:val="center"/>
              <w:rPr>
                <w:sz w:val="18"/>
                <w:szCs w:val="18"/>
              </w:rPr>
            </w:pPr>
            <w:r w:rsidRPr="00CC5E23">
              <w:rPr>
                <w:sz w:val="18"/>
                <w:szCs w:val="18"/>
              </w:rPr>
              <w:sym w:font="Wingdings" w:char="F0FC"/>
            </w:r>
          </w:p>
        </w:tc>
        <w:tc>
          <w:tcPr>
            <w:tcW w:w="6379" w:type="dxa"/>
            <w:vMerge/>
          </w:tcPr>
          <w:p w14:paraId="648B30C6" w14:textId="77777777" w:rsidR="00053768" w:rsidRPr="00CC5E23" w:rsidRDefault="00053768" w:rsidP="004707EA">
            <w:pPr>
              <w:spacing w:before="40" w:after="40"/>
              <w:rPr>
                <w:sz w:val="18"/>
                <w:szCs w:val="18"/>
              </w:rPr>
            </w:pPr>
          </w:p>
        </w:tc>
      </w:tr>
    </w:tbl>
    <w:p w14:paraId="4C1F4F0D" w14:textId="77777777" w:rsidR="00053768" w:rsidRPr="00E70501" w:rsidRDefault="00053768" w:rsidP="007F67ED">
      <w:pPr>
        <w:pStyle w:val="Headingb"/>
        <w:spacing w:after="120"/>
      </w:pPr>
      <w:r w:rsidRPr="00E70501">
        <w:lastRenderedPageBreak/>
        <w:t>Pilar 2</w:t>
      </w:r>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053768" w:rsidRPr="00CC5E23" w14:paraId="552CED24" w14:textId="77777777" w:rsidTr="004707EA">
        <w:trPr>
          <w:tblHeader/>
        </w:trPr>
        <w:tc>
          <w:tcPr>
            <w:tcW w:w="2977" w:type="dxa"/>
            <w:shd w:val="clear" w:color="auto" w:fill="B8CCE4" w:themeFill="accent1" w:themeFillTint="66"/>
          </w:tcPr>
          <w:p w14:paraId="682872F9" w14:textId="77777777" w:rsidR="00053768" w:rsidRPr="00CC5E23" w:rsidRDefault="00053768" w:rsidP="004707EA">
            <w:pPr>
              <w:pStyle w:val="Tablehead"/>
              <w:rPr>
                <w:sz w:val="18"/>
                <w:szCs w:val="18"/>
              </w:rPr>
            </w:pPr>
            <w:r w:rsidRPr="00CC5E23">
              <w:rPr>
                <w:sz w:val="18"/>
                <w:szCs w:val="18"/>
              </w:rPr>
              <w:t>Criterio</w:t>
            </w:r>
          </w:p>
        </w:tc>
        <w:tc>
          <w:tcPr>
            <w:tcW w:w="3969" w:type="dxa"/>
            <w:shd w:val="clear" w:color="auto" w:fill="B8CCE4" w:themeFill="accent1" w:themeFillTint="66"/>
          </w:tcPr>
          <w:p w14:paraId="72CF9EB5" w14:textId="77777777" w:rsidR="00053768" w:rsidRPr="00CC5E23" w:rsidRDefault="00053768" w:rsidP="004707EA">
            <w:pPr>
              <w:pStyle w:val="Tablehead"/>
              <w:rPr>
                <w:sz w:val="18"/>
                <w:szCs w:val="18"/>
              </w:rPr>
            </w:pPr>
            <w:r w:rsidRPr="00CC5E23">
              <w:rPr>
                <w:sz w:val="18"/>
                <w:szCs w:val="18"/>
              </w:rPr>
              <w:t>Instrumentos</w:t>
            </w:r>
          </w:p>
        </w:tc>
        <w:tc>
          <w:tcPr>
            <w:tcW w:w="1134" w:type="dxa"/>
            <w:shd w:val="clear" w:color="auto" w:fill="B8CCE4" w:themeFill="accent1" w:themeFillTint="66"/>
          </w:tcPr>
          <w:p w14:paraId="2208874F" w14:textId="77777777" w:rsidR="00053768" w:rsidRPr="00CC5E23" w:rsidRDefault="00053768" w:rsidP="004707EA">
            <w:pPr>
              <w:pStyle w:val="Tablehead"/>
              <w:rPr>
                <w:sz w:val="18"/>
                <w:szCs w:val="18"/>
              </w:rPr>
            </w:pPr>
            <w:r w:rsidRPr="00CC5E23">
              <w:rPr>
                <w:sz w:val="18"/>
                <w:szCs w:val="18"/>
              </w:rPr>
              <w:t>Estado</w:t>
            </w:r>
          </w:p>
        </w:tc>
        <w:tc>
          <w:tcPr>
            <w:tcW w:w="6522" w:type="dxa"/>
            <w:shd w:val="clear" w:color="auto" w:fill="B8CCE4" w:themeFill="accent1" w:themeFillTint="66"/>
          </w:tcPr>
          <w:p w14:paraId="3C3B976C" w14:textId="77777777" w:rsidR="00053768" w:rsidRPr="00CC5E23" w:rsidRDefault="00053768" w:rsidP="004707EA">
            <w:pPr>
              <w:pStyle w:val="Tablehead"/>
              <w:rPr>
                <w:sz w:val="18"/>
                <w:szCs w:val="18"/>
              </w:rPr>
            </w:pPr>
            <w:r w:rsidRPr="00CC5E23">
              <w:rPr>
                <w:sz w:val="18"/>
                <w:szCs w:val="18"/>
              </w:rPr>
              <w:t>Observaciones</w:t>
            </w:r>
          </w:p>
        </w:tc>
      </w:tr>
      <w:tr w:rsidR="00053768" w:rsidRPr="00CC5E23" w14:paraId="3FA8C545" w14:textId="77777777" w:rsidTr="004707EA">
        <w:tc>
          <w:tcPr>
            <w:tcW w:w="2977" w:type="dxa"/>
            <w:vMerge w:val="restart"/>
          </w:tcPr>
          <w:p w14:paraId="37924EED" w14:textId="77777777" w:rsidR="00053768" w:rsidRPr="00CC5E23" w:rsidRDefault="00053768" w:rsidP="004707EA">
            <w:pPr>
              <w:pStyle w:val="Tabletext"/>
              <w:rPr>
                <w:sz w:val="18"/>
                <w:szCs w:val="18"/>
              </w:rPr>
            </w:pPr>
            <w:r w:rsidRPr="00CC5E23">
              <w:rPr>
                <w:sz w:val="18"/>
                <w:szCs w:val="18"/>
              </w:rPr>
              <w:t>5. Existen y se aplican políticas en materia de conducta ética, integridad y lucha contra la corrupción y el fraude</w:t>
            </w:r>
            <w:r>
              <w:rPr>
                <w:sz w:val="18"/>
                <w:szCs w:val="18"/>
              </w:rPr>
              <w:t>.</w:t>
            </w:r>
          </w:p>
        </w:tc>
        <w:tc>
          <w:tcPr>
            <w:tcW w:w="3969" w:type="dxa"/>
          </w:tcPr>
          <w:p w14:paraId="02EAB391" w14:textId="77777777" w:rsidR="00053768" w:rsidRPr="00CC5E23" w:rsidRDefault="00053768" w:rsidP="004707EA">
            <w:pPr>
              <w:pStyle w:val="Tabletext"/>
              <w:rPr>
                <w:sz w:val="18"/>
                <w:szCs w:val="18"/>
              </w:rPr>
            </w:pPr>
            <w:r w:rsidRPr="00CC5E23">
              <w:rPr>
                <w:sz w:val="18"/>
                <w:szCs w:val="18"/>
              </w:rPr>
              <w:t>Reglamentos y códigos de conducta para el personal, incluidas normas referentes al acoso</w:t>
            </w:r>
          </w:p>
        </w:tc>
        <w:tc>
          <w:tcPr>
            <w:tcW w:w="1134" w:type="dxa"/>
            <w:vAlign w:val="center"/>
          </w:tcPr>
          <w:p w14:paraId="00F77083"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val="restart"/>
            <w:vAlign w:val="center"/>
          </w:tcPr>
          <w:p w14:paraId="44C61001" w14:textId="77777777" w:rsidR="0085781E" w:rsidRDefault="00053768" w:rsidP="004707EA">
            <w:pPr>
              <w:pStyle w:val="Tabletext"/>
              <w:rPr>
                <w:sz w:val="18"/>
                <w:szCs w:val="18"/>
              </w:rPr>
            </w:pPr>
            <w:r>
              <w:rPr>
                <w:sz w:val="18"/>
                <w:szCs w:val="18"/>
              </w:rPr>
              <w:t xml:space="preserve">La </w:t>
            </w:r>
            <w:r w:rsidRPr="009649F3">
              <w:rPr>
                <w:sz w:val="18"/>
                <w:szCs w:val="18"/>
              </w:rPr>
              <w:t>Política de la UIT sobre acoso y abuso de autoridad</w:t>
            </w:r>
            <w:r>
              <w:rPr>
                <w:sz w:val="18"/>
                <w:szCs w:val="18"/>
              </w:rPr>
              <w:t>, Orden de Servicio núm. 19/08, abarca también el acoso sexual. La política se introdujo el 2 de mayo de 2019.</w:t>
            </w:r>
          </w:p>
          <w:p w14:paraId="2FA3F2DD" w14:textId="29350C92" w:rsidR="00053768" w:rsidRPr="00CC5E23" w:rsidRDefault="00053768" w:rsidP="004707EA">
            <w:pPr>
              <w:pStyle w:val="Tabletext"/>
              <w:rPr>
                <w:sz w:val="18"/>
                <w:szCs w:val="18"/>
              </w:rPr>
            </w:pPr>
            <w:r>
              <w:rPr>
                <w:sz w:val="18"/>
                <w:szCs w:val="18"/>
              </w:rPr>
              <w:t>En 2019 se contrató al nuevo Oficial de Ética.</w:t>
            </w:r>
          </w:p>
        </w:tc>
      </w:tr>
      <w:tr w:rsidR="00053768" w:rsidRPr="00CC5E23" w14:paraId="21E135B8" w14:textId="77777777" w:rsidTr="004707EA">
        <w:tc>
          <w:tcPr>
            <w:tcW w:w="2977" w:type="dxa"/>
            <w:vMerge/>
          </w:tcPr>
          <w:p w14:paraId="48A4CF94" w14:textId="77777777" w:rsidR="00053768" w:rsidRPr="00CC5E23" w:rsidRDefault="00053768" w:rsidP="004707EA">
            <w:pPr>
              <w:pStyle w:val="Tabletext"/>
              <w:rPr>
                <w:sz w:val="18"/>
                <w:szCs w:val="18"/>
              </w:rPr>
            </w:pPr>
          </w:p>
        </w:tc>
        <w:tc>
          <w:tcPr>
            <w:tcW w:w="3969" w:type="dxa"/>
          </w:tcPr>
          <w:p w14:paraId="75BC4B50" w14:textId="77777777" w:rsidR="00053768" w:rsidRPr="00CC5E23" w:rsidRDefault="00053768" w:rsidP="004707EA">
            <w:pPr>
              <w:pStyle w:val="Tabletext"/>
              <w:rPr>
                <w:sz w:val="18"/>
                <w:szCs w:val="18"/>
              </w:rPr>
            </w:pPr>
            <w:r w:rsidRPr="00CC5E23">
              <w:rPr>
                <w:sz w:val="18"/>
                <w:szCs w:val="18"/>
              </w:rPr>
              <w:t>Función de ética</w:t>
            </w:r>
          </w:p>
        </w:tc>
        <w:tc>
          <w:tcPr>
            <w:tcW w:w="1134" w:type="dxa"/>
            <w:vAlign w:val="center"/>
          </w:tcPr>
          <w:p w14:paraId="53A22124"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tcPr>
          <w:p w14:paraId="0DDE3D45" w14:textId="77777777" w:rsidR="00053768" w:rsidRPr="00CC5E23" w:rsidRDefault="00053768" w:rsidP="004707EA">
            <w:pPr>
              <w:pStyle w:val="Tabletext"/>
              <w:rPr>
                <w:sz w:val="18"/>
                <w:szCs w:val="18"/>
              </w:rPr>
            </w:pPr>
          </w:p>
        </w:tc>
      </w:tr>
      <w:tr w:rsidR="00053768" w:rsidRPr="00CC5E23" w14:paraId="23C254FA" w14:textId="77777777" w:rsidTr="004707EA">
        <w:tc>
          <w:tcPr>
            <w:tcW w:w="2977" w:type="dxa"/>
            <w:vMerge/>
          </w:tcPr>
          <w:p w14:paraId="57D6896B" w14:textId="77777777" w:rsidR="00053768" w:rsidRPr="00CC5E23" w:rsidRDefault="00053768" w:rsidP="004707EA">
            <w:pPr>
              <w:pStyle w:val="Tabletext"/>
              <w:rPr>
                <w:sz w:val="18"/>
                <w:szCs w:val="18"/>
              </w:rPr>
            </w:pPr>
          </w:p>
        </w:tc>
        <w:tc>
          <w:tcPr>
            <w:tcW w:w="3969" w:type="dxa"/>
          </w:tcPr>
          <w:p w14:paraId="5C62A2D7" w14:textId="77777777" w:rsidR="00053768" w:rsidRPr="00CC5E23" w:rsidRDefault="00053768" w:rsidP="004707EA">
            <w:pPr>
              <w:pStyle w:val="Tabletext"/>
              <w:rPr>
                <w:sz w:val="18"/>
                <w:szCs w:val="18"/>
              </w:rPr>
            </w:pPr>
            <w:r w:rsidRPr="00CC5E23">
              <w:rPr>
                <w:sz w:val="18"/>
                <w:szCs w:val="18"/>
              </w:rPr>
              <w:t>Política en materia de obsequios, distinciones y atenciones sociales</w:t>
            </w:r>
          </w:p>
        </w:tc>
        <w:tc>
          <w:tcPr>
            <w:tcW w:w="1134" w:type="dxa"/>
            <w:vAlign w:val="center"/>
          </w:tcPr>
          <w:p w14:paraId="4F0DEB32" w14:textId="480BF09A" w:rsidR="00053768" w:rsidRPr="00CC5E23" w:rsidRDefault="00053768" w:rsidP="004707EA">
            <w:pPr>
              <w:pStyle w:val="Tabletext"/>
              <w:jc w:val="center"/>
              <w:rPr>
                <w:sz w:val="18"/>
                <w:szCs w:val="18"/>
              </w:rPr>
            </w:pPr>
            <w:r w:rsidRPr="00CC5E23">
              <w:rPr>
                <w:sz w:val="18"/>
                <w:szCs w:val="18"/>
              </w:rPr>
              <w:sym w:font="Wingdings" w:char="F0FC"/>
            </w:r>
          </w:p>
        </w:tc>
        <w:tc>
          <w:tcPr>
            <w:tcW w:w="6522" w:type="dxa"/>
          </w:tcPr>
          <w:p w14:paraId="6404B5E1" w14:textId="517EB27C" w:rsidR="00053768" w:rsidRPr="00CC5E23" w:rsidRDefault="00053768" w:rsidP="004707EA">
            <w:pPr>
              <w:pStyle w:val="Tabletext"/>
              <w:rPr>
                <w:sz w:val="18"/>
                <w:szCs w:val="18"/>
              </w:rPr>
            </w:pPr>
            <w:r w:rsidRPr="009649F3">
              <w:rPr>
                <w:sz w:val="18"/>
                <w:szCs w:val="18"/>
              </w:rPr>
              <w:t>Incluido en</w:t>
            </w:r>
            <w:r>
              <w:rPr>
                <w:sz w:val="18"/>
                <w:szCs w:val="18"/>
              </w:rPr>
              <w:t xml:space="preserve"> los</w:t>
            </w:r>
            <w:r w:rsidRPr="009649F3">
              <w:rPr>
                <w:sz w:val="18"/>
                <w:szCs w:val="18"/>
              </w:rPr>
              <w:t xml:space="preserve"> </w:t>
            </w:r>
            <w:r w:rsidRPr="00535056">
              <w:rPr>
                <w:sz w:val="18"/>
                <w:szCs w:val="18"/>
              </w:rPr>
              <w:t xml:space="preserve">Estatutos y Reglamento </w:t>
            </w:r>
            <w:r w:rsidRPr="009649F3">
              <w:rPr>
                <w:sz w:val="18"/>
                <w:szCs w:val="18"/>
              </w:rPr>
              <w:t xml:space="preserve">del Personal de la UIT, el Código de Ética para el Personal de la UIT y las Normas de Conducta de la </w:t>
            </w:r>
            <w:r>
              <w:rPr>
                <w:sz w:val="18"/>
                <w:szCs w:val="18"/>
              </w:rPr>
              <w:t xml:space="preserve">Administración </w:t>
            </w:r>
            <w:r w:rsidRPr="009649F3">
              <w:rPr>
                <w:sz w:val="18"/>
                <w:szCs w:val="18"/>
              </w:rPr>
              <w:t xml:space="preserve">Pública Internacional; </w:t>
            </w:r>
            <w:r>
              <w:rPr>
                <w:sz w:val="18"/>
                <w:szCs w:val="18"/>
              </w:rPr>
              <w:t xml:space="preserve">en 2020 </w:t>
            </w:r>
            <w:r w:rsidRPr="009649F3">
              <w:rPr>
                <w:sz w:val="18"/>
                <w:szCs w:val="18"/>
              </w:rPr>
              <w:t xml:space="preserve">se </w:t>
            </w:r>
            <w:r>
              <w:rPr>
                <w:sz w:val="18"/>
                <w:szCs w:val="18"/>
              </w:rPr>
              <w:t>elaborará</w:t>
            </w:r>
            <w:r w:rsidRPr="009649F3">
              <w:rPr>
                <w:sz w:val="18"/>
                <w:szCs w:val="18"/>
              </w:rPr>
              <w:t xml:space="preserve"> una nueva política sobre regalos y atenciones sociales</w:t>
            </w:r>
            <w:r w:rsidR="00381DC3">
              <w:rPr>
                <w:sz w:val="18"/>
                <w:szCs w:val="18"/>
              </w:rPr>
              <w:t>.</w:t>
            </w:r>
          </w:p>
        </w:tc>
      </w:tr>
      <w:tr w:rsidR="00053768" w:rsidRPr="00CC5E23" w14:paraId="49ADADD8" w14:textId="77777777" w:rsidTr="004707EA">
        <w:tc>
          <w:tcPr>
            <w:tcW w:w="2977" w:type="dxa"/>
            <w:vMerge/>
          </w:tcPr>
          <w:p w14:paraId="7142C54C" w14:textId="77777777" w:rsidR="00053768" w:rsidRPr="00CC5E23" w:rsidRDefault="00053768" w:rsidP="004707EA">
            <w:pPr>
              <w:pStyle w:val="Tabletext"/>
              <w:rPr>
                <w:sz w:val="18"/>
                <w:szCs w:val="18"/>
              </w:rPr>
            </w:pPr>
          </w:p>
        </w:tc>
        <w:tc>
          <w:tcPr>
            <w:tcW w:w="3969" w:type="dxa"/>
          </w:tcPr>
          <w:p w14:paraId="2997E394" w14:textId="77777777" w:rsidR="00053768" w:rsidRPr="00CC5E23" w:rsidRDefault="00053768" w:rsidP="004707EA">
            <w:pPr>
              <w:pStyle w:val="Tabletext"/>
              <w:rPr>
                <w:sz w:val="18"/>
                <w:szCs w:val="18"/>
              </w:rPr>
            </w:pPr>
            <w:r w:rsidRPr="00CC5E23">
              <w:rPr>
                <w:sz w:val="18"/>
                <w:szCs w:val="18"/>
              </w:rPr>
              <w:t>Protección contra represalias por la denuncia de faltas de conducta (política de protección de los denunciantes de irregularidades)</w:t>
            </w:r>
          </w:p>
        </w:tc>
        <w:tc>
          <w:tcPr>
            <w:tcW w:w="1134" w:type="dxa"/>
            <w:vAlign w:val="center"/>
          </w:tcPr>
          <w:p w14:paraId="43027F0E"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val="restart"/>
          </w:tcPr>
          <w:p w14:paraId="51D11134" w14:textId="3FEC830F" w:rsidR="00053768" w:rsidRDefault="00053768" w:rsidP="004707EA">
            <w:pPr>
              <w:pStyle w:val="Tabletext"/>
              <w:rPr>
                <w:sz w:val="18"/>
                <w:szCs w:val="18"/>
              </w:rPr>
            </w:pPr>
            <w:r w:rsidRPr="00CC5E23">
              <w:rPr>
                <w:sz w:val="18"/>
                <w:szCs w:val="18"/>
              </w:rPr>
              <w:t xml:space="preserve">Estos temas se están examinando en vista de los exámenes que está realizando la Dependencia Común de Inspección en relación con los conflictos de intereses y </w:t>
            </w:r>
            <w:r>
              <w:rPr>
                <w:sz w:val="18"/>
                <w:szCs w:val="18"/>
              </w:rPr>
              <w:t>la</w:t>
            </w:r>
            <w:r w:rsidRPr="00CC5E23">
              <w:rPr>
                <w:sz w:val="18"/>
                <w:szCs w:val="18"/>
              </w:rPr>
              <w:t xml:space="preserve"> protección de delatores</w:t>
            </w:r>
            <w:r>
              <w:rPr>
                <w:sz w:val="18"/>
                <w:szCs w:val="18"/>
              </w:rPr>
              <w:t>.</w:t>
            </w:r>
          </w:p>
          <w:p w14:paraId="5C8DDEEA" w14:textId="77777777" w:rsidR="00053768" w:rsidRPr="00CC5E23" w:rsidRDefault="00053768" w:rsidP="004707EA">
            <w:pPr>
              <w:pStyle w:val="Tabletext"/>
              <w:rPr>
                <w:sz w:val="18"/>
                <w:szCs w:val="18"/>
              </w:rPr>
            </w:pPr>
            <w:r w:rsidRPr="00535056">
              <w:rPr>
                <w:sz w:val="18"/>
                <w:szCs w:val="18"/>
              </w:rPr>
              <w:t xml:space="preserve">Se han elaborado muchos instrumentos, como un nuevo manual y una nueva política de adquisiciones. En 2019 se emitió una orden de servicio sobre las directrices de investigación de la UIT que contiene los procedimientos que deben seguirse en la realización de una investigación, incluidas las medidas para evitar la fuga de información confidencial y garantizar una respuesta rápida a los casos de fraude. Además, el Consejo, mediante </w:t>
            </w:r>
            <w:r>
              <w:rPr>
                <w:sz w:val="18"/>
                <w:szCs w:val="18"/>
              </w:rPr>
              <w:t>el Acuerdo</w:t>
            </w:r>
            <w:r w:rsidRPr="00535056">
              <w:rPr>
                <w:sz w:val="18"/>
                <w:szCs w:val="18"/>
              </w:rPr>
              <w:t xml:space="preserve"> 613, ha decidido realizar una auditoría forense de las actividades financieras y de gestión de la UIT en los últimos 10 años.</w:t>
            </w:r>
          </w:p>
        </w:tc>
      </w:tr>
      <w:tr w:rsidR="00053768" w:rsidRPr="00CC5E23" w14:paraId="087F8ED8" w14:textId="77777777" w:rsidTr="004707EA">
        <w:tc>
          <w:tcPr>
            <w:tcW w:w="2977" w:type="dxa"/>
            <w:vMerge/>
          </w:tcPr>
          <w:p w14:paraId="26F31475" w14:textId="77777777" w:rsidR="00053768" w:rsidRPr="00CC5E23" w:rsidRDefault="00053768" w:rsidP="004707EA">
            <w:pPr>
              <w:pStyle w:val="Tabletext"/>
              <w:rPr>
                <w:sz w:val="18"/>
                <w:szCs w:val="18"/>
              </w:rPr>
            </w:pPr>
          </w:p>
        </w:tc>
        <w:tc>
          <w:tcPr>
            <w:tcW w:w="3969" w:type="dxa"/>
          </w:tcPr>
          <w:p w14:paraId="56648FF0" w14:textId="77777777" w:rsidR="00053768" w:rsidRPr="00CC5E23" w:rsidRDefault="00053768" w:rsidP="004707EA">
            <w:pPr>
              <w:pStyle w:val="Tabletext"/>
              <w:rPr>
                <w:sz w:val="18"/>
                <w:szCs w:val="18"/>
              </w:rPr>
            </w:pPr>
            <w:r w:rsidRPr="00CC5E23">
              <w:rPr>
                <w:sz w:val="18"/>
                <w:szCs w:val="18"/>
              </w:rPr>
              <w:t>Política relativa a las actividades externas (conflicto de intereses)</w:t>
            </w:r>
          </w:p>
        </w:tc>
        <w:tc>
          <w:tcPr>
            <w:tcW w:w="1134" w:type="dxa"/>
            <w:vAlign w:val="center"/>
          </w:tcPr>
          <w:p w14:paraId="6AF2D64F"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tcPr>
          <w:p w14:paraId="011472AA" w14:textId="77777777" w:rsidR="00053768" w:rsidRPr="00CC5E23" w:rsidRDefault="00053768" w:rsidP="004707EA">
            <w:pPr>
              <w:pStyle w:val="Tabletext"/>
              <w:rPr>
                <w:sz w:val="18"/>
                <w:szCs w:val="18"/>
              </w:rPr>
            </w:pPr>
          </w:p>
        </w:tc>
      </w:tr>
      <w:tr w:rsidR="00053768" w:rsidRPr="00CC5E23" w14:paraId="02D94918" w14:textId="77777777" w:rsidTr="004707EA">
        <w:tc>
          <w:tcPr>
            <w:tcW w:w="2977" w:type="dxa"/>
            <w:vMerge/>
          </w:tcPr>
          <w:p w14:paraId="2097B8F5" w14:textId="77777777" w:rsidR="00053768" w:rsidRPr="00CC5E23" w:rsidRDefault="00053768" w:rsidP="004707EA">
            <w:pPr>
              <w:pStyle w:val="Tabletext"/>
              <w:rPr>
                <w:sz w:val="18"/>
                <w:szCs w:val="18"/>
              </w:rPr>
            </w:pPr>
          </w:p>
        </w:tc>
        <w:tc>
          <w:tcPr>
            <w:tcW w:w="3969" w:type="dxa"/>
          </w:tcPr>
          <w:p w14:paraId="779F4EBA" w14:textId="77777777" w:rsidR="00053768" w:rsidRPr="00CC5E23" w:rsidRDefault="00053768" w:rsidP="004707EA">
            <w:pPr>
              <w:pStyle w:val="Tabletext"/>
              <w:rPr>
                <w:sz w:val="18"/>
                <w:szCs w:val="18"/>
              </w:rPr>
            </w:pPr>
            <w:r w:rsidRPr="00CC5E23">
              <w:rPr>
                <w:sz w:val="18"/>
                <w:szCs w:val="18"/>
              </w:rPr>
              <w:t>Política contra el fraude y la corrupción</w:t>
            </w:r>
          </w:p>
        </w:tc>
        <w:tc>
          <w:tcPr>
            <w:tcW w:w="1134" w:type="dxa"/>
          </w:tcPr>
          <w:p w14:paraId="359C3536" w14:textId="6F6CB78E"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tcPr>
          <w:p w14:paraId="44B22F9C" w14:textId="77777777" w:rsidR="00053768" w:rsidRPr="00CC5E23" w:rsidRDefault="00053768" w:rsidP="004707EA">
            <w:pPr>
              <w:pStyle w:val="Tabletext"/>
              <w:rPr>
                <w:sz w:val="18"/>
                <w:szCs w:val="18"/>
                <w:highlight w:val="yellow"/>
              </w:rPr>
            </w:pPr>
          </w:p>
        </w:tc>
      </w:tr>
      <w:tr w:rsidR="00053768" w:rsidRPr="00CC5E23" w14:paraId="165E7C50" w14:textId="77777777" w:rsidTr="004707EA">
        <w:tc>
          <w:tcPr>
            <w:tcW w:w="2977" w:type="dxa"/>
            <w:vMerge/>
          </w:tcPr>
          <w:p w14:paraId="64D5D3E4" w14:textId="77777777" w:rsidR="00053768" w:rsidRPr="00CC5E23" w:rsidRDefault="00053768" w:rsidP="004707EA">
            <w:pPr>
              <w:pStyle w:val="Tabletext"/>
              <w:rPr>
                <w:sz w:val="18"/>
                <w:szCs w:val="18"/>
              </w:rPr>
            </w:pPr>
          </w:p>
        </w:tc>
        <w:tc>
          <w:tcPr>
            <w:tcW w:w="3969" w:type="dxa"/>
          </w:tcPr>
          <w:p w14:paraId="7A2EB82E" w14:textId="77777777" w:rsidR="00053768" w:rsidRPr="00CC5E23" w:rsidRDefault="00053768" w:rsidP="004707EA">
            <w:pPr>
              <w:pStyle w:val="Tabletext"/>
              <w:rPr>
                <w:sz w:val="18"/>
                <w:szCs w:val="18"/>
              </w:rPr>
            </w:pPr>
            <w:r w:rsidRPr="00CC5E23">
              <w:rPr>
                <w:sz w:val="18"/>
                <w:szCs w:val="18"/>
              </w:rPr>
              <w:t>Capacitación.</w:t>
            </w:r>
          </w:p>
        </w:tc>
        <w:tc>
          <w:tcPr>
            <w:tcW w:w="1134" w:type="dxa"/>
          </w:tcPr>
          <w:p w14:paraId="6D5CB232" w14:textId="38CAAC03" w:rsidR="00053768" w:rsidRPr="00CC5E23" w:rsidRDefault="00053768" w:rsidP="004707EA">
            <w:pPr>
              <w:pStyle w:val="Tabletext"/>
              <w:jc w:val="center"/>
              <w:rPr>
                <w:sz w:val="18"/>
                <w:szCs w:val="18"/>
              </w:rPr>
            </w:pPr>
            <w:r>
              <w:rPr>
                <w:sz w:val="18"/>
                <w:szCs w:val="18"/>
              </w:rPr>
              <w:t>Continuo</w:t>
            </w:r>
          </w:p>
        </w:tc>
        <w:tc>
          <w:tcPr>
            <w:tcW w:w="6522" w:type="dxa"/>
            <w:vMerge/>
          </w:tcPr>
          <w:p w14:paraId="182D212D" w14:textId="77777777" w:rsidR="00053768" w:rsidRPr="00CC5E23" w:rsidRDefault="00053768" w:rsidP="004707EA">
            <w:pPr>
              <w:pStyle w:val="Tabletext"/>
              <w:rPr>
                <w:sz w:val="18"/>
                <w:szCs w:val="18"/>
              </w:rPr>
            </w:pPr>
          </w:p>
        </w:tc>
      </w:tr>
      <w:tr w:rsidR="00053768" w:rsidRPr="00CC5E23" w14:paraId="574D66A7" w14:textId="77777777" w:rsidTr="004707EA">
        <w:tc>
          <w:tcPr>
            <w:tcW w:w="2977" w:type="dxa"/>
            <w:vMerge w:val="restart"/>
          </w:tcPr>
          <w:p w14:paraId="41D3CF0C" w14:textId="77777777" w:rsidR="00053768" w:rsidRPr="00CC5E23" w:rsidRDefault="00053768" w:rsidP="004707EA">
            <w:pPr>
              <w:pStyle w:val="Tabletext"/>
              <w:rPr>
                <w:sz w:val="18"/>
                <w:szCs w:val="18"/>
              </w:rPr>
            </w:pPr>
            <w:r w:rsidRPr="00CC5E23">
              <w:rPr>
                <w:sz w:val="18"/>
                <w:szCs w:val="18"/>
              </w:rPr>
              <w:t>6. El incumplimiento de las políticas o reglamentos establecidos tiene consecuencias inequívocas. Las sanciones han de ser claras y proporcionadas y aplicarse en todos los niveles. Además, las actuaciones profesionales destacadas se deberían distinguir mediante reconocimientos, premios o recompensas</w:t>
            </w:r>
            <w:r>
              <w:rPr>
                <w:sz w:val="18"/>
                <w:szCs w:val="18"/>
              </w:rPr>
              <w:t>.</w:t>
            </w:r>
          </w:p>
        </w:tc>
        <w:tc>
          <w:tcPr>
            <w:tcW w:w="3969" w:type="dxa"/>
          </w:tcPr>
          <w:p w14:paraId="75BACBDC" w14:textId="77777777" w:rsidR="00053768" w:rsidRPr="00CC5E23" w:rsidRDefault="00053768" w:rsidP="004707EA">
            <w:pPr>
              <w:pStyle w:val="Tabletext"/>
              <w:rPr>
                <w:sz w:val="18"/>
                <w:szCs w:val="18"/>
              </w:rPr>
            </w:pPr>
            <w:r w:rsidRPr="00CC5E23">
              <w:rPr>
                <w:sz w:val="18"/>
                <w:szCs w:val="18"/>
              </w:rPr>
              <w:t>Documentos de política sobre sanciones y medidas disciplinarias</w:t>
            </w:r>
          </w:p>
        </w:tc>
        <w:tc>
          <w:tcPr>
            <w:tcW w:w="1134" w:type="dxa"/>
            <w:vAlign w:val="center"/>
          </w:tcPr>
          <w:p w14:paraId="1A2BA239" w14:textId="5235B872" w:rsidR="00053768" w:rsidRPr="00CC5E23" w:rsidRDefault="00053768" w:rsidP="004707EA">
            <w:pPr>
              <w:pStyle w:val="Tabletext"/>
              <w:jc w:val="center"/>
              <w:rPr>
                <w:sz w:val="18"/>
                <w:szCs w:val="18"/>
              </w:rPr>
            </w:pPr>
            <w:r w:rsidRPr="00CC5E23">
              <w:rPr>
                <w:sz w:val="18"/>
                <w:szCs w:val="18"/>
              </w:rPr>
              <w:sym w:font="Wingdings" w:char="F0FC"/>
            </w:r>
          </w:p>
        </w:tc>
        <w:tc>
          <w:tcPr>
            <w:tcW w:w="6522" w:type="dxa"/>
          </w:tcPr>
          <w:p w14:paraId="3A7C8D81" w14:textId="64C92BB7" w:rsidR="00053768" w:rsidRPr="00CC5E23" w:rsidRDefault="00053768" w:rsidP="009F205F">
            <w:pPr>
              <w:pStyle w:val="Tabletext"/>
              <w:rPr>
                <w:sz w:val="18"/>
                <w:szCs w:val="18"/>
              </w:rPr>
            </w:pPr>
            <w:r>
              <w:rPr>
                <w:sz w:val="18"/>
                <w:szCs w:val="18"/>
              </w:rPr>
              <w:t>El</w:t>
            </w:r>
            <w:r w:rsidRPr="00CC5E23">
              <w:rPr>
                <w:sz w:val="18"/>
                <w:szCs w:val="18"/>
              </w:rPr>
              <w:t xml:space="preserve"> Capítulo X de los Estatutos y Reglamento del Personal</w:t>
            </w:r>
            <w:r>
              <w:rPr>
                <w:sz w:val="18"/>
                <w:szCs w:val="18"/>
              </w:rPr>
              <w:t xml:space="preserve"> está en vigor e incluye una política en materia disciplinaria y de sanciones.</w:t>
            </w:r>
          </w:p>
        </w:tc>
      </w:tr>
      <w:tr w:rsidR="00053768" w:rsidRPr="00CC5E23" w14:paraId="42ED7DF5" w14:textId="77777777" w:rsidTr="004707EA">
        <w:tc>
          <w:tcPr>
            <w:tcW w:w="2977" w:type="dxa"/>
            <w:vMerge/>
          </w:tcPr>
          <w:p w14:paraId="4F67F7DF" w14:textId="77777777" w:rsidR="00053768" w:rsidRPr="00CC5E23" w:rsidRDefault="00053768" w:rsidP="004707EA">
            <w:pPr>
              <w:pStyle w:val="Tabletext"/>
              <w:rPr>
                <w:sz w:val="18"/>
                <w:szCs w:val="18"/>
              </w:rPr>
            </w:pPr>
          </w:p>
        </w:tc>
        <w:tc>
          <w:tcPr>
            <w:tcW w:w="3969" w:type="dxa"/>
          </w:tcPr>
          <w:p w14:paraId="629D12BB" w14:textId="77777777" w:rsidR="00053768" w:rsidRPr="00CC5E23" w:rsidRDefault="00053768" w:rsidP="004707EA">
            <w:pPr>
              <w:pStyle w:val="Tabletext"/>
              <w:rPr>
                <w:sz w:val="18"/>
                <w:szCs w:val="18"/>
              </w:rPr>
            </w:pPr>
            <w:r w:rsidRPr="00CC5E23">
              <w:rPr>
                <w:sz w:val="18"/>
                <w:szCs w:val="18"/>
              </w:rPr>
              <w:t>Publicación en los informes anuales de las sanciones impuestas por el jefe ejecutivo;</w:t>
            </w:r>
          </w:p>
        </w:tc>
        <w:tc>
          <w:tcPr>
            <w:tcW w:w="1134" w:type="dxa"/>
            <w:vAlign w:val="center"/>
          </w:tcPr>
          <w:p w14:paraId="3EE47F47" w14:textId="77777777" w:rsidR="00053768" w:rsidRPr="00CC5E23" w:rsidRDefault="00053768" w:rsidP="004707EA">
            <w:pPr>
              <w:pStyle w:val="Tabletext"/>
              <w:jc w:val="center"/>
              <w:rPr>
                <w:sz w:val="18"/>
                <w:szCs w:val="18"/>
              </w:rPr>
            </w:pPr>
            <w:r w:rsidRPr="00CC5E23">
              <w:rPr>
                <w:sz w:val="18"/>
                <w:szCs w:val="18"/>
              </w:rPr>
              <w:t>No se ha aplicado</w:t>
            </w:r>
          </w:p>
        </w:tc>
        <w:tc>
          <w:tcPr>
            <w:tcW w:w="6522" w:type="dxa"/>
            <w:vAlign w:val="center"/>
          </w:tcPr>
          <w:p w14:paraId="5EF39D7C" w14:textId="149EE5B2" w:rsidR="00053768" w:rsidRPr="00CC5E23" w:rsidRDefault="00053768" w:rsidP="004707EA">
            <w:pPr>
              <w:pStyle w:val="Tabletext"/>
              <w:rPr>
                <w:sz w:val="18"/>
                <w:szCs w:val="18"/>
              </w:rPr>
            </w:pPr>
          </w:p>
        </w:tc>
      </w:tr>
      <w:tr w:rsidR="00053768" w:rsidRPr="00CC5E23" w14:paraId="333263D1" w14:textId="77777777" w:rsidTr="004707EA">
        <w:tc>
          <w:tcPr>
            <w:tcW w:w="2977" w:type="dxa"/>
            <w:vMerge/>
          </w:tcPr>
          <w:p w14:paraId="2C05E6AA" w14:textId="77777777" w:rsidR="00053768" w:rsidRPr="00CC5E23" w:rsidRDefault="00053768" w:rsidP="004707EA">
            <w:pPr>
              <w:pStyle w:val="Tabletext"/>
              <w:rPr>
                <w:sz w:val="18"/>
                <w:szCs w:val="18"/>
              </w:rPr>
            </w:pPr>
          </w:p>
        </w:tc>
        <w:tc>
          <w:tcPr>
            <w:tcW w:w="3969" w:type="dxa"/>
          </w:tcPr>
          <w:p w14:paraId="796EC63F" w14:textId="77777777" w:rsidR="00053768" w:rsidRPr="00CC5E23" w:rsidRDefault="00053768" w:rsidP="004707EA">
            <w:pPr>
              <w:pStyle w:val="Tabletext"/>
              <w:rPr>
                <w:sz w:val="18"/>
                <w:szCs w:val="18"/>
              </w:rPr>
            </w:pPr>
            <w:r w:rsidRPr="00CC5E23">
              <w:rPr>
                <w:sz w:val="18"/>
                <w:szCs w:val="18"/>
              </w:rPr>
              <w:t>Programas de premios o recompensas concedidos por comités o grupos especiales sobre la base de criterios claros;</w:t>
            </w:r>
          </w:p>
        </w:tc>
        <w:tc>
          <w:tcPr>
            <w:tcW w:w="1134" w:type="dxa"/>
            <w:vAlign w:val="center"/>
          </w:tcPr>
          <w:p w14:paraId="29B84B76"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val="restart"/>
            <w:vAlign w:val="center"/>
          </w:tcPr>
          <w:p w14:paraId="3EE6B173" w14:textId="77777777" w:rsidR="00053768" w:rsidRPr="00CC5E23" w:rsidRDefault="00053768" w:rsidP="004707EA">
            <w:pPr>
              <w:pStyle w:val="Tabletext"/>
              <w:rPr>
                <w:sz w:val="18"/>
                <w:szCs w:val="18"/>
              </w:rPr>
            </w:pPr>
          </w:p>
        </w:tc>
      </w:tr>
      <w:tr w:rsidR="00053768" w:rsidRPr="00CC5E23" w14:paraId="6F3577C7" w14:textId="77777777" w:rsidTr="004707EA">
        <w:tc>
          <w:tcPr>
            <w:tcW w:w="2977" w:type="dxa"/>
            <w:vMerge/>
          </w:tcPr>
          <w:p w14:paraId="2F2C1701" w14:textId="77777777" w:rsidR="00053768" w:rsidRPr="00CC5E23" w:rsidRDefault="00053768" w:rsidP="004707EA">
            <w:pPr>
              <w:pStyle w:val="Tabletext"/>
              <w:rPr>
                <w:sz w:val="18"/>
                <w:szCs w:val="18"/>
              </w:rPr>
            </w:pPr>
          </w:p>
        </w:tc>
        <w:tc>
          <w:tcPr>
            <w:tcW w:w="3969" w:type="dxa"/>
          </w:tcPr>
          <w:p w14:paraId="497B3F2E" w14:textId="77777777" w:rsidR="00053768" w:rsidRPr="00CC5E23" w:rsidRDefault="00053768" w:rsidP="004707EA">
            <w:pPr>
              <w:pStyle w:val="Tabletext"/>
              <w:rPr>
                <w:sz w:val="18"/>
                <w:szCs w:val="18"/>
              </w:rPr>
            </w:pPr>
            <w:r w:rsidRPr="00CC5E23">
              <w:rPr>
                <w:sz w:val="18"/>
                <w:szCs w:val="18"/>
              </w:rPr>
              <w:t>Publicación de los nombres de los funcionarios que reciban premios y recompensas</w:t>
            </w:r>
          </w:p>
        </w:tc>
        <w:tc>
          <w:tcPr>
            <w:tcW w:w="1134" w:type="dxa"/>
            <w:vAlign w:val="center"/>
          </w:tcPr>
          <w:p w14:paraId="18339BEF"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tcPr>
          <w:p w14:paraId="0EF1D999" w14:textId="77777777" w:rsidR="00053768" w:rsidRPr="00CC5E23" w:rsidRDefault="00053768" w:rsidP="004707EA">
            <w:pPr>
              <w:pStyle w:val="Tabletext"/>
              <w:rPr>
                <w:sz w:val="18"/>
                <w:szCs w:val="18"/>
              </w:rPr>
            </w:pPr>
          </w:p>
        </w:tc>
      </w:tr>
      <w:tr w:rsidR="00053768" w:rsidRPr="00CC5E23" w14:paraId="5A8D2AD5" w14:textId="77777777" w:rsidTr="004707EA">
        <w:trPr>
          <w:cantSplit/>
        </w:trPr>
        <w:tc>
          <w:tcPr>
            <w:tcW w:w="2977" w:type="dxa"/>
            <w:vMerge w:val="restart"/>
          </w:tcPr>
          <w:p w14:paraId="71410C25" w14:textId="77777777" w:rsidR="00053768" w:rsidRPr="00CC5E23" w:rsidRDefault="00053768" w:rsidP="004707EA">
            <w:pPr>
              <w:pStyle w:val="Tabletext"/>
              <w:rPr>
                <w:sz w:val="18"/>
                <w:szCs w:val="18"/>
              </w:rPr>
            </w:pPr>
            <w:r w:rsidRPr="00CC5E23">
              <w:rPr>
                <w:sz w:val="18"/>
                <w:szCs w:val="18"/>
              </w:rPr>
              <w:t>7. Todo el personal ha de rendir cuentas de su trabajo sobre la base de una descripción de las funciones actualizada y por escrito que refleje fielmente sus tareas concretas</w:t>
            </w:r>
            <w:r>
              <w:rPr>
                <w:sz w:val="18"/>
                <w:szCs w:val="18"/>
              </w:rPr>
              <w:t>.</w:t>
            </w:r>
          </w:p>
        </w:tc>
        <w:tc>
          <w:tcPr>
            <w:tcW w:w="3969" w:type="dxa"/>
          </w:tcPr>
          <w:p w14:paraId="677BD536" w14:textId="77777777" w:rsidR="00053768" w:rsidRPr="00CC5E23" w:rsidRDefault="00053768" w:rsidP="004707EA">
            <w:pPr>
              <w:pStyle w:val="Tabletext"/>
              <w:rPr>
                <w:sz w:val="18"/>
                <w:szCs w:val="18"/>
              </w:rPr>
            </w:pPr>
            <w:r w:rsidRPr="00CC5E23">
              <w:rPr>
                <w:sz w:val="18"/>
                <w:szCs w:val="18"/>
              </w:rPr>
              <w:t>Descripción de las funciones para todo el personal</w:t>
            </w:r>
          </w:p>
        </w:tc>
        <w:tc>
          <w:tcPr>
            <w:tcW w:w="1134" w:type="dxa"/>
            <w:vAlign w:val="center"/>
          </w:tcPr>
          <w:p w14:paraId="14AF5681"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val="restart"/>
            <w:vAlign w:val="center"/>
          </w:tcPr>
          <w:p w14:paraId="148201D6" w14:textId="21965427" w:rsidR="00053768" w:rsidRPr="00CC5E23" w:rsidRDefault="00053768" w:rsidP="004707EA">
            <w:pPr>
              <w:pStyle w:val="Tabletext"/>
              <w:rPr>
                <w:sz w:val="18"/>
                <w:szCs w:val="18"/>
              </w:rPr>
            </w:pPr>
            <w:r w:rsidRPr="00535056">
              <w:rPr>
                <w:sz w:val="18"/>
                <w:szCs w:val="18"/>
              </w:rPr>
              <w:t>S</w:t>
            </w:r>
            <w:r>
              <w:rPr>
                <w:sz w:val="18"/>
                <w:szCs w:val="18"/>
              </w:rPr>
              <w:t>e ha implementado el nuevo S</w:t>
            </w:r>
            <w:r w:rsidRPr="00535056">
              <w:rPr>
                <w:sz w:val="18"/>
                <w:szCs w:val="18"/>
              </w:rPr>
              <w:t>istema de Gestión y Desarrollo del Rendimiento de la</w:t>
            </w:r>
            <w:r w:rsidR="00893754">
              <w:rPr>
                <w:sz w:val="18"/>
                <w:szCs w:val="18"/>
              </w:rPr>
              <w:t> </w:t>
            </w:r>
            <w:r w:rsidR="0085781E">
              <w:rPr>
                <w:sz w:val="18"/>
                <w:szCs w:val="18"/>
              </w:rPr>
              <w:t>UIT (e</w:t>
            </w:r>
            <w:r w:rsidRPr="00535056">
              <w:rPr>
                <w:sz w:val="18"/>
                <w:szCs w:val="18"/>
              </w:rPr>
              <w:t>-PMDS).</w:t>
            </w:r>
          </w:p>
        </w:tc>
      </w:tr>
      <w:tr w:rsidR="00053768" w:rsidRPr="00CC5E23" w14:paraId="5725D117" w14:textId="77777777" w:rsidTr="004707EA">
        <w:trPr>
          <w:trHeight w:val="732"/>
        </w:trPr>
        <w:tc>
          <w:tcPr>
            <w:tcW w:w="2977" w:type="dxa"/>
            <w:vMerge/>
          </w:tcPr>
          <w:p w14:paraId="74B12124" w14:textId="77777777" w:rsidR="00053768" w:rsidRPr="00CC5E23" w:rsidRDefault="00053768" w:rsidP="004707EA">
            <w:pPr>
              <w:pStyle w:val="Tabletext"/>
              <w:rPr>
                <w:sz w:val="18"/>
                <w:szCs w:val="18"/>
              </w:rPr>
            </w:pPr>
          </w:p>
        </w:tc>
        <w:tc>
          <w:tcPr>
            <w:tcW w:w="3969" w:type="dxa"/>
          </w:tcPr>
          <w:p w14:paraId="4A515445" w14:textId="77777777" w:rsidR="00053768" w:rsidRPr="00CC5E23" w:rsidRDefault="00053768" w:rsidP="004707EA">
            <w:pPr>
              <w:pStyle w:val="Tabletext"/>
              <w:rPr>
                <w:sz w:val="18"/>
                <w:szCs w:val="18"/>
              </w:rPr>
            </w:pPr>
            <w:r w:rsidRPr="00CC5E23">
              <w:rPr>
                <w:sz w:val="18"/>
                <w:szCs w:val="18"/>
              </w:rPr>
              <w:t>Coherencia entre la descripción de las funciones y el trabajo diario</w:t>
            </w:r>
          </w:p>
        </w:tc>
        <w:tc>
          <w:tcPr>
            <w:tcW w:w="1134" w:type="dxa"/>
            <w:shd w:val="clear" w:color="auto" w:fill="FFFFFF" w:themeFill="background1"/>
            <w:vAlign w:val="center"/>
          </w:tcPr>
          <w:p w14:paraId="2D1AAE03" w14:textId="3E99C874" w:rsidR="00053768" w:rsidRPr="00CC5E23" w:rsidRDefault="00053768" w:rsidP="004707EA">
            <w:pPr>
              <w:pStyle w:val="Tabletext"/>
              <w:jc w:val="center"/>
              <w:rPr>
                <w:sz w:val="18"/>
                <w:szCs w:val="18"/>
              </w:rPr>
            </w:pPr>
            <w:r>
              <w:rPr>
                <w:sz w:val="18"/>
                <w:szCs w:val="18"/>
              </w:rPr>
              <w:t>Continuo</w:t>
            </w:r>
          </w:p>
        </w:tc>
        <w:tc>
          <w:tcPr>
            <w:tcW w:w="6522" w:type="dxa"/>
            <w:vMerge/>
          </w:tcPr>
          <w:p w14:paraId="739285D9" w14:textId="77777777" w:rsidR="00053768" w:rsidRPr="00CC5E23" w:rsidRDefault="00053768" w:rsidP="004707EA">
            <w:pPr>
              <w:pStyle w:val="Tabletext"/>
              <w:rPr>
                <w:sz w:val="18"/>
                <w:szCs w:val="18"/>
                <w:highlight w:val="yellow"/>
              </w:rPr>
            </w:pPr>
          </w:p>
        </w:tc>
      </w:tr>
      <w:tr w:rsidR="00053768" w:rsidRPr="00CC5E23" w14:paraId="73F34EE1" w14:textId="77777777" w:rsidTr="004707EA">
        <w:trPr>
          <w:trHeight w:val="218"/>
        </w:trPr>
        <w:tc>
          <w:tcPr>
            <w:tcW w:w="2977" w:type="dxa"/>
            <w:vMerge w:val="restart"/>
          </w:tcPr>
          <w:p w14:paraId="60D3318D" w14:textId="77777777" w:rsidR="00053768" w:rsidRPr="00CC5E23" w:rsidRDefault="00053768" w:rsidP="009F205F">
            <w:pPr>
              <w:pStyle w:val="Tabletext"/>
              <w:keepNext/>
              <w:keepLines/>
              <w:rPr>
                <w:sz w:val="18"/>
                <w:szCs w:val="18"/>
              </w:rPr>
            </w:pPr>
            <w:r w:rsidRPr="00CC5E23">
              <w:rPr>
                <w:sz w:val="18"/>
                <w:szCs w:val="18"/>
              </w:rPr>
              <w:lastRenderedPageBreak/>
              <w:t>8. Concretización de las políticas de selección, de contratación y de restricciones posteriores a la separación del servicio</w:t>
            </w:r>
            <w:r>
              <w:rPr>
                <w:sz w:val="18"/>
                <w:szCs w:val="18"/>
              </w:rPr>
              <w:t>.</w:t>
            </w:r>
          </w:p>
        </w:tc>
        <w:tc>
          <w:tcPr>
            <w:tcW w:w="3969" w:type="dxa"/>
            <w:shd w:val="clear" w:color="auto" w:fill="auto"/>
          </w:tcPr>
          <w:p w14:paraId="2120D208" w14:textId="77777777" w:rsidR="00053768" w:rsidRPr="00CC5E23" w:rsidRDefault="00053768" w:rsidP="009F205F">
            <w:pPr>
              <w:pStyle w:val="Tabletext"/>
              <w:keepNext/>
              <w:keepLines/>
              <w:rPr>
                <w:sz w:val="18"/>
                <w:szCs w:val="18"/>
              </w:rPr>
            </w:pPr>
            <w:r w:rsidRPr="00CC5E23">
              <w:rPr>
                <w:sz w:val="18"/>
                <w:szCs w:val="18"/>
              </w:rPr>
              <w:t>Política de contratación por la que se restringe la contratación de familiares y parientes</w:t>
            </w:r>
          </w:p>
        </w:tc>
        <w:tc>
          <w:tcPr>
            <w:tcW w:w="1134" w:type="dxa"/>
            <w:shd w:val="clear" w:color="auto" w:fill="auto"/>
            <w:vAlign w:val="center"/>
          </w:tcPr>
          <w:p w14:paraId="03262E4A" w14:textId="77777777" w:rsidR="00053768" w:rsidRPr="00CC5E23" w:rsidRDefault="00053768" w:rsidP="009F205F">
            <w:pPr>
              <w:pStyle w:val="Tabletext"/>
              <w:keepNext/>
              <w:keepLines/>
              <w:jc w:val="center"/>
              <w:rPr>
                <w:sz w:val="18"/>
                <w:szCs w:val="18"/>
              </w:rPr>
            </w:pPr>
            <w:r w:rsidRPr="00CC5E23">
              <w:rPr>
                <w:sz w:val="18"/>
                <w:szCs w:val="18"/>
              </w:rPr>
              <w:sym w:font="Wingdings" w:char="F0FC"/>
            </w:r>
          </w:p>
        </w:tc>
        <w:tc>
          <w:tcPr>
            <w:tcW w:w="6522" w:type="dxa"/>
            <w:shd w:val="clear" w:color="auto" w:fill="auto"/>
            <w:vAlign w:val="center"/>
          </w:tcPr>
          <w:p w14:paraId="6ACA74E4" w14:textId="77777777" w:rsidR="00053768" w:rsidRPr="00CC5E23" w:rsidRDefault="00053768" w:rsidP="009F205F">
            <w:pPr>
              <w:pStyle w:val="Tabletext"/>
              <w:keepNext/>
              <w:keepLines/>
              <w:rPr>
                <w:sz w:val="18"/>
                <w:szCs w:val="18"/>
              </w:rPr>
            </w:pPr>
            <w:r w:rsidRPr="00CC5E23">
              <w:rPr>
                <w:sz w:val="18"/>
                <w:szCs w:val="18"/>
              </w:rPr>
              <w:t>Artículo 4.7.1 de los Estatutos y Reglamento del Personal.</w:t>
            </w:r>
          </w:p>
        </w:tc>
      </w:tr>
      <w:tr w:rsidR="00053768" w:rsidRPr="00CC5E23" w14:paraId="08781029" w14:textId="77777777" w:rsidTr="004707EA">
        <w:trPr>
          <w:trHeight w:val="217"/>
        </w:trPr>
        <w:tc>
          <w:tcPr>
            <w:tcW w:w="2977" w:type="dxa"/>
            <w:vMerge/>
          </w:tcPr>
          <w:p w14:paraId="58260ED7" w14:textId="77777777" w:rsidR="00053768" w:rsidRPr="00CC5E23" w:rsidRDefault="00053768" w:rsidP="004707EA">
            <w:pPr>
              <w:pStyle w:val="Tabletext"/>
              <w:rPr>
                <w:sz w:val="18"/>
                <w:szCs w:val="18"/>
              </w:rPr>
            </w:pPr>
          </w:p>
        </w:tc>
        <w:tc>
          <w:tcPr>
            <w:tcW w:w="3969" w:type="dxa"/>
            <w:shd w:val="clear" w:color="auto" w:fill="auto"/>
          </w:tcPr>
          <w:p w14:paraId="471426BF" w14:textId="77777777" w:rsidR="00053768" w:rsidRPr="00CC5E23" w:rsidRDefault="00053768" w:rsidP="004707EA">
            <w:pPr>
              <w:pStyle w:val="Tabletext"/>
              <w:rPr>
                <w:sz w:val="18"/>
                <w:szCs w:val="18"/>
              </w:rPr>
            </w:pPr>
            <w:r w:rsidRPr="00CC5E23">
              <w:rPr>
                <w:sz w:val="18"/>
                <w:szCs w:val="18"/>
              </w:rPr>
              <w:t>Restricciones posteriores a la separación del servicio para el personal que se jubila o renuncia</w:t>
            </w:r>
          </w:p>
        </w:tc>
        <w:tc>
          <w:tcPr>
            <w:tcW w:w="1134" w:type="dxa"/>
            <w:shd w:val="clear" w:color="auto" w:fill="auto"/>
            <w:vAlign w:val="center"/>
          </w:tcPr>
          <w:p w14:paraId="6B1F42A7"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vAlign w:val="center"/>
          </w:tcPr>
          <w:p w14:paraId="294CF5A2" w14:textId="77777777" w:rsidR="00053768" w:rsidRPr="00CC5E23" w:rsidRDefault="00053768" w:rsidP="004707EA">
            <w:pPr>
              <w:pStyle w:val="Tabletext"/>
              <w:rPr>
                <w:sz w:val="18"/>
                <w:szCs w:val="18"/>
              </w:rPr>
            </w:pPr>
            <w:r w:rsidRPr="00CC5E23">
              <w:rPr>
                <w:sz w:val="18"/>
                <w:szCs w:val="18"/>
              </w:rPr>
              <w:t>Ya hay definida una política para los jubilados (la UIT aplica las limitaciones de las Naciones Unidas) y para los funcionarios que abandonan la organización en el marco de un programa de separación anticipada.</w:t>
            </w:r>
          </w:p>
        </w:tc>
      </w:tr>
      <w:tr w:rsidR="00053768" w:rsidRPr="00CC5E23" w14:paraId="125C9899" w14:textId="77777777" w:rsidTr="004707EA">
        <w:tc>
          <w:tcPr>
            <w:tcW w:w="2977" w:type="dxa"/>
            <w:shd w:val="clear" w:color="auto" w:fill="FFFFFF" w:themeFill="background1"/>
          </w:tcPr>
          <w:p w14:paraId="0110B33D" w14:textId="77777777" w:rsidR="00053768" w:rsidRPr="00CC5E23" w:rsidRDefault="00053768" w:rsidP="004707EA">
            <w:pPr>
              <w:pStyle w:val="Tabletext"/>
              <w:rPr>
                <w:sz w:val="18"/>
                <w:szCs w:val="18"/>
              </w:rPr>
            </w:pPr>
            <w:r w:rsidRPr="00CC5E23">
              <w:rPr>
                <w:sz w:val="18"/>
                <w:szCs w:val="18"/>
              </w:rPr>
              <w:t>9. La organización tiene una política formal en materia de GRI que se aplica con una metodología coherente.</w:t>
            </w:r>
          </w:p>
        </w:tc>
        <w:tc>
          <w:tcPr>
            <w:tcW w:w="3969" w:type="dxa"/>
            <w:shd w:val="clear" w:color="auto" w:fill="FFFFFF" w:themeFill="background1"/>
          </w:tcPr>
          <w:p w14:paraId="78B8E36E" w14:textId="77777777" w:rsidR="00053768" w:rsidRPr="00CC5E23" w:rsidRDefault="00053768" w:rsidP="004707EA">
            <w:pPr>
              <w:pStyle w:val="Tabletext"/>
              <w:rPr>
                <w:sz w:val="18"/>
                <w:szCs w:val="18"/>
              </w:rPr>
            </w:pPr>
            <w:r w:rsidRPr="00CC5E23">
              <w:rPr>
                <w:sz w:val="18"/>
                <w:szCs w:val="18"/>
              </w:rPr>
              <w:t>En cada dependencia, proyecto o proceso se lleva a cabo un análisis del riesgo y la</w:t>
            </w:r>
          </w:p>
          <w:p w14:paraId="67F9DC9C" w14:textId="77777777" w:rsidR="00053768" w:rsidRPr="00CC5E23" w:rsidRDefault="00053768" w:rsidP="004707EA">
            <w:pPr>
              <w:pStyle w:val="Tabletext"/>
              <w:rPr>
                <w:sz w:val="18"/>
                <w:szCs w:val="18"/>
              </w:rPr>
            </w:pPr>
            <w:r w:rsidRPr="00CC5E23">
              <w:rPr>
                <w:sz w:val="18"/>
                <w:szCs w:val="18"/>
              </w:rPr>
              <w:t>organización cuenta con un plan general de gestión del riesgo</w:t>
            </w:r>
          </w:p>
        </w:tc>
        <w:tc>
          <w:tcPr>
            <w:tcW w:w="1134" w:type="dxa"/>
            <w:shd w:val="clear" w:color="auto" w:fill="FFFFFF" w:themeFill="background1"/>
            <w:vAlign w:val="center"/>
          </w:tcPr>
          <w:p w14:paraId="77913665" w14:textId="2CABCE07" w:rsidR="00053768" w:rsidRPr="00CC5E23" w:rsidRDefault="00053768" w:rsidP="004707EA">
            <w:pPr>
              <w:pStyle w:val="Tabletext"/>
              <w:jc w:val="center"/>
              <w:rPr>
                <w:sz w:val="18"/>
                <w:szCs w:val="18"/>
              </w:rPr>
            </w:pPr>
            <w:r>
              <w:rPr>
                <w:sz w:val="18"/>
                <w:szCs w:val="18"/>
              </w:rPr>
              <w:t>Continuo</w:t>
            </w:r>
          </w:p>
        </w:tc>
        <w:tc>
          <w:tcPr>
            <w:tcW w:w="6522" w:type="dxa"/>
            <w:shd w:val="clear" w:color="auto" w:fill="FFFFFF" w:themeFill="background1"/>
          </w:tcPr>
          <w:p w14:paraId="18E0A5D9" w14:textId="7CB870C6" w:rsidR="00053768" w:rsidRPr="00CC5E23" w:rsidRDefault="00053768" w:rsidP="004707EA">
            <w:pPr>
              <w:pStyle w:val="Tabletext"/>
              <w:rPr>
                <w:sz w:val="18"/>
                <w:szCs w:val="18"/>
              </w:rPr>
            </w:pPr>
            <w:r w:rsidRPr="00CC5E23">
              <w:rPr>
                <w:sz w:val="18"/>
                <w:szCs w:val="18"/>
              </w:rPr>
              <w:t>La política de gestión de riesgos y la declaración de asunción de riesgos fueron aprobadas en la reunión de 2017 del Consejo</w:t>
            </w:r>
            <w:r>
              <w:rPr>
                <w:sz w:val="18"/>
                <w:szCs w:val="18"/>
              </w:rPr>
              <w:t xml:space="preserve"> y se han aplicado desde entonces.</w:t>
            </w:r>
          </w:p>
          <w:p w14:paraId="7D4731B2" w14:textId="652DFC17" w:rsidR="00053768" w:rsidRPr="00CC5E23" w:rsidRDefault="00053768" w:rsidP="004707EA">
            <w:pPr>
              <w:pStyle w:val="Tabletext"/>
              <w:rPr>
                <w:sz w:val="18"/>
                <w:szCs w:val="18"/>
              </w:rPr>
            </w:pPr>
            <w:r>
              <w:rPr>
                <w:sz w:val="18"/>
                <w:szCs w:val="18"/>
              </w:rPr>
              <w:t>S</w:t>
            </w:r>
            <w:r w:rsidRPr="00CC5E23">
              <w:rPr>
                <w:sz w:val="18"/>
                <w:szCs w:val="18"/>
              </w:rPr>
              <w:t xml:space="preserve">e realiza </w:t>
            </w:r>
            <w:r>
              <w:rPr>
                <w:sz w:val="18"/>
                <w:szCs w:val="18"/>
              </w:rPr>
              <w:t>e</w:t>
            </w:r>
            <w:r w:rsidRPr="00CC5E23">
              <w:rPr>
                <w:sz w:val="18"/>
                <w:szCs w:val="18"/>
              </w:rPr>
              <w:t xml:space="preserve">l análisis de riesgos </w:t>
            </w:r>
            <w:r>
              <w:rPr>
                <w:sz w:val="18"/>
                <w:szCs w:val="18"/>
              </w:rPr>
              <w:t>mantienen indicadores de riesgo</w:t>
            </w:r>
            <w:r w:rsidRPr="00CC5E23">
              <w:rPr>
                <w:sz w:val="18"/>
                <w:szCs w:val="18"/>
              </w:rPr>
              <w:t xml:space="preserve"> y se elaboran informes a través de los Planes Operacionales de los Sectores y la Secretaría General.</w:t>
            </w:r>
          </w:p>
          <w:p w14:paraId="547E9126" w14:textId="77777777" w:rsidR="00053768" w:rsidRDefault="00053768" w:rsidP="004707EA">
            <w:pPr>
              <w:pStyle w:val="Tabletext"/>
              <w:rPr>
                <w:sz w:val="18"/>
                <w:szCs w:val="18"/>
              </w:rPr>
            </w:pPr>
            <w:r w:rsidRPr="00535056">
              <w:rPr>
                <w:sz w:val="18"/>
                <w:szCs w:val="18"/>
              </w:rPr>
              <w:t xml:space="preserve">En febrero de 2020 se presentó al GTC-RFH un plan de acción para fortalecer el marco de gestión de riesgos de la UIT mediante </w:t>
            </w:r>
            <w:r>
              <w:rPr>
                <w:sz w:val="18"/>
                <w:szCs w:val="18"/>
              </w:rPr>
              <w:t xml:space="preserve">la revisión </w:t>
            </w:r>
            <w:r w:rsidRPr="00535056">
              <w:rPr>
                <w:sz w:val="18"/>
                <w:szCs w:val="18"/>
              </w:rPr>
              <w:t xml:space="preserve">de la política de gestión de riesgos y su aplicación, basado en el modelo de madurez de los riesgos adoptado por el Comité de Alto Nivel sobre Gestión de las Naciones Unidas, que se aplicará y cuyos resultados intermedios se presentarán al Consejo en su </w:t>
            </w:r>
            <w:r>
              <w:rPr>
                <w:sz w:val="18"/>
                <w:szCs w:val="18"/>
              </w:rPr>
              <w:t>reunión</w:t>
            </w:r>
            <w:r w:rsidRPr="00535056">
              <w:rPr>
                <w:sz w:val="18"/>
                <w:szCs w:val="18"/>
              </w:rPr>
              <w:t xml:space="preserve"> de 2020.</w:t>
            </w:r>
          </w:p>
          <w:p w14:paraId="57F2A2CE" w14:textId="24085DD8" w:rsidR="00F14466" w:rsidRPr="00F14466" w:rsidRDefault="00F14466" w:rsidP="00F14466">
            <w:pPr>
              <w:rPr>
                <w:sz w:val="18"/>
                <w:szCs w:val="18"/>
                <w:lang w:val="es-ES"/>
              </w:rPr>
            </w:pPr>
            <w:r w:rsidRPr="00F14466">
              <w:rPr>
                <w:sz w:val="18"/>
                <w:szCs w:val="18"/>
                <w:lang w:val="es-ES"/>
              </w:rPr>
              <w:t>La UIT ha implementado un Sistema de Gestión de la Resiliencia Institucional (SGRI) con todos los elementos clave para la gestión de crisis.</w:t>
            </w:r>
          </w:p>
        </w:tc>
      </w:tr>
      <w:tr w:rsidR="00053768" w:rsidRPr="00CC5E23" w14:paraId="4EEE50A5" w14:textId="77777777" w:rsidTr="004707EA">
        <w:tc>
          <w:tcPr>
            <w:tcW w:w="2977" w:type="dxa"/>
            <w:vMerge w:val="restart"/>
            <w:shd w:val="clear" w:color="auto" w:fill="FFFFFF" w:themeFill="background1"/>
          </w:tcPr>
          <w:p w14:paraId="0556DE4F" w14:textId="77777777" w:rsidR="00053768" w:rsidRPr="00CC5E23" w:rsidRDefault="00053768" w:rsidP="004707EA">
            <w:pPr>
              <w:pStyle w:val="Tabletext"/>
              <w:rPr>
                <w:sz w:val="18"/>
                <w:szCs w:val="18"/>
              </w:rPr>
            </w:pPr>
            <w:r w:rsidRPr="00CC5E23">
              <w:rPr>
                <w:sz w:val="18"/>
                <w:szCs w:val="18"/>
              </w:rPr>
              <w:t>10. La cadena de mando y la delegación de autoridad son claras y coherentes y se integran en los sistemas existentes de planificación de los recursos institucionales</w:t>
            </w:r>
            <w:r>
              <w:rPr>
                <w:sz w:val="18"/>
                <w:szCs w:val="18"/>
              </w:rPr>
              <w:t>.</w:t>
            </w:r>
          </w:p>
        </w:tc>
        <w:tc>
          <w:tcPr>
            <w:tcW w:w="3969" w:type="dxa"/>
            <w:shd w:val="clear" w:color="auto" w:fill="FFFFFF" w:themeFill="background1"/>
          </w:tcPr>
          <w:p w14:paraId="709B1D11" w14:textId="77777777" w:rsidR="00053768" w:rsidRPr="00CC5E23" w:rsidRDefault="00053768" w:rsidP="004707EA">
            <w:pPr>
              <w:pStyle w:val="Tabletext"/>
              <w:rPr>
                <w:sz w:val="18"/>
                <w:szCs w:val="18"/>
              </w:rPr>
            </w:pPr>
            <w:r w:rsidRPr="00CC5E23">
              <w:rPr>
                <w:sz w:val="18"/>
                <w:szCs w:val="18"/>
              </w:rPr>
              <w:t>Definición clara de la delegación de autoridad</w:t>
            </w:r>
          </w:p>
        </w:tc>
        <w:tc>
          <w:tcPr>
            <w:tcW w:w="1134" w:type="dxa"/>
            <w:shd w:val="clear" w:color="auto" w:fill="auto"/>
            <w:vAlign w:val="center"/>
          </w:tcPr>
          <w:p w14:paraId="09B70100"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tcPr>
          <w:p w14:paraId="4CAE1F29" w14:textId="78B056F7" w:rsidR="00053768" w:rsidRPr="00CC5E23" w:rsidRDefault="00053768" w:rsidP="004707EA">
            <w:pPr>
              <w:pStyle w:val="Tabletext"/>
              <w:rPr>
                <w:sz w:val="18"/>
                <w:szCs w:val="18"/>
              </w:rPr>
            </w:pPr>
            <w:r>
              <w:rPr>
                <w:sz w:val="18"/>
                <w:szCs w:val="18"/>
              </w:rPr>
              <w:t xml:space="preserve">Véase el </w:t>
            </w:r>
            <w:r w:rsidR="00A40FA1">
              <w:rPr>
                <w:sz w:val="18"/>
                <w:szCs w:val="18"/>
              </w:rPr>
              <w:t xml:space="preserve">criterio </w:t>
            </w:r>
            <w:r>
              <w:rPr>
                <w:sz w:val="18"/>
                <w:szCs w:val="18"/>
              </w:rPr>
              <w:t>1.</w:t>
            </w:r>
          </w:p>
        </w:tc>
      </w:tr>
      <w:tr w:rsidR="00053768" w:rsidRPr="00CC5E23" w14:paraId="1A4D9258" w14:textId="77777777" w:rsidTr="004707EA">
        <w:tc>
          <w:tcPr>
            <w:tcW w:w="2977" w:type="dxa"/>
            <w:vMerge/>
            <w:shd w:val="clear" w:color="auto" w:fill="FFFFFF" w:themeFill="background1"/>
          </w:tcPr>
          <w:p w14:paraId="2798A13C" w14:textId="77777777" w:rsidR="00053768" w:rsidRPr="00CC5E23" w:rsidRDefault="00053768" w:rsidP="004707EA">
            <w:pPr>
              <w:pStyle w:val="Tabletext"/>
              <w:rPr>
                <w:sz w:val="18"/>
                <w:szCs w:val="18"/>
              </w:rPr>
            </w:pPr>
          </w:p>
        </w:tc>
        <w:tc>
          <w:tcPr>
            <w:tcW w:w="3969" w:type="dxa"/>
            <w:shd w:val="clear" w:color="auto" w:fill="FFFFFF" w:themeFill="background1"/>
          </w:tcPr>
          <w:p w14:paraId="256E45BA" w14:textId="77777777" w:rsidR="00053768" w:rsidRPr="00CC5E23" w:rsidRDefault="00053768" w:rsidP="004707EA">
            <w:pPr>
              <w:pStyle w:val="Tabletext"/>
              <w:rPr>
                <w:sz w:val="18"/>
                <w:szCs w:val="18"/>
              </w:rPr>
            </w:pPr>
            <w:r w:rsidRPr="00CC5E23">
              <w:rPr>
                <w:sz w:val="18"/>
                <w:szCs w:val="18"/>
              </w:rPr>
              <w:t>Coherencia entre la línea de gestión y la delegación de autoridad, y líneas</w:t>
            </w:r>
          </w:p>
          <w:p w14:paraId="1275BCA0" w14:textId="77777777" w:rsidR="00053768" w:rsidRPr="00CC5E23" w:rsidRDefault="00053768" w:rsidP="004707EA">
            <w:pPr>
              <w:pStyle w:val="Tabletext"/>
              <w:rPr>
                <w:sz w:val="18"/>
                <w:szCs w:val="18"/>
              </w:rPr>
            </w:pPr>
            <w:r w:rsidRPr="00CC5E23">
              <w:rPr>
                <w:sz w:val="18"/>
                <w:szCs w:val="18"/>
              </w:rPr>
              <w:t>claras de presentación de informes</w:t>
            </w:r>
          </w:p>
        </w:tc>
        <w:tc>
          <w:tcPr>
            <w:tcW w:w="1134" w:type="dxa"/>
            <w:shd w:val="clear" w:color="auto" w:fill="auto"/>
            <w:vAlign w:val="center"/>
          </w:tcPr>
          <w:p w14:paraId="49D2079D" w14:textId="56F36B86" w:rsidR="00053768" w:rsidRPr="00CC5E23" w:rsidRDefault="00053768" w:rsidP="004707EA">
            <w:pPr>
              <w:pStyle w:val="Tabletext"/>
              <w:jc w:val="center"/>
              <w:rPr>
                <w:sz w:val="18"/>
                <w:szCs w:val="18"/>
              </w:rPr>
            </w:pPr>
            <w:r w:rsidRPr="00CC5E23">
              <w:rPr>
                <w:sz w:val="18"/>
                <w:szCs w:val="18"/>
              </w:rPr>
              <w:t>En curso</w:t>
            </w:r>
          </w:p>
        </w:tc>
        <w:tc>
          <w:tcPr>
            <w:tcW w:w="6522" w:type="dxa"/>
            <w:shd w:val="clear" w:color="auto" w:fill="auto"/>
          </w:tcPr>
          <w:p w14:paraId="197AE270" w14:textId="51273FEC" w:rsidR="00053768" w:rsidRPr="00CC5E23" w:rsidRDefault="00053768" w:rsidP="004707EA">
            <w:pPr>
              <w:pStyle w:val="Tabletext"/>
              <w:rPr>
                <w:sz w:val="18"/>
                <w:szCs w:val="18"/>
              </w:rPr>
            </w:pPr>
            <w:r>
              <w:rPr>
                <w:sz w:val="18"/>
                <w:szCs w:val="18"/>
              </w:rPr>
              <w:t xml:space="preserve">Véase el </w:t>
            </w:r>
            <w:r w:rsidR="00A40FA1">
              <w:rPr>
                <w:sz w:val="18"/>
                <w:szCs w:val="18"/>
              </w:rPr>
              <w:t xml:space="preserve">criterio </w:t>
            </w:r>
            <w:r>
              <w:rPr>
                <w:sz w:val="18"/>
                <w:szCs w:val="18"/>
              </w:rPr>
              <w:t>1.</w:t>
            </w:r>
          </w:p>
        </w:tc>
      </w:tr>
      <w:tr w:rsidR="00053768" w:rsidRPr="00CC5E23" w14:paraId="7FA37DA8" w14:textId="77777777" w:rsidTr="004707EA">
        <w:tc>
          <w:tcPr>
            <w:tcW w:w="2977" w:type="dxa"/>
            <w:vMerge/>
            <w:shd w:val="clear" w:color="auto" w:fill="FFFFFF" w:themeFill="background1"/>
          </w:tcPr>
          <w:p w14:paraId="2CF40187" w14:textId="77777777" w:rsidR="00053768" w:rsidRPr="00CC5E23" w:rsidRDefault="00053768" w:rsidP="004707EA">
            <w:pPr>
              <w:pStyle w:val="Tabletext"/>
              <w:rPr>
                <w:sz w:val="18"/>
                <w:szCs w:val="18"/>
              </w:rPr>
            </w:pPr>
          </w:p>
        </w:tc>
        <w:tc>
          <w:tcPr>
            <w:tcW w:w="3969" w:type="dxa"/>
            <w:shd w:val="clear" w:color="auto" w:fill="FFFFFF" w:themeFill="background1"/>
          </w:tcPr>
          <w:p w14:paraId="27EB5D6E" w14:textId="77777777" w:rsidR="00053768" w:rsidRPr="00CC5E23" w:rsidRDefault="00053768" w:rsidP="004707EA">
            <w:pPr>
              <w:pStyle w:val="Tabletext"/>
              <w:rPr>
                <w:sz w:val="18"/>
                <w:szCs w:val="18"/>
              </w:rPr>
            </w:pPr>
            <w:r w:rsidRPr="00CC5E23">
              <w:rPr>
                <w:sz w:val="18"/>
                <w:szCs w:val="18"/>
              </w:rPr>
              <w:t>Delegación de autoridad incorporada a los sistemas existentes de planificación de los recursos institucionales</w:t>
            </w:r>
          </w:p>
        </w:tc>
        <w:tc>
          <w:tcPr>
            <w:tcW w:w="1134" w:type="dxa"/>
            <w:shd w:val="clear" w:color="auto" w:fill="auto"/>
            <w:vAlign w:val="center"/>
          </w:tcPr>
          <w:p w14:paraId="0B6C0015" w14:textId="5370EA84" w:rsidR="00053768" w:rsidRPr="00CC5E23" w:rsidRDefault="00053768" w:rsidP="004707EA">
            <w:pPr>
              <w:pStyle w:val="Tabletext"/>
              <w:jc w:val="center"/>
              <w:rPr>
                <w:sz w:val="18"/>
                <w:szCs w:val="18"/>
              </w:rPr>
            </w:pPr>
            <w:r w:rsidRPr="008127A5">
              <w:rPr>
                <w:sz w:val="18"/>
                <w:szCs w:val="18"/>
              </w:rPr>
              <w:t>En curso</w:t>
            </w:r>
          </w:p>
        </w:tc>
        <w:tc>
          <w:tcPr>
            <w:tcW w:w="6522" w:type="dxa"/>
            <w:shd w:val="clear" w:color="auto" w:fill="auto"/>
          </w:tcPr>
          <w:p w14:paraId="494BE52B" w14:textId="77777777" w:rsidR="00053768" w:rsidRPr="00CC5E23" w:rsidRDefault="00053768" w:rsidP="004707EA">
            <w:pPr>
              <w:pStyle w:val="Tabletext"/>
              <w:rPr>
                <w:sz w:val="18"/>
                <w:szCs w:val="18"/>
              </w:rPr>
            </w:pPr>
            <w:r w:rsidRPr="00CC5E23">
              <w:rPr>
                <w:sz w:val="18"/>
                <w:szCs w:val="18"/>
              </w:rPr>
              <w:t>El acceso al sistema de planificación de los recursos se basa en la separación de funciones</w:t>
            </w:r>
            <w:r>
              <w:rPr>
                <w:sz w:val="18"/>
                <w:szCs w:val="18"/>
              </w:rPr>
              <w:t>.</w:t>
            </w:r>
          </w:p>
        </w:tc>
      </w:tr>
      <w:tr w:rsidR="00053768" w:rsidRPr="00CC5E23" w14:paraId="324DA528" w14:textId="77777777" w:rsidTr="004707EA">
        <w:tc>
          <w:tcPr>
            <w:tcW w:w="2977" w:type="dxa"/>
            <w:vMerge w:val="restart"/>
            <w:shd w:val="clear" w:color="auto" w:fill="FFFFFF" w:themeFill="background1"/>
          </w:tcPr>
          <w:p w14:paraId="3E188A78" w14:textId="77777777" w:rsidR="00053768" w:rsidRPr="00CC5E23" w:rsidRDefault="00053768" w:rsidP="004707EA">
            <w:pPr>
              <w:pStyle w:val="Tabletext"/>
              <w:rPr>
                <w:sz w:val="18"/>
                <w:szCs w:val="18"/>
              </w:rPr>
            </w:pPr>
            <w:r w:rsidRPr="00CC5E23">
              <w:rPr>
                <w:sz w:val="18"/>
                <w:szCs w:val="18"/>
              </w:rPr>
              <w:t xml:space="preserve">11. Los </w:t>
            </w:r>
            <w:proofErr w:type="gramStart"/>
            <w:r w:rsidRPr="00CC5E23">
              <w:rPr>
                <w:sz w:val="18"/>
                <w:szCs w:val="18"/>
              </w:rPr>
              <w:t>reglamentos financieros y las reglamentaciones financieras</w:t>
            </w:r>
            <w:proofErr w:type="gramEnd"/>
            <w:r w:rsidRPr="00CC5E23">
              <w:rPr>
                <w:sz w:val="18"/>
                <w:szCs w:val="18"/>
              </w:rPr>
              <w:t xml:space="preserve"> detalladas de las organizaciones del sistema de las Naciones Unidas comprenden políticas contra el fraude y las faltas de conducta en materia financiera y se aplican en la práctica</w:t>
            </w:r>
            <w:r>
              <w:rPr>
                <w:sz w:val="18"/>
                <w:szCs w:val="18"/>
              </w:rPr>
              <w:t>.</w:t>
            </w:r>
          </w:p>
        </w:tc>
        <w:tc>
          <w:tcPr>
            <w:tcW w:w="3969" w:type="dxa"/>
            <w:shd w:val="clear" w:color="auto" w:fill="FFFFFF" w:themeFill="background1"/>
          </w:tcPr>
          <w:p w14:paraId="4E8501EC" w14:textId="77777777" w:rsidR="00053768" w:rsidRPr="00CC5E23" w:rsidRDefault="00053768" w:rsidP="004707EA">
            <w:pPr>
              <w:pStyle w:val="Tabletext"/>
              <w:rPr>
                <w:sz w:val="18"/>
                <w:szCs w:val="18"/>
              </w:rPr>
            </w:pPr>
            <w:proofErr w:type="gramStart"/>
            <w:r w:rsidRPr="00CC5E23">
              <w:rPr>
                <w:sz w:val="18"/>
                <w:szCs w:val="18"/>
              </w:rPr>
              <w:t>Reglamentos financieros y reglamentaciones financieras</w:t>
            </w:r>
            <w:proofErr w:type="gramEnd"/>
            <w:r w:rsidRPr="00CC5E23">
              <w:rPr>
                <w:sz w:val="18"/>
                <w:szCs w:val="18"/>
              </w:rPr>
              <w:t xml:space="preserve"> detalladas</w:t>
            </w:r>
          </w:p>
        </w:tc>
        <w:tc>
          <w:tcPr>
            <w:tcW w:w="1134" w:type="dxa"/>
            <w:shd w:val="clear" w:color="auto" w:fill="auto"/>
            <w:vAlign w:val="center"/>
          </w:tcPr>
          <w:p w14:paraId="5FA79CE4"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tcPr>
          <w:p w14:paraId="3C3AAEB8" w14:textId="174AFD8F" w:rsidR="00053768" w:rsidRPr="00A40FA1" w:rsidRDefault="00D31DAF" w:rsidP="004707EA">
            <w:pPr>
              <w:pStyle w:val="Tabletext"/>
              <w:rPr>
                <w:sz w:val="18"/>
                <w:szCs w:val="18"/>
              </w:rPr>
            </w:pPr>
            <w:hyperlink r:id="rId18" w:history="1">
              <w:r w:rsidR="00A40FA1" w:rsidRPr="00A40FA1">
                <w:rPr>
                  <w:rStyle w:val="Hyperlink"/>
                  <w:sz w:val="18"/>
                  <w:szCs w:val="18"/>
                </w:rPr>
                <w:t>https://www.itu.int/en/council/Documents/Financial-Regulations/S-GEN-REG_RGTFIN-2018-PDF-S.pdf</w:t>
              </w:r>
            </w:hyperlink>
          </w:p>
        </w:tc>
      </w:tr>
      <w:tr w:rsidR="00053768" w:rsidRPr="00CC5E23" w14:paraId="002DE070" w14:textId="77777777" w:rsidTr="004707EA">
        <w:tc>
          <w:tcPr>
            <w:tcW w:w="2977" w:type="dxa"/>
            <w:vMerge/>
            <w:shd w:val="clear" w:color="auto" w:fill="FFFFFF" w:themeFill="background1"/>
          </w:tcPr>
          <w:p w14:paraId="67C5C0FA" w14:textId="77777777" w:rsidR="00053768" w:rsidRPr="00CC5E23" w:rsidRDefault="00053768" w:rsidP="004707EA">
            <w:pPr>
              <w:pStyle w:val="Tabletext"/>
              <w:rPr>
                <w:sz w:val="18"/>
                <w:szCs w:val="18"/>
              </w:rPr>
            </w:pPr>
          </w:p>
        </w:tc>
        <w:tc>
          <w:tcPr>
            <w:tcW w:w="3969" w:type="dxa"/>
            <w:shd w:val="clear" w:color="auto" w:fill="FFFFFF" w:themeFill="background1"/>
          </w:tcPr>
          <w:p w14:paraId="288921AB" w14:textId="77777777" w:rsidR="00053768" w:rsidRPr="00CC5E23" w:rsidRDefault="00053768" w:rsidP="004707EA">
            <w:pPr>
              <w:pStyle w:val="Tabletext"/>
              <w:rPr>
                <w:sz w:val="18"/>
                <w:szCs w:val="18"/>
              </w:rPr>
            </w:pPr>
            <w:r w:rsidRPr="00CC5E23">
              <w:rPr>
                <w:sz w:val="18"/>
                <w:szCs w:val="18"/>
              </w:rPr>
              <w:t>Declaraciones de conflictos de intereses</w:t>
            </w:r>
          </w:p>
        </w:tc>
        <w:tc>
          <w:tcPr>
            <w:tcW w:w="1134" w:type="dxa"/>
            <w:shd w:val="clear" w:color="auto" w:fill="FFFFFF" w:themeFill="background1"/>
            <w:vAlign w:val="center"/>
          </w:tcPr>
          <w:p w14:paraId="2FDD77B6"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val="restart"/>
            <w:shd w:val="clear" w:color="auto" w:fill="FFFFFF" w:themeFill="background1"/>
          </w:tcPr>
          <w:p w14:paraId="49D4B4EE" w14:textId="07B8BCB7" w:rsidR="00053768" w:rsidRPr="00CC5E23" w:rsidRDefault="00053768" w:rsidP="009F205F">
            <w:pPr>
              <w:pStyle w:val="Tabletext"/>
              <w:rPr>
                <w:sz w:val="18"/>
                <w:szCs w:val="18"/>
              </w:rPr>
            </w:pPr>
            <w:r w:rsidRPr="00CC5E23">
              <w:rPr>
                <w:sz w:val="18"/>
                <w:szCs w:val="18"/>
              </w:rPr>
              <w:t>La UIT presenta anualmente una declaración de posibles conflictos de intereses que afecten a cuestiones financieras o de adquisiciones con arreglo a las normas éticas.</w:t>
            </w:r>
          </w:p>
        </w:tc>
      </w:tr>
      <w:tr w:rsidR="00053768" w:rsidRPr="00CC5E23" w14:paraId="32AB6A11" w14:textId="77777777" w:rsidTr="004707EA">
        <w:tc>
          <w:tcPr>
            <w:tcW w:w="2977" w:type="dxa"/>
            <w:vMerge/>
            <w:shd w:val="clear" w:color="auto" w:fill="FFFFFF" w:themeFill="background1"/>
          </w:tcPr>
          <w:p w14:paraId="7B07D138" w14:textId="77777777" w:rsidR="00053768" w:rsidRPr="00CC5E23" w:rsidRDefault="00053768" w:rsidP="004707EA">
            <w:pPr>
              <w:pStyle w:val="Tabletext"/>
              <w:rPr>
                <w:sz w:val="18"/>
                <w:szCs w:val="18"/>
              </w:rPr>
            </w:pPr>
          </w:p>
        </w:tc>
        <w:tc>
          <w:tcPr>
            <w:tcW w:w="3969" w:type="dxa"/>
            <w:shd w:val="clear" w:color="auto" w:fill="FFFFFF" w:themeFill="background1"/>
          </w:tcPr>
          <w:p w14:paraId="75F25BCF" w14:textId="77777777" w:rsidR="00053768" w:rsidRPr="00CC5E23" w:rsidRDefault="00053768" w:rsidP="004707EA">
            <w:pPr>
              <w:pStyle w:val="Tabletext"/>
              <w:rPr>
                <w:sz w:val="18"/>
                <w:szCs w:val="18"/>
              </w:rPr>
            </w:pPr>
            <w:r w:rsidRPr="00CC5E23">
              <w:rPr>
                <w:sz w:val="18"/>
                <w:szCs w:val="18"/>
              </w:rPr>
              <w:t>Declaraciones de la situación financiera</w:t>
            </w:r>
          </w:p>
        </w:tc>
        <w:tc>
          <w:tcPr>
            <w:tcW w:w="1134" w:type="dxa"/>
            <w:shd w:val="clear" w:color="auto" w:fill="FFFFFF" w:themeFill="background1"/>
          </w:tcPr>
          <w:p w14:paraId="6DB91633"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vMerge/>
            <w:shd w:val="clear" w:color="auto" w:fill="FFFFFF" w:themeFill="background1"/>
          </w:tcPr>
          <w:p w14:paraId="7095820F" w14:textId="77777777" w:rsidR="00053768" w:rsidRPr="00CC5E23" w:rsidRDefault="00053768" w:rsidP="004707EA">
            <w:pPr>
              <w:pStyle w:val="Tabletext"/>
              <w:rPr>
                <w:sz w:val="18"/>
                <w:szCs w:val="18"/>
              </w:rPr>
            </w:pPr>
          </w:p>
        </w:tc>
      </w:tr>
      <w:tr w:rsidR="00053768" w:rsidRPr="00CC5E23" w14:paraId="5A0B8738" w14:textId="77777777" w:rsidTr="004707EA">
        <w:tc>
          <w:tcPr>
            <w:tcW w:w="2977" w:type="dxa"/>
            <w:vMerge/>
            <w:shd w:val="clear" w:color="auto" w:fill="FFFFFF" w:themeFill="background1"/>
          </w:tcPr>
          <w:p w14:paraId="7510E850" w14:textId="77777777" w:rsidR="00053768" w:rsidRPr="00CC5E23" w:rsidRDefault="00053768" w:rsidP="004707EA">
            <w:pPr>
              <w:pStyle w:val="Tabletext"/>
              <w:rPr>
                <w:sz w:val="18"/>
                <w:szCs w:val="18"/>
              </w:rPr>
            </w:pPr>
          </w:p>
        </w:tc>
        <w:tc>
          <w:tcPr>
            <w:tcW w:w="3969" w:type="dxa"/>
            <w:shd w:val="clear" w:color="auto" w:fill="FFFFFF" w:themeFill="background1"/>
          </w:tcPr>
          <w:p w14:paraId="24AD329C" w14:textId="77777777" w:rsidR="00053768" w:rsidRPr="00CC5E23" w:rsidRDefault="00053768" w:rsidP="004707EA">
            <w:pPr>
              <w:pStyle w:val="Tabletext"/>
              <w:rPr>
                <w:sz w:val="18"/>
                <w:szCs w:val="18"/>
              </w:rPr>
            </w:pPr>
            <w:r w:rsidRPr="00CC5E23">
              <w:rPr>
                <w:sz w:val="18"/>
                <w:szCs w:val="18"/>
              </w:rPr>
              <w:t>Políticas de lucha contra el fraude</w:t>
            </w:r>
          </w:p>
        </w:tc>
        <w:tc>
          <w:tcPr>
            <w:tcW w:w="1134" w:type="dxa"/>
            <w:tcBorders>
              <w:bottom w:val="single" w:sz="4" w:space="0" w:color="auto"/>
            </w:tcBorders>
            <w:shd w:val="clear" w:color="auto" w:fill="auto"/>
          </w:tcPr>
          <w:p w14:paraId="237B53BB" w14:textId="2DE1A6F1" w:rsidR="00053768" w:rsidRPr="00CC5E23" w:rsidRDefault="00053768" w:rsidP="004707EA">
            <w:pPr>
              <w:pStyle w:val="Tabletext"/>
              <w:jc w:val="center"/>
              <w:rPr>
                <w:sz w:val="18"/>
                <w:szCs w:val="18"/>
              </w:rPr>
            </w:pPr>
            <w:r w:rsidRPr="00CC5E23">
              <w:rPr>
                <w:sz w:val="18"/>
                <w:szCs w:val="18"/>
              </w:rPr>
              <w:sym w:font="Wingdings" w:char="F0FC"/>
            </w:r>
          </w:p>
        </w:tc>
        <w:tc>
          <w:tcPr>
            <w:tcW w:w="6522" w:type="dxa"/>
            <w:tcBorders>
              <w:bottom w:val="single" w:sz="4" w:space="0" w:color="auto"/>
            </w:tcBorders>
            <w:shd w:val="clear" w:color="auto" w:fill="auto"/>
          </w:tcPr>
          <w:p w14:paraId="4D47E43B" w14:textId="193D169C" w:rsidR="00053768" w:rsidRPr="00CC5E23" w:rsidRDefault="00D31DAF" w:rsidP="004707EA">
            <w:pPr>
              <w:pStyle w:val="Tabletext"/>
              <w:rPr>
                <w:sz w:val="18"/>
                <w:szCs w:val="18"/>
              </w:rPr>
            </w:pPr>
            <w:hyperlink r:id="rId19" w:history="1">
              <w:r w:rsidR="00053768" w:rsidRPr="00A40FA1">
                <w:rPr>
                  <w:rStyle w:val="Hyperlink"/>
                  <w:sz w:val="18"/>
                  <w:szCs w:val="18"/>
                </w:rPr>
                <w:t>https://www.itu.int/en/ethics/Documents/SO-2019-009-en.pdf</w:t>
              </w:r>
            </w:hyperlink>
          </w:p>
        </w:tc>
      </w:tr>
      <w:tr w:rsidR="00053768" w:rsidRPr="00CC5E23" w14:paraId="65DC8A60" w14:textId="77777777" w:rsidTr="004707EA">
        <w:tc>
          <w:tcPr>
            <w:tcW w:w="2977" w:type="dxa"/>
            <w:shd w:val="clear" w:color="auto" w:fill="FFFFFF" w:themeFill="background1"/>
          </w:tcPr>
          <w:p w14:paraId="074F5CBE" w14:textId="77777777" w:rsidR="00053768" w:rsidRPr="00CC5E23" w:rsidRDefault="00053768" w:rsidP="004707EA">
            <w:pPr>
              <w:pStyle w:val="Tabletext"/>
              <w:rPr>
                <w:sz w:val="18"/>
                <w:szCs w:val="18"/>
              </w:rPr>
            </w:pPr>
            <w:r w:rsidRPr="00CC5E23">
              <w:rPr>
                <w:sz w:val="18"/>
                <w:szCs w:val="18"/>
              </w:rPr>
              <w:lastRenderedPageBreak/>
              <w:t>12. Los directivos velan por la aplicación de los controles internos en el marco de su autoridad delegada</w:t>
            </w:r>
            <w:r>
              <w:rPr>
                <w:sz w:val="18"/>
                <w:szCs w:val="18"/>
              </w:rPr>
              <w:t>.</w:t>
            </w:r>
          </w:p>
        </w:tc>
        <w:tc>
          <w:tcPr>
            <w:tcW w:w="3969" w:type="dxa"/>
            <w:shd w:val="clear" w:color="auto" w:fill="FFFFFF" w:themeFill="background1"/>
          </w:tcPr>
          <w:p w14:paraId="0AA59FFF" w14:textId="77777777" w:rsidR="00053768" w:rsidRPr="00CC5E23" w:rsidRDefault="00053768" w:rsidP="004707EA">
            <w:pPr>
              <w:pStyle w:val="Tabletext"/>
              <w:rPr>
                <w:sz w:val="18"/>
                <w:szCs w:val="18"/>
              </w:rPr>
            </w:pPr>
            <w:r w:rsidRPr="00CC5E23">
              <w:rPr>
                <w:sz w:val="18"/>
                <w:szCs w:val="18"/>
              </w:rPr>
              <w:t>Carta o formulario de representación/garantía/afirmación presentada anualmente a los jefes ejecutivos</w:t>
            </w:r>
          </w:p>
        </w:tc>
        <w:tc>
          <w:tcPr>
            <w:tcW w:w="1134" w:type="dxa"/>
            <w:shd w:val="clear" w:color="auto" w:fill="FFFFFF" w:themeFill="background1"/>
          </w:tcPr>
          <w:p w14:paraId="0EF7AB3E" w14:textId="34ED65AB" w:rsidR="00053768" w:rsidRPr="00CC5E23" w:rsidRDefault="00053768" w:rsidP="004707EA">
            <w:pPr>
              <w:pStyle w:val="Tabletext"/>
              <w:jc w:val="center"/>
              <w:rPr>
                <w:sz w:val="18"/>
                <w:szCs w:val="18"/>
              </w:rPr>
            </w:pPr>
            <w:r>
              <w:rPr>
                <w:sz w:val="18"/>
                <w:szCs w:val="18"/>
              </w:rPr>
              <w:t>Continuo</w:t>
            </w:r>
          </w:p>
        </w:tc>
        <w:tc>
          <w:tcPr>
            <w:tcW w:w="6522" w:type="dxa"/>
            <w:shd w:val="clear" w:color="auto" w:fill="FFFFFF" w:themeFill="background1"/>
          </w:tcPr>
          <w:p w14:paraId="4E712671" w14:textId="5BB509ED" w:rsidR="00053768" w:rsidRPr="00CC5E23" w:rsidRDefault="00053768" w:rsidP="009855FA">
            <w:pPr>
              <w:pStyle w:val="Tabletext"/>
              <w:keepLines/>
              <w:rPr>
                <w:sz w:val="18"/>
                <w:szCs w:val="18"/>
              </w:rPr>
            </w:pPr>
            <w:r w:rsidRPr="00CC5E23">
              <w:rPr>
                <w:sz w:val="18"/>
                <w:szCs w:val="18"/>
              </w:rPr>
              <w:t>Se exige a cada funcionario de elección,</w:t>
            </w:r>
            <w:r w:rsidR="009F205F">
              <w:rPr>
                <w:sz w:val="18"/>
                <w:szCs w:val="18"/>
              </w:rPr>
              <w:t xml:space="preserve"> </w:t>
            </w:r>
            <w:r>
              <w:rPr>
                <w:sz w:val="18"/>
                <w:szCs w:val="18"/>
              </w:rPr>
              <w:t>Director Adjunto de las Oficinas,</w:t>
            </w:r>
            <w:r w:rsidRPr="00CC5E23">
              <w:rPr>
                <w:sz w:val="18"/>
                <w:szCs w:val="18"/>
              </w:rPr>
              <w:t xml:space="preserve"> jefe de departamento y jefe de dependencia de </w:t>
            </w:r>
            <w:r>
              <w:rPr>
                <w:sz w:val="18"/>
                <w:szCs w:val="18"/>
              </w:rPr>
              <w:t xml:space="preserve">la </w:t>
            </w:r>
            <w:r w:rsidRPr="00CC5E23">
              <w:rPr>
                <w:sz w:val="18"/>
                <w:szCs w:val="18"/>
              </w:rPr>
              <w:t>SG que presente una Carta Interna de Representación que constituya la confirmación por escrito de que han ejercido debidamente las atribuciones y responsabilidades delegadas.</w:t>
            </w:r>
            <w:r>
              <w:t xml:space="preserve"> </w:t>
            </w:r>
            <w:r w:rsidRPr="008127A5">
              <w:rPr>
                <w:sz w:val="18"/>
                <w:szCs w:val="18"/>
              </w:rPr>
              <w:t>En este proceso se examinarán otras posibles mejoras; se evaluará si se ha demostrado que es un instrumento útil y cómo se pueden mejorar aún más los procesos de control interno.</w:t>
            </w:r>
          </w:p>
        </w:tc>
      </w:tr>
      <w:tr w:rsidR="00053768" w:rsidRPr="00CC5E23" w14:paraId="61A570B5" w14:textId="77777777" w:rsidTr="004707EA">
        <w:tc>
          <w:tcPr>
            <w:tcW w:w="2977" w:type="dxa"/>
            <w:vMerge w:val="restart"/>
            <w:shd w:val="clear" w:color="auto" w:fill="FFFFFF" w:themeFill="background1"/>
          </w:tcPr>
          <w:p w14:paraId="58B57019" w14:textId="77777777" w:rsidR="00053768" w:rsidRPr="00CC5E23" w:rsidRDefault="00053768" w:rsidP="004707EA">
            <w:pPr>
              <w:pStyle w:val="Tabletext"/>
              <w:rPr>
                <w:sz w:val="18"/>
                <w:szCs w:val="18"/>
              </w:rPr>
            </w:pPr>
            <w:r w:rsidRPr="00CC5E23">
              <w:rPr>
                <w:sz w:val="18"/>
                <w:szCs w:val="18"/>
              </w:rPr>
              <w:t>13. El personal tiene acceso a toda la información pertinente y fiable que pueda facilitar la adopción de decisiones de conformidad con su autoridad delegada, y la organización cuenta con un sistema de comunicación interna y externa</w:t>
            </w:r>
            <w:r>
              <w:rPr>
                <w:sz w:val="18"/>
                <w:szCs w:val="18"/>
              </w:rPr>
              <w:t>.</w:t>
            </w:r>
          </w:p>
        </w:tc>
        <w:tc>
          <w:tcPr>
            <w:tcW w:w="3969" w:type="dxa"/>
            <w:shd w:val="clear" w:color="auto" w:fill="FFFFFF" w:themeFill="background1"/>
          </w:tcPr>
          <w:p w14:paraId="439A4626" w14:textId="77777777" w:rsidR="00053768" w:rsidRPr="00CC5E23" w:rsidRDefault="00053768" w:rsidP="004707EA">
            <w:pPr>
              <w:pStyle w:val="Tabletext"/>
              <w:rPr>
                <w:sz w:val="18"/>
                <w:szCs w:val="18"/>
              </w:rPr>
            </w:pPr>
            <w:r w:rsidRPr="00CC5E23">
              <w:rPr>
                <w:sz w:val="18"/>
                <w:szCs w:val="18"/>
              </w:rPr>
              <w:t>Existencia de un sistema de planificación de los recursos institucionales o sistema similar para reunir y documentar la información pertinente</w:t>
            </w:r>
          </w:p>
        </w:tc>
        <w:tc>
          <w:tcPr>
            <w:tcW w:w="1134" w:type="dxa"/>
            <w:shd w:val="clear" w:color="auto" w:fill="auto"/>
          </w:tcPr>
          <w:p w14:paraId="1081FC32" w14:textId="12622F16" w:rsidR="00053768" w:rsidRPr="00CC5E23" w:rsidRDefault="00053768" w:rsidP="004707EA">
            <w:pPr>
              <w:pStyle w:val="Tabletext"/>
              <w:jc w:val="center"/>
              <w:rPr>
                <w:sz w:val="18"/>
                <w:szCs w:val="18"/>
              </w:rPr>
            </w:pPr>
            <w:r>
              <w:rPr>
                <w:sz w:val="18"/>
                <w:szCs w:val="18"/>
              </w:rPr>
              <w:t>Continuo</w:t>
            </w:r>
          </w:p>
        </w:tc>
        <w:tc>
          <w:tcPr>
            <w:tcW w:w="6522" w:type="dxa"/>
            <w:vMerge w:val="restart"/>
            <w:shd w:val="clear" w:color="auto" w:fill="auto"/>
            <w:vAlign w:val="center"/>
          </w:tcPr>
          <w:p w14:paraId="65B4BC37" w14:textId="1427DF17" w:rsidR="00053768" w:rsidRPr="00CC5E23" w:rsidRDefault="00053768" w:rsidP="00F14466">
            <w:pPr>
              <w:pStyle w:val="Tabletext"/>
              <w:rPr>
                <w:sz w:val="18"/>
                <w:szCs w:val="18"/>
              </w:rPr>
            </w:pPr>
            <w:r w:rsidRPr="00CC5E23">
              <w:rPr>
                <w:sz w:val="18"/>
                <w:szCs w:val="18"/>
              </w:rPr>
              <w:t>La UIT gestiona la información y el conocimiento a través de un sistema de gestión de la información normalizado, a saber, ERP, SharePoint, repositorios de ficheros y herramientas de BI, que facilita al personal el acceso a la información dependiendo de su misión y funciones.</w:t>
            </w:r>
            <w:r w:rsidR="003F2626">
              <w:rPr>
                <w:sz w:val="18"/>
                <w:szCs w:val="18"/>
              </w:rPr>
              <w:t xml:space="preserve"> </w:t>
            </w:r>
            <w:r w:rsidR="003F2626" w:rsidRPr="003F2626">
              <w:rPr>
                <w:sz w:val="18"/>
                <w:szCs w:val="18"/>
                <w:lang w:val="es-ES"/>
              </w:rPr>
              <w:t>Se estudiará la cuestión de la información pertinente y fiable para apoyar la toma de decisiones, así como las mejoras necesarias en est</w:t>
            </w:r>
            <w:r w:rsidR="00F14466">
              <w:rPr>
                <w:sz w:val="18"/>
                <w:szCs w:val="18"/>
                <w:lang w:val="es-ES"/>
              </w:rPr>
              <w:t>a</w:t>
            </w:r>
            <w:r w:rsidR="003F2626" w:rsidRPr="003F2626">
              <w:rPr>
                <w:sz w:val="18"/>
                <w:szCs w:val="18"/>
                <w:lang w:val="es-ES"/>
              </w:rPr>
              <w:t xml:space="preserve"> área.</w:t>
            </w:r>
            <w:r w:rsidR="003F2626">
              <w:rPr>
                <w:lang w:val="es-ES"/>
              </w:rPr>
              <w:t xml:space="preserve"> </w:t>
            </w:r>
          </w:p>
        </w:tc>
      </w:tr>
      <w:tr w:rsidR="00053768" w:rsidRPr="00CC5E23" w14:paraId="08388A55" w14:textId="77777777" w:rsidTr="004707EA">
        <w:tc>
          <w:tcPr>
            <w:tcW w:w="2977" w:type="dxa"/>
            <w:vMerge/>
            <w:shd w:val="clear" w:color="auto" w:fill="FFFFFF" w:themeFill="background1"/>
          </w:tcPr>
          <w:p w14:paraId="22E1AAB8" w14:textId="77777777" w:rsidR="00053768" w:rsidRPr="00CC5E23" w:rsidRDefault="00053768" w:rsidP="004707EA">
            <w:pPr>
              <w:pStyle w:val="Tabletext"/>
              <w:rPr>
                <w:sz w:val="18"/>
                <w:szCs w:val="18"/>
              </w:rPr>
            </w:pPr>
          </w:p>
        </w:tc>
        <w:tc>
          <w:tcPr>
            <w:tcW w:w="3969" w:type="dxa"/>
            <w:shd w:val="clear" w:color="auto" w:fill="FFFFFF" w:themeFill="background1"/>
          </w:tcPr>
          <w:p w14:paraId="465F1BF3" w14:textId="77777777" w:rsidR="00053768" w:rsidRPr="00CC5E23" w:rsidRDefault="00053768" w:rsidP="004707EA">
            <w:pPr>
              <w:pStyle w:val="Tabletext"/>
              <w:rPr>
                <w:sz w:val="18"/>
                <w:szCs w:val="18"/>
              </w:rPr>
            </w:pPr>
            <w:r w:rsidRPr="00CC5E23">
              <w:rPr>
                <w:sz w:val="18"/>
                <w:szCs w:val="18"/>
              </w:rPr>
              <w:t>Pleno aprovechamiento de los canales de comunicación interna</w:t>
            </w:r>
          </w:p>
        </w:tc>
        <w:tc>
          <w:tcPr>
            <w:tcW w:w="1134" w:type="dxa"/>
            <w:shd w:val="clear" w:color="auto" w:fill="auto"/>
          </w:tcPr>
          <w:p w14:paraId="49C02194" w14:textId="272A65AA" w:rsidR="00053768" w:rsidRPr="00CC5E23" w:rsidRDefault="00053768" w:rsidP="004707EA">
            <w:pPr>
              <w:pStyle w:val="Tabletext"/>
              <w:jc w:val="center"/>
              <w:rPr>
                <w:sz w:val="18"/>
                <w:szCs w:val="18"/>
              </w:rPr>
            </w:pPr>
            <w:r>
              <w:rPr>
                <w:sz w:val="18"/>
                <w:szCs w:val="18"/>
              </w:rPr>
              <w:t>Continuo</w:t>
            </w:r>
          </w:p>
        </w:tc>
        <w:tc>
          <w:tcPr>
            <w:tcW w:w="6522" w:type="dxa"/>
            <w:vMerge/>
            <w:shd w:val="clear" w:color="auto" w:fill="FFFF00"/>
          </w:tcPr>
          <w:p w14:paraId="6AD4FE9C" w14:textId="77777777" w:rsidR="00053768" w:rsidRPr="00CC5E23" w:rsidRDefault="00053768" w:rsidP="004707EA">
            <w:pPr>
              <w:pStyle w:val="Tabletext"/>
              <w:rPr>
                <w:sz w:val="18"/>
                <w:szCs w:val="18"/>
              </w:rPr>
            </w:pPr>
          </w:p>
        </w:tc>
      </w:tr>
      <w:tr w:rsidR="00053768" w:rsidRPr="00CC5E23" w14:paraId="0A37E18C" w14:textId="77777777" w:rsidTr="004707EA">
        <w:tc>
          <w:tcPr>
            <w:tcW w:w="2977" w:type="dxa"/>
            <w:vMerge/>
            <w:shd w:val="clear" w:color="auto" w:fill="FFFFFF" w:themeFill="background1"/>
          </w:tcPr>
          <w:p w14:paraId="7C1F8277" w14:textId="77777777" w:rsidR="00053768" w:rsidRPr="00CC5E23" w:rsidRDefault="00053768" w:rsidP="004707EA">
            <w:pPr>
              <w:pStyle w:val="Tabletext"/>
              <w:rPr>
                <w:sz w:val="18"/>
                <w:szCs w:val="18"/>
              </w:rPr>
            </w:pPr>
          </w:p>
        </w:tc>
        <w:tc>
          <w:tcPr>
            <w:tcW w:w="3969" w:type="dxa"/>
            <w:shd w:val="clear" w:color="auto" w:fill="FFFFFF" w:themeFill="background1"/>
          </w:tcPr>
          <w:p w14:paraId="5FDD1A25" w14:textId="77777777" w:rsidR="00053768" w:rsidRPr="00CC5E23" w:rsidRDefault="00053768" w:rsidP="004707EA">
            <w:pPr>
              <w:pStyle w:val="Tabletext"/>
              <w:rPr>
                <w:sz w:val="18"/>
                <w:szCs w:val="18"/>
              </w:rPr>
            </w:pPr>
            <w:r w:rsidRPr="00CC5E23">
              <w:rPr>
                <w:sz w:val="18"/>
                <w:szCs w:val="18"/>
              </w:rPr>
              <w:t>Funcionamiento de un sistema de divulgación de información</w:t>
            </w:r>
          </w:p>
        </w:tc>
        <w:tc>
          <w:tcPr>
            <w:tcW w:w="1134" w:type="dxa"/>
            <w:shd w:val="clear" w:color="auto" w:fill="auto"/>
          </w:tcPr>
          <w:p w14:paraId="4040F4A7" w14:textId="208AFA7C" w:rsidR="00053768" w:rsidRPr="00CC5E23" w:rsidRDefault="00053768" w:rsidP="004707EA">
            <w:pPr>
              <w:pStyle w:val="Tabletext"/>
              <w:jc w:val="center"/>
              <w:rPr>
                <w:sz w:val="18"/>
                <w:szCs w:val="18"/>
              </w:rPr>
            </w:pPr>
            <w:r>
              <w:rPr>
                <w:sz w:val="18"/>
                <w:szCs w:val="18"/>
              </w:rPr>
              <w:t>Continuo</w:t>
            </w:r>
          </w:p>
        </w:tc>
        <w:tc>
          <w:tcPr>
            <w:tcW w:w="6522" w:type="dxa"/>
            <w:vMerge/>
            <w:shd w:val="clear" w:color="auto" w:fill="FFFF00"/>
          </w:tcPr>
          <w:p w14:paraId="16F68423" w14:textId="77777777" w:rsidR="00053768" w:rsidRPr="00CC5E23" w:rsidRDefault="00053768" w:rsidP="004707EA">
            <w:pPr>
              <w:pStyle w:val="Tabletext"/>
              <w:rPr>
                <w:sz w:val="18"/>
                <w:szCs w:val="18"/>
              </w:rPr>
            </w:pPr>
          </w:p>
        </w:tc>
      </w:tr>
      <w:tr w:rsidR="00053768" w:rsidRPr="00CC5E23" w14:paraId="3DB1D83E" w14:textId="77777777" w:rsidTr="004707EA">
        <w:tc>
          <w:tcPr>
            <w:tcW w:w="2977" w:type="dxa"/>
            <w:vMerge w:val="restart"/>
            <w:shd w:val="clear" w:color="auto" w:fill="FFFFFF" w:themeFill="background1"/>
          </w:tcPr>
          <w:p w14:paraId="1CD47F7E" w14:textId="77777777" w:rsidR="00053768" w:rsidRPr="00CC5E23" w:rsidRDefault="00053768" w:rsidP="004707EA">
            <w:pPr>
              <w:pStyle w:val="Tabletext"/>
              <w:rPr>
                <w:sz w:val="18"/>
                <w:szCs w:val="18"/>
              </w:rPr>
            </w:pPr>
            <w:r w:rsidRPr="00CC5E23">
              <w:rPr>
                <w:sz w:val="18"/>
                <w:szCs w:val="18"/>
              </w:rPr>
              <w:t>14. Se supervisa la actuación profesional de los jefes ejecutivos, los directivos superiores y los funcionarios y se adoptan cuando es necesario las medidas correctivas pertinentes</w:t>
            </w:r>
            <w:r>
              <w:rPr>
                <w:sz w:val="18"/>
                <w:szCs w:val="18"/>
              </w:rPr>
              <w:t>.</w:t>
            </w:r>
          </w:p>
        </w:tc>
        <w:tc>
          <w:tcPr>
            <w:tcW w:w="3969" w:type="dxa"/>
            <w:shd w:val="clear" w:color="auto" w:fill="FFFFFF" w:themeFill="background1"/>
          </w:tcPr>
          <w:p w14:paraId="1F2BD121" w14:textId="77777777" w:rsidR="00053768" w:rsidRPr="00CC5E23" w:rsidRDefault="00053768" w:rsidP="004707EA">
            <w:pPr>
              <w:pStyle w:val="Tabletext"/>
              <w:rPr>
                <w:sz w:val="18"/>
                <w:szCs w:val="18"/>
              </w:rPr>
            </w:pPr>
            <w:r w:rsidRPr="00CC5E23">
              <w:rPr>
                <w:sz w:val="18"/>
                <w:szCs w:val="18"/>
              </w:rPr>
              <w:t>Evaluaciones de la actuación profesional del personal de todas las categorías, incluida retroinformación de 360 grados</w:t>
            </w:r>
          </w:p>
        </w:tc>
        <w:tc>
          <w:tcPr>
            <w:tcW w:w="1134" w:type="dxa"/>
            <w:shd w:val="clear" w:color="auto" w:fill="FFFFFF" w:themeFill="background1"/>
          </w:tcPr>
          <w:p w14:paraId="6F0295FC" w14:textId="0EB824B7" w:rsidR="00053768" w:rsidRPr="00CC5E23" w:rsidRDefault="00053768" w:rsidP="004707EA">
            <w:pPr>
              <w:pStyle w:val="Tabletext"/>
              <w:jc w:val="center"/>
              <w:rPr>
                <w:sz w:val="18"/>
                <w:szCs w:val="18"/>
              </w:rPr>
            </w:pPr>
            <w:r>
              <w:rPr>
                <w:sz w:val="18"/>
                <w:szCs w:val="18"/>
              </w:rPr>
              <w:t>No se aplica</w:t>
            </w:r>
          </w:p>
        </w:tc>
        <w:tc>
          <w:tcPr>
            <w:tcW w:w="6522" w:type="dxa"/>
            <w:shd w:val="clear" w:color="auto" w:fill="auto"/>
            <w:vAlign w:val="center"/>
          </w:tcPr>
          <w:p w14:paraId="5140CAD3" w14:textId="017F2B92" w:rsidR="00053768" w:rsidRPr="00CC5E23" w:rsidRDefault="00053768" w:rsidP="004707EA">
            <w:pPr>
              <w:pStyle w:val="Tabletext"/>
              <w:rPr>
                <w:sz w:val="18"/>
                <w:szCs w:val="18"/>
              </w:rPr>
            </w:pPr>
            <w:r w:rsidRPr="00CC5E23">
              <w:rPr>
                <w:sz w:val="18"/>
                <w:szCs w:val="18"/>
              </w:rPr>
              <w:t>El nuevo sistema de evaluación no incluye retroinformación de 360 grados.</w:t>
            </w:r>
            <w:r>
              <w:rPr>
                <w:sz w:val="18"/>
                <w:szCs w:val="18"/>
              </w:rPr>
              <w:t xml:space="preserve"> Se estudiará y analizará la posible introducción de un proyecto piloto para estudiar los beneficios de un mecanismo d</w:t>
            </w:r>
            <w:r w:rsidR="00A40FA1">
              <w:rPr>
                <w:sz w:val="18"/>
                <w:szCs w:val="18"/>
              </w:rPr>
              <w:t>e</w:t>
            </w:r>
            <w:r>
              <w:rPr>
                <w:sz w:val="18"/>
                <w:szCs w:val="18"/>
              </w:rPr>
              <w:t xml:space="preserve"> este tipo.</w:t>
            </w:r>
          </w:p>
        </w:tc>
      </w:tr>
      <w:tr w:rsidR="00053768" w:rsidRPr="00CC5E23" w14:paraId="1B1FEC76" w14:textId="77777777" w:rsidTr="004707EA">
        <w:tc>
          <w:tcPr>
            <w:tcW w:w="2977" w:type="dxa"/>
            <w:vMerge/>
            <w:shd w:val="clear" w:color="auto" w:fill="FFFFFF" w:themeFill="background1"/>
          </w:tcPr>
          <w:p w14:paraId="6AC1A953" w14:textId="77777777" w:rsidR="00053768" w:rsidRPr="00CC5E23" w:rsidRDefault="00053768" w:rsidP="004707EA">
            <w:pPr>
              <w:pStyle w:val="Tabletext"/>
              <w:rPr>
                <w:sz w:val="18"/>
                <w:szCs w:val="18"/>
              </w:rPr>
            </w:pPr>
          </w:p>
        </w:tc>
        <w:tc>
          <w:tcPr>
            <w:tcW w:w="3969" w:type="dxa"/>
            <w:shd w:val="clear" w:color="auto" w:fill="FFFFFF" w:themeFill="background1"/>
          </w:tcPr>
          <w:p w14:paraId="2289B716" w14:textId="77777777" w:rsidR="00053768" w:rsidRPr="00CC5E23" w:rsidRDefault="00053768" w:rsidP="004707EA">
            <w:pPr>
              <w:pStyle w:val="Tabletext"/>
              <w:rPr>
                <w:sz w:val="18"/>
                <w:szCs w:val="18"/>
              </w:rPr>
            </w:pPr>
            <w:r w:rsidRPr="00CC5E23">
              <w:rPr>
                <w:sz w:val="18"/>
                <w:szCs w:val="18"/>
              </w:rPr>
              <w:t>Pactos del personal directivo superior o sistemas de puntuación</w:t>
            </w:r>
          </w:p>
        </w:tc>
        <w:tc>
          <w:tcPr>
            <w:tcW w:w="1134" w:type="dxa"/>
            <w:shd w:val="clear" w:color="auto" w:fill="auto"/>
            <w:vAlign w:val="center"/>
          </w:tcPr>
          <w:p w14:paraId="184189FB" w14:textId="496546C3" w:rsidR="00053768" w:rsidRPr="00CC5E23" w:rsidRDefault="00053768" w:rsidP="004707EA">
            <w:pPr>
              <w:pStyle w:val="Tabletext"/>
              <w:jc w:val="center"/>
              <w:rPr>
                <w:sz w:val="18"/>
                <w:szCs w:val="18"/>
              </w:rPr>
            </w:pPr>
            <w:r>
              <w:rPr>
                <w:sz w:val="18"/>
                <w:szCs w:val="18"/>
              </w:rPr>
              <w:t>Continuo</w:t>
            </w:r>
          </w:p>
        </w:tc>
        <w:tc>
          <w:tcPr>
            <w:tcW w:w="6522" w:type="dxa"/>
            <w:shd w:val="clear" w:color="auto" w:fill="auto"/>
            <w:vAlign w:val="center"/>
          </w:tcPr>
          <w:p w14:paraId="2557247F" w14:textId="77777777" w:rsidR="00053768" w:rsidRPr="00CC5E23" w:rsidRDefault="00053768" w:rsidP="004707EA">
            <w:pPr>
              <w:pStyle w:val="Tabletext"/>
              <w:rPr>
                <w:sz w:val="18"/>
                <w:szCs w:val="18"/>
              </w:rPr>
            </w:pPr>
            <w:r>
              <w:rPr>
                <w:sz w:val="18"/>
                <w:szCs w:val="18"/>
              </w:rPr>
              <w:t>Cuadro de mando en fase de preparación.</w:t>
            </w:r>
          </w:p>
        </w:tc>
      </w:tr>
      <w:tr w:rsidR="00053768" w:rsidRPr="00CC5E23" w14:paraId="31C9F434" w14:textId="77777777" w:rsidTr="004707EA">
        <w:tc>
          <w:tcPr>
            <w:tcW w:w="2977" w:type="dxa"/>
            <w:vMerge/>
            <w:shd w:val="clear" w:color="auto" w:fill="FFFFFF" w:themeFill="background1"/>
          </w:tcPr>
          <w:p w14:paraId="32BF39EB" w14:textId="77777777" w:rsidR="00053768" w:rsidRPr="00CC5E23" w:rsidRDefault="00053768" w:rsidP="004707EA">
            <w:pPr>
              <w:pStyle w:val="Tabletext"/>
              <w:rPr>
                <w:sz w:val="18"/>
                <w:szCs w:val="18"/>
              </w:rPr>
            </w:pPr>
          </w:p>
        </w:tc>
        <w:tc>
          <w:tcPr>
            <w:tcW w:w="3969" w:type="dxa"/>
            <w:shd w:val="clear" w:color="auto" w:fill="FFFFFF" w:themeFill="background1"/>
          </w:tcPr>
          <w:p w14:paraId="6D1DB80C" w14:textId="77777777" w:rsidR="00053768" w:rsidRPr="00CC5E23" w:rsidRDefault="00053768" w:rsidP="004707EA">
            <w:pPr>
              <w:pStyle w:val="Tabletext"/>
              <w:rPr>
                <w:sz w:val="18"/>
                <w:szCs w:val="18"/>
              </w:rPr>
            </w:pPr>
            <w:r w:rsidRPr="00CC5E23">
              <w:rPr>
                <w:sz w:val="18"/>
                <w:szCs w:val="18"/>
              </w:rPr>
              <w:t>Medidas correctivas para el personal que no rinda lo suficiente</w:t>
            </w:r>
          </w:p>
        </w:tc>
        <w:tc>
          <w:tcPr>
            <w:tcW w:w="1134" w:type="dxa"/>
            <w:shd w:val="clear" w:color="auto" w:fill="auto"/>
            <w:vAlign w:val="center"/>
          </w:tcPr>
          <w:p w14:paraId="282A8FBC"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vAlign w:val="center"/>
          </w:tcPr>
          <w:p w14:paraId="03D8DE04" w14:textId="77777777" w:rsidR="00053768" w:rsidRPr="00CC5E23" w:rsidRDefault="00053768" w:rsidP="004707EA">
            <w:pPr>
              <w:pStyle w:val="Tabletext"/>
              <w:rPr>
                <w:sz w:val="18"/>
                <w:szCs w:val="18"/>
              </w:rPr>
            </w:pPr>
            <w:r w:rsidRPr="00CC5E23">
              <w:rPr>
                <w:sz w:val="18"/>
                <w:szCs w:val="18"/>
              </w:rPr>
              <w:t>Se invita a los funcionarios a adoptar medidas a través del establecimiento de planes formativos para subsanar esta situación, en colaboración con sus supervisores.</w:t>
            </w:r>
          </w:p>
        </w:tc>
      </w:tr>
      <w:tr w:rsidR="00053768" w:rsidRPr="00CC5E23" w14:paraId="1E4714C1" w14:textId="77777777" w:rsidTr="004707EA">
        <w:tc>
          <w:tcPr>
            <w:tcW w:w="2977" w:type="dxa"/>
            <w:vMerge w:val="restart"/>
            <w:shd w:val="clear" w:color="auto" w:fill="FFFFFF" w:themeFill="background1"/>
          </w:tcPr>
          <w:p w14:paraId="2BAA43F0" w14:textId="77777777" w:rsidR="00053768" w:rsidRPr="00CC5E23" w:rsidRDefault="00053768" w:rsidP="004707EA">
            <w:pPr>
              <w:pStyle w:val="Tabletext"/>
              <w:rPr>
                <w:sz w:val="18"/>
                <w:szCs w:val="18"/>
              </w:rPr>
            </w:pPr>
            <w:r w:rsidRPr="00CC5E23">
              <w:rPr>
                <w:sz w:val="18"/>
                <w:szCs w:val="18"/>
              </w:rPr>
              <w:t>15. Las recomendaciones de los órganos de supervisión/auditorías y evaluaciones internas se aplican y son objeto de seguimiento, y en caso contrario se aporta una justificación clara</w:t>
            </w:r>
            <w:r>
              <w:rPr>
                <w:sz w:val="18"/>
                <w:szCs w:val="18"/>
              </w:rPr>
              <w:t>.</w:t>
            </w:r>
          </w:p>
        </w:tc>
        <w:tc>
          <w:tcPr>
            <w:tcW w:w="3969" w:type="dxa"/>
            <w:shd w:val="clear" w:color="auto" w:fill="FFFFFF" w:themeFill="background1"/>
          </w:tcPr>
          <w:p w14:paraId="3DFD07E2" w14:textId="77777777" w:rsidR="00053768" w:rsidRPr="00CC5E23" w:rsidRDefault="00053768" w:rsidP="004707EA">
            <w:pPr>
              <w:pStyle w:val="Tabletext"/>
              <w:rPr>
                <w:sz w:val="18"/>
                <w:szCs w:val="18"/>
              </w:rPr>
            </w:pPr>
            <w:r w:rsidRPr="00CC5E23">
              <w:rPr>
                <w:sz w:val="18"/>
                <w:szCs w:val="18"/>
              </w:rPr>
              <w:t>Política de divulgación de información</w:t>
            </w:r>
          </w:p>
        </w:tc>
        <w:tc>
          <w:tcPr>
            <w:tcW w:w="1134" w:type="dxa"/>
            <w:shd w:val="clear" w:color="auto" w:fill="auto"/>
          </w:tcPr>
          <w:p w14:paraId="2F243DB2" w14:textId="4D588F3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tcPr>
          <w:p w14:paraId="1C5FB247" w14:textId="35EA3D78" w:rsidR="00053768" w:rsidRPr="00CC5E23" w:rsidRDefault="00053768" w:rsidP="004707EA">
            <w:pPr>
              <w:pStyle w:val="Tabletext"/>
              <w:rPr>
                <w:sz w:val="18"/>
                <w:szCs w:val="18"/>
              </w:rPr>
            </w:pPr>
            <w:r>
              <w:rPr>
                <w:sz w:val="18"/>
                <w:szCs w:val="18"/>
              </w:rPr>
              <w:t>La</w:t>
            </w:r>
            <w:r w:rsidRPr="00CC5E23">
              <w:rPr>
                <w:sz w:val="18"/>
                <w:szCs w:val="18"/>
              </w:rPr>
              <w:t xml:space="preserve"> política de acceso a la información y los documentos de la UIT entró en vigor el 1</w:t>
            </w:r>
            <w:r w:rsidR="00381DC3">
              <w:rPr>
                <w:sz w:val="18"/>
                <w:szCs w:val="18"/>
              </w:rPr>
              <w:t> </w:t>
            </w:r>
            <w:r w:rsidRPr="00CC5E23">
              <w:rPr>
                <w:sz w:val="18"/>
                <w:szCs w:val="18"/>
              </w:rPr>
              <w:t>de enero de 2017.</w:t>
            </w:r>
          </w:p>
        </w:tc>
      </w:tr>
      <w:tr w:rsidR="00053768" w:rsidRPr="00CC5E23" w14:paraId="73C8C18E" w14:textId="77777777" w:rsidTr="004707EA">
        <w:tc>
          <w:tcPr>
            <w:tcW w:w="2977" w:type="dxa"/>
            <w:vMerge/>
            <w:shd w:val="clear" w:color="auto" w:fill="FFFFFF" w:themeFill="background1"/>
          </w:tcPr>
          <w:p w14:paraId="27F3E41E" w14:textId="77777777" w:rsidR="00053768" w:rsidRPr="00CC5E23" w:rsidRDefault="00053768" w:rsidP="004707EA">
            <w:pPr>
              <w:pStyle w:val="Tabletext"/>
              <w:rPr>
                <w:sz w:val="18"/>
                <w:szCs w:val="18"/>
              </w:rPr>
            </w:pPr>
          </w:p>
        </w:tc>
        <w:tc>
          <w:tcPr>
            <w:tcW w:w="3969" w:type="dxa"/>
            <w:shd w:val="clear" w:color="auto" w:fill="FFFFFF" w:themeFill="background1"/>
          </w:tcPr>
          <w:p w14:paraId="5283089F" w14:textId="77777777" w:rsidR="00053768" w:rsidRPr="00CC5E23" w:rsidRDefault="00053768" w:rsidP="004707EA">
            <w:pPr>
              <w:pStyle w:val="Tabletext"/>
              <w:rPr>
                <w:sz w:val="18"/>
                <w:szCs w:val="18"/>
              </w:rPr>
            </w:pPr>
            <w:r w:rsidRPr="00CC5E23">
              <w:rPr>
                <w:sz w:val="18"/>
                <w:szCs w:val="18"/>
              </w:rPr>
              <w:t>Presentación de informes sobre las recomendaciones de supervisión externa e interna</w:t>
            </w:r>
          </w:p>
        </w:tc>
        <w:tc>
          <w:tcPr>
            <w:tcW w:w="1134" w:type="dxa"/>
            <w:shd w:val="clear" w:color="auto" w:fill="auto"/>
            <w:vAlign w:val="center"/>
          </w:tcPr>
          <w:p w14:paraId="07EE9EAC"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tcPr>
          <w:p w14:paraId="6849D6F7" w14:textId="77777777" w:rsidR="00053768" w:rsidRPr="00CC5E23" w:rsidRDefault="00053768" w:rsidP="004707EA">
            <w:pPr>
              <w:pStyle w:val="Tabletext"/>
              <w:rPr>
                <w:sz w:val="18"/>
                <w:szCs w:val="18"/>
              </w:rPr>
            </w:pPr>
            <w:r w:rsidRPr="00CC5E23">
              <w:rPr>
                <w:sz w:val="18"/>
                <w:szCs w:val="18"/>
              </w:rPr>
              <w:t>La SG y el CAIG reciben periódicamente novedades sobre la implementación de las recomendaciones de los auditores externos e internos.</w:t>
            </w:r>
          </w:p>
        </w:tc>
      </w:tr>
      <w:tr w:rsidR="00053768" w:rsidRPr="00CC5E23" w14:paraId="03A86ED5" w14:textId="77777777" w:rsidTr="004707EA">
        <w:tc>
          <w:tcPr>
            <w:tcW w:w="2977" w:type="dxa"/>
            <w:vMerge/>
            <w:shd w:val="clear" w:color="auto" w:fill="FFFFFF" w:themeFill="background1"/>
          </w:tcPr>
          <w:p w14:paraId="77B66024" w14:textId="77777777" w:rsidR="00053768" w:rsidRPr="00CC5E23" w:rsidRDefault="00053768" w:rsidP="004707EA">
            <w:pPr>
              <w:pStyle w:val="Tabletext"/>
              <w:rPr>
                <w:sz w:val="18"/>
                <w:szCs w:val="18"/>
              </w:rPr>
            </w:pPr>
          </w:p>
        </w:tc>
        <w:tc>
          <w:tcPr>
            <w:tcW w:w="3969" w:type="dxa"/>
            <w:shd w:val="clear" w:color="auto" w:fill="FFFFFF" w:themeFill="background1"/>
          </w:tcPr>
          <w:p w14:paraId="2A933326" w14:textId="77777777" w:rsidR="00053768" w:rsidRPr="00CC5E23" w:rsidRDefault="00053768" w:rsidP="004707EA">
            <w:pPr>
              <w:pStyle w:val="Tabletext"/>
              <w:rPr>
                <w:sz w:val="18"/>
                <w:szCs w:val="18"/>
              </w:rPr>
            </w:pPr>
            <w:r w:rsidRPr="00CC5E23">
              <w:rPr>
                <w:sz w:val="18"/>
                <w:szCs w:val="18"/>
              </w:rPr>
              <w:t>Seguimiento de las recomendaciones de las auditorías internas y externas, de los órganos de supervisión y de las evaluaciones internas, las evaluaciones independientes y las autoevaluaciones</w:t>
            </w:r>
          </w:p>
        </w:tc>
        <w:tc>
          <w:tcPr>
            <w:tcW w:w="1134" w:type="dxa"/>
            <w:shd w:val="clear" w:color="auto" w:fill="auto"/>
            <w:vAlign w:val="center"/>
          </w:tcPr>
          <w:p w14:paraId="6C1E0C33"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2" w:type="dxa"/>
            <w:shd w:val="clear" w:color="auto" w:fill="auto"/>
          </w:tcPr>
          <w:p w14:paraId="57C6E0BC" w14:textId="77777777" w:rsidR="00053768" w:rsidRPr="00CC5E23" w:rsidRDefault="00053768" w:rsidP="004707EA">
            <w:pPr>
              <w:pStyle w:val="Tabletext"/>
              <w:rPr>
                <w:sz w:val="18"/>
                <w:szCs w:val="18"/>
              </w:rPr>
            </w:pPr>
            <w:r w:rsidRPr="00CC5E23">
              <w:rPr>
                <w:sz w:val="18"/>
                <w:szCs w:val="18"/>
              </w:rPr>
              <w:t xml:space="preserve">El GTC-RHF está controlando y supervisando todas las recomendaciones de los auditores externos y el CAIG. Las recomendaciones del CAIG se supervisan y aplican, y se informa detalladamente de los resultados al </w:t>
            </w:r>
            <w:r w:rsidRPr="00CC5E23">
              <w:rPr>
                <w:rFonts w:asciiTheme="minorHAnsi" w:eastAsia="Times New Roman" w:hAnsiTheme="minorHAnsi"/>
                <w:sz w:val="18"/>
                <w:szCs w:val="18"/>
              </w:rPr>
              <w:t>CWG-FHR y al Consejo</w:t>
            </w:r>
            <w:r>
              <w:rPr>
                <w:rFonts w:asciiTheme="minorHAnsi" w:eastAsia="Times New Roman" w:hAnsiTheme="minorHAnsi"/>
                <w:sz w:val="18"/>
                <w:szCs w:val="18"/>
              </w:rPr>
              <w:t>.</w:t>
            </w:r>
          </w:p>
        </w:tc>
      </w:tr>
    </w:tbl>
    <w:p w14:paraId="6FB08F62" w14:textId="77777777" w:rsidR="00053768" w:rsidRDefault="00053768" w:rsidP="00053768">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637990AB" w14:textId="3CF6B6B7" w:rsidR="00053768" w:rsidRPr="00E70501" w:rsidRDefault="00053768" w:rsidP="007F67ED">
      <w:pPr>
        <w:pStyle w:val="Headingb"/>
        <w:tabs>
          <w:tab w:val="clear" w:pos="1134"/>
          <w:tab w:val="clear" w:pos="1701"/>
          <w:tab w:val="clear" w:pos="2268"/>
          <w:tab w:val="clear" w:pos="2835"/>
          <w:tab w:val="center" w:pos="6999"/>
        </w:tabs>
        <w:spacing w:after="120"/>
      </w:pPr>
      <w:r w:rsidRPr="00E70501">
        <w:lastRenderedPageBreak/>
        <w:t>Pilar 3</w:t>
      </w:r>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053768" w:rsidRPr="00CC5E23" w14:paraId="54836DAC" w14:textId="77777777" w:rsidTr="004707EA">
        <w:tc>
          <w:tcPr>
            <w:tcW w:w="2694" w:type="dxa"/>
            <w:shd w:val="clear" w:color="auto" w:fill="B8CCE4" w:themeFill="accent1" w:themeFillTint="66"/>
          </w:tcPr>
          <w:p w14:paraId="49AFE9E1" w14:textId="77777777" w:rsidR="00053768" w:rsidRPr="00CC5E23" w:rsidRDefault="00053768" w:rsidP="004707EA">
            <w:pPr>
              <w:pStyle w:val="Tablehead"/>
              <w:rPr>
                <w:sz w:val="18"/>
                <w:szCs w:val="18"/>
              </w:rPr>
            </w:pPr>
            <w:r w:rsidRPr="00CC5E23">
              <w:rPr>
                <w:sz w:val="18"/>
                <w:szCs w:val="18"/>
              </w:rPr>
              <w:t>Criterio</w:t>
            </w:r>
          </w:p>
        </w:tc>
        <w:tc>
          <w:tcPr>
            <w:tcW w:w="4252" w:type="dxa"/>
            <w:shd w:val="clear" w:color="auto" w:fill="B8CCE4" w:themeFill="accent1" w:themeFillTint="66"/>
          </w:tcPr>
          <w:p w14:paraId="7CAC3CF1" w14:textId="77777777" w:rsidR="00053768" w:rsidRPr="00CC5E23" w:rsidRDefault="00053768" w:rsidP="004707EA">
            <w:pPr>
              <w:pStyle w:val="Tablehead"/>
              <w:rPr>
                <w:sz w:val="18"/>
                <w:szCs w:val="18"/>
              </w:rPr>
            </w:pPr>
            <w:r w:rsidRPr="00CC5E23">
              <w:rPr>
                <w:sz w:val="18"/>
                <w:szCs w:val="18"/>
              </w:rPr>
              <w:t>Instrumentos</w:t>
            </w:r>
          </w:p>
        </w:tc>
        <w:tc>
          <w:tcPr>
            <w:tcW w:w="1134" w:type="dxa"/>
            <w:shd w:val="clear" w:color="auto" w:fill="B8CCE4" w:themeFill="accent1" w:themeFillTint="66"/>
          </w:tcPr>
          <w:p w14:paraId="76AAF271" w14:textId="77777777" w:rsidR="00053768" w:rsidRPr="00CC5E23" w:rsidRDefault="00053768" w:rsidP="004707EA">
            <w:pPr>
              <w:pStyle w:val="Tablehead"/>
              <w:rPr>
                <w:sz w:val="18"/>
                <w:szCs w:val="18"/>
              </w:rPr>
            </w:pPr>
            <w:r w:rsidRPr="00CC5E23">
              <w:rPr>
                <w:sz w:val="18"/>
                <w:szCs w:val="18"/>
              </w:rPr>
              <w:t>Estado</w:t>
            </w:r>
          </w:p>
        </w:tc>
        <w:tc>
          <w:tcPr>
            <w:tcW w:w="6521" w:type="dxa"/>
            <w:shd w:val="clear" w:color="auto" w:fill="B8CCE4" w:themeFill="accent1" w:themeFillTint="66"/>
          </w:tcPr>
          <w:p w14:paraId="1723D3DC" w14:textId="77777777" w:rsidR="00053768" w:rsidRPr="00CC5E23" w:rsidRDefault="00053768" w:rsidP="004707EA">
            <w:pPr>
              <w:pStyle w:val="Tablehead"/>
              <w:rPr>
                <w:sz w:val="18"/>
                <w:szCs w:val="18"/>
              </w:rPr>
            </w:pPr>
            <w:r w:rsidRPr="00CC5E23">
              <w:rPr>
                <w:sz w:val="18"/>
                <w:szCs w:val="18"/>
              </w:rPr>
              <w:t>Observaciones</w:t>
            </w:r>
          </w:p>
        </w:tc>
      </w:tr>
      <w:tr w:rsidR="00053768" w:rsidRPr="00CC5E23" w14:paraId="642D4774" w14:textId="77777777" w:rsidTr="004707EA">
        <w:tc>
          <w:tcPr>
            <w:tcW w:w="2694" w:type="dxa"/>
            <w:vMerge w:val="restart"/>
            <w:shd w:val="clear" w:color="auto" w:fill="FFFFFF" w:themeFill="background1"/>
          </w:tcPr>
          <w:p w14:paraId="511335A7" w14:textId="77777777" w:rsidR="00053768" w:rsidRPr="00CC5E23" w:rsidRDefault="00053768" w:rsidP="004707EA">
            <w:pPr>
              <w:pStyle w:val="Tabletext"/>
              <w:rPr>
                <w:sz w:val="18"/>
                <w:szCs w:val="18"/>
              </w:rPr>
            </w:pPr>
            <w:r w:rsidRPr="00CC5E23">
              <w:rPr>
                <w:sz w:val="18"/>
                <w:szCs w:val="18"/>
              </w:rPr>
              <w:t>16. Los funcionarios pueden recurrir a mecanismos informales de reclamación</w:t>
            </w:r>
            <w:r>
              <w:rPr>
                <w:sz w:val="18"/>
                <w:szCs w:val="18"/>
              </w:rPr>
              <w:t>.</w:t>
            </w:r>
          </w:p>
        </w:tc>
        <w:tc>
          <w:tcPr>
            <w:tcW w:w="4252" w:type="dxa"/>
            <w:shd w:val="clear" w:color="auto" w:fill="FFFFFF" w:themeFill="background1"/>
          </w:tcPr>
          <w:p w14:paraId="68FE1D29" w14:textId="77777777" w:rsidR="00053768" w:rsidRPr="00CC5E23" w:rsidRDefault="00053768" w:rsidP="004707EA">
            <w:pPr>
              <w:pStyle w:val="Tabletext"/>
              <w:rPr>
                <w:sz w:val="18"/>
                <w:szCs w:val="18"/>
              </w:rPr>
            </w:pPr>
            <w:r w:rsidRPr="00CC5E23">
              <w:rPr>
                <w:sz w:val="18"/>
                <w:szCs w:val="18"/>
              </w:rPr>
              <w:t>Documento de política y/o manual en el que se esbozan procedimientos para la presentación de reclamaciones/impugnaciones informales</w:t>
            </w:r>
          </w:p>
        </w:tc>
        <w:tc>
          <w:tcPr>
            <w:tcW w:w="1134" w:type="dxa"/>
            <w:shd w:val="clear" w:color="auto" w:fill="auto"/>
            <w:vAlign w:val="center"/>
          </w:tcPr>
          <w:p w14:paraId="77B19165" w14:textId="77777777" w:rsidR="00053768" w:rsidRPr="00CC5E23" w:rsidRDefault="00053768" w:rsidP="004707EA">
            <w:pPr>
              <w:pStyle w:val="Tabletext"/>
              <w:jc w:val="center"/>
              <w:rPr>
                <w:sz w:val="18"/>
                <w:szCs w:val="18"/>
              </w:rPr>
            </w:pPr>
            <w:r w:rsidRPr="00CC5E23">
              <w:rPr>
                <w:sz w:val="18"/>
                <w:szCs w:val="18"/>
              </w:rPr>
              <w:t>No se ha aplicado</w:t>
            </w:r>
          </w:p>
        </w:tc>
        <w:tc>
          <w:tcPr>
            <w:tcW w:w="6521" w:type="dxa"/>
            <w:shd w:val="clear" w:color="auto" w:fill="auto"/>
          </w:tcPr>
          <w:p w14:paraId="7223D848" w14:textId="77777777" w:rsidR="00053768" w:rsidRPr="00CC5E23" w:rsidRDefault="00053768" w:rsidP="004707EA">
            <w:pPr>
              <w:pStyle w:val="Tabletext"/>
              <w:rPr>
                <w:b/>
                <w:bCs/>
                <w:sz w:val="18"/>
                <w:szCs w:val="18"/>
              </w:rPr>
            </w:pPr>
            <w:r w:rsidRPr="00CC5E23">
              <w:rPr>
                <w:sz w:val="18"/>
                <w:szCs w:val="18"/>
              </w:rPr>
              <w:t>Cada procedimiento se incluye en la Orden de Servicio pertinente.</w:t>
            </w:r>
          </w:p>
        </w:tc>
      </w:tr>
      <w:tr w:rsidR="00053768" w:rsidRPr="00CC5E23" w14:paraId="10509CBA" w14:textId="77777777" w:rsidTr="004707EA">
        <w:tc>
          <w:tcPr>
            <w:tcW w:w="2694" w:type="dxa"/>
            <w:vMerge/>
            <w:shd w:val="clear" w:color="auto" w:fill="FFFFFF" w:themeFill="background1"/>
          </w:tcPr>
          <w:p w14:paraId="381B0C60" w14:textId="77777777" w:rsidR="00053768" w:rsidRPr="00CC5E23" w:rsidRDefault="00053768" w:rsidP="004707EA">
            <w:pPr>
              <w:pStyle w:val="Tabletext"/>
              <w:rPr>
                <w:sz w:val="18"/>
                <w:szCs w:val="18"/>
              </w:rPr>
            </w:pPr>
          </w:p>
        </w:tc>
        <w:tc>
          <w:tcPr>
            <w:tcW w:w="4252" w:type="dxa"/>
            <w:shd w:val="clear" w:color="auto" w:fill="FFFFFF" w:themeFill="background1"/>
          </w:tcPr>
          <w:p w14:paraId="00B6938C" w14:textId="77777777" w:rsidR="00053768" w:rsidRPr="00CC5E23" w:rsidRDefault="00053768" w:rsidP="004707EA">
            <w:pPr>
              <w:pStyle w:val="Tabletext"/>
              <w:rPr>
                <w:sz w:val="18"/>
                <w:szCs w:val="18"/>
              </w:rPr>
            </w:pPr>
            <w:r w:rsidRPr="00CC5E23">
              <w:rPr>
                <w:sz w:val="18"/>
                <w:szCs w:val="18"/>
              </w:rPr>
              <w:t xml:space="preserve">Existencia de un mediador u </w:t>
            </w:r>
            <w:r w:rsidRPr="00CC5E23">
              <w:rPr>
                <w:i/>
                <w:sz w:val="18"/>
                <w:szCs w:val="18"/>
              </w:rPr>
              <w:t>ombudsperson</w:t>
            </w:r>
          </w:p>
        </w:tc>
        <w:tc>
          <w:tcPr>
            <w:tcW w:w="1134" w:type="dxa"/>
            <w:shd w:val="clear" w:color="auto" w:fill="auto"/>
            <w:vAlign w:val="center"/>
          </w:tcPr>
          <w:p w14:paraId="77471F13"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1" w:type="dxa"/>
            <w:shd w:val="clear" w:color="auto" w:fill="auto"/>
          </w:tcPr>
          <w:p w14:paraId="7E800519" w14:textId="77777777" w:rsidR="00053768" w:rsidRPr="00CC5E23" w:rsidRDefault="00053768" w:rsidP="004707EA">
            <w:pPr>
              <w:pStyle w:val="Tabletext"/>
              <w:rPr>
                <w:sz w:val="18"/>
                <w:szCs w:val="18"/>
              </w:rPr>
            </w:pPr>
          </w:p>
        </w:tc>
      </w:tr>
      <w:tr w:rsidR="00053768" w:rsidRPr="00CC5E23" w14:paraId="35755E6E" w14:textId="77777777" w:rsidTr="004707EA">
        <w:tc>
          <w:tcPr>
            <w:tcW w:w="2694" w:type="dxa"/>
            <w:vMerge w:val="restart"/>
            <w:shd w:val="clear" w:color="auto" w:fill="FFFFFF" w:themeFill="background1"/>
          </w:tcPr>
          <w:p w14:paraId="7F993CCB" w14:textId="6A249733" w:rsidR="00053768" w:rsidRPr="00CC5E23" w:rsidRDefault="00053768" w:rsidP="004707EA">
            <w:pPr>
              <w:pStyle w:val="Tabletext"/>
              <w:rPr>
                <w:sz w:val="18"/>
                <w:szCs w:val="18"/>
              </w:rPr>
            </w:pPr>
            <w:r w:rsidRPr="00CC5E23">
              <w:rPr>
                <w:sz w:val="18"/>
                <w:szCs w:val="18"/>
              </w:rPr>
              <w:t>17. Los funcionarios, consultores, personas ajenas al personal</w:t>
            </w:r>
            <w:r>
              <w:rPr>
                <w:sz w:val="18"/>
                <w:szCs w:val="18"/>
              </w:rPr>
              <w:t xml:space="preserve"> y</w:t>
            </w:r>
            <w:r w:rsidRPr="00CC5E23">
              <w:rPr>
                <w:sz w:val="18"/>
                <w:szCs w:val="18"/>
              </w:rPr>
              <w:t xml:space="preserve"> partes interesadas/beneficiarios pueden recurrir a mecanismos formales de reclamación, y las organizaciones cuentan con mecanismos para responder a esas reclamaciones</w:t>
            </w:r>
            <w:r>
              <w:rPr>
                <w:sz w:val="18"/>
                <w:szCs w:val="18"/>
              </w:rPr>
              <w:t>.</w:t>
            </w:r>
          </w:p>
        </w:tc>
        <w:tc>
          <w:tcPr>
            <w:tcW w:w="4252" w:type="dxa"/>
            <w:shd w:val="clear" w:color="auto" w:fill="FFFFFF" w:themeFill="background1"/>
          </w:tcPr>
          <w:p w14:paraId="34BE44E9" w14:textId="77777777" w:rsidR="00053768" w:rsidRPr="00CC5E23" w:rsidRDefault="00053768" w:rsidP="004707EA">
            <w:pPr>
              <w:pStyle w:val="Tabletext"/>
              <w:rPr>
                <w:sz w:val="18"/>
                <w:szCs w:val="18"/>
              </w:rPr>
            </w:pPr>
            <w:r w:rsidRPr="00CC5E23">
              <w:rPr>
                <w:sz w:val="18"/>
                <w:szCs w:val="18"/>
              </w:rPr>
              <w:t>Función de investigación, líneas permanentes de ayuda, impresos de reclamaciones, etc., tanto para el personal como para personas ajenas a la organización;</w:t>
            </w:r>
          </w:p>
        </w:tc>
        <w:tc>
          <w:tcPr>
            <w:tcW w:w="1134" w:type="dxa"/>
            <w:shd w:val="clear" w:color="auto" w:fill="auto"/>
            <w:vAlign w:val="center"/>
          </w:tcPr>
          <w:p w14:paraId="02668094" w14:textId="77777777" w:rsidR="00053768" w:rsidRPr="00CC5E23" w:rsidRDefault="00053768" w:rsidP="004707EA">
            <w:pPr>
              <w:pStyle w:val="Tabletext"/>
              <w:jc w:val="center"/>
              <w:rPr>
                <w:sz w:val="18"/>
                <w:szCs w:val="18"/>
              </w:rPr>
            </w:pPr>
            <w:r w:rsidRPr="00CC5E23">
              <w:rPr>
                <w:sz w:val="18"/>
                <w:szCs w:val="18"/>
              </w:rPr>
              <w:sym w:font="Wingdings" w:char="F0FC"/>
            </w:r>
          </w:p>
        </w:tc>
        <w:tc>
          <w:tcPr>
            <w:tcW w:w="6521" w:type="dxa"/>
            <w:shd w:val="clear" w:color="auto" w:fill="auto"/>
          </w:tcPr>
          <w:p w14:paraId="315F70C1" w14:textId="77777777" w:rsidR="00053768" w:rsidRPr="00CC5E23" w:rsidRDefault="00053768" w:rsidP="004707EA">
            <w:pPr>
              <w:pStyle w:val="Tabletext"/>
              <w:rPr>
                <w:sz w:val="18"/>
                <w:szCs w:val="18"/>
              </w:rPr>
            </w:pPr>
            <w:r w:rsidRPr="00CC5E23">
              <w:rPr>
                <w:sz w:val="18"/>
                <w:szCs w:val="18"/>
              </w:rPr>
              <w:t>Los consultores y las personas ajenas al personal no tienen acceso al TAOIT ni al TANU. En los contratos SSA figura una disposición para la resolución informal de los conflictos y el recurso al arbitraje.</w:t>
            </w:r>
          </w:p>
        </w:tc>
      </w:tr>
      <w:tr w:rsidR="006F300A" w:rsidRPr="00CC5E23" w14:paraId="3F926156" w14:textId="77777777" w:rsidTr="00397151">
        <w:trPr>
          <w:trHeight w:val="909"/>
        </w:trPr>
        <w:tc>
          <w:tcPr>
            <w:tcW w:w="2694" w:type="dxa"/>
            <w:vMerge/>
            <w:shd w:val="clear" w:color="auto" w:fill="FFFFFF" w:themeFill="background1"/>
          </w:tcPr>
          <w:p w14:paraId="72B462EC" w14:textId="77777777" w:rsidR="006F300A" w:rsidRPr="00CC5E23" w:rsidRDefault="006F300A" w:rsidP="004707EA">
            <w:pPr>
              <w:pStyle w:val="Tabletext"/>
              <w:rPr>
                <w:sz w:val="18"/>
                <w:szCs w:val="18"/>
              </w:rPr>
            </w:pPr>
          </w:p>
        </w:tc>
        <w:tc>
          <w:tcPr>
            <w:tcW w:w="4252" w:type="dxa"/>
            <w:shd w:val="clear" w:color="auto" w:fill="FFFFFF" w:themeFill="background1"/>
          </w:tcPr>
          <w:p w14:paraId="0D43E416" w14:textId="77777777" w:rsidR="006F300A" w:rsidRPr="00CC5E23" w:rsidRDefault="006F300A" w:rsidP="004707EA">
            <w:pPr>
              <w:pStyle w:val="Tabletext"/>
              <w:rPr>
                <w:sz w:val="18"/>
                <w:szCs w:val="18"/>
              </w:rPr>
            </w:pPr>
            <w:r w:rsidRPr="00CC5E23">
              <w:rPr>
                <w:sz w:val="18"/>
                <w:szCs w:val="18"/>
              </w:rPr>
              <w:t>Mecanismos de reclamación: Tribunal Contencioso-Administrativo de las Naciones Unidas o Tribunal Administrativo de la OIT</w:t>
            </w:r>
          </w:p>
        </w:tc>
        <w:tc>
          <w:tcPr>
            <w:tcW w:w="1134" w:type="dxa"/>
            <w:shd w:val="clear" w:color="auto" w:fill="FFFFFF" w:themeFill="background1"/>
            <w:vAlign w:val="center"/>
          </w:tcPr>
          <w:p w14:paraId="0091C649" w14:textId="77777777" w:rsidR="006F300A" w:rsidRPr="00CC5E23" w:rsidRDefault="006F300A" w:rsidP="004707EA">
            <w:pPr>
              <w:pStyle w:val="Tabletext"/>
              <w:jc w:val="center"/>
              <w:rPr>
                <w:sz w:val="18"/>
                <w:szCs w:val="18"/>
              </w:rPr>
            </w:pPr>
            <w:r w:rsidRPr="00CC5E23">
              <w:rPr>
                <w:sz w:val="18"/>
                <w:szCs w:val="18"/>
              </w:rPr>
              <w:sym w:font="Wingdings" w:char="F0FC"/>
            </w:r>
          </w:p>
        </w:tc>
        <w:tc>
          <w:tcPr>
            <w:tcW w:w="6521" w:type="dxa"/>
            <w:shd w:val="clear" w:color="auto" w:fill="auto"/>
          </w:tcPr>
          <w:p w14:paraId="73708B06" w14:textId="73FA634B" w:rsidR="006F300A" w:rsidRPr="00CC5E23" w:rsidRDefault="006F300A" w:rsidP="004707EA">
            <w:pPr>
              <w:pStyle w:val="Tabletext"/>
              <w:rPr>
                <w:sz w:val="18"/>
                <w:szCs w:val="18"/>
              </w:rPr>
            </w:pPr>
            <w:r w:rsidRPr="00CC5E23">
              <w:rPr>
                <w:sz w:val="18"/>
                <w:szCs w:val="18"/>
              </w:rPr>
              <w:t>Disponibles para los funcionarios permanentes y el personal que disfruta de contratos de corta duración, y arbitraje para los consultores y los supernumerarios.</w:t>
            </w:r>
          </w:p>
        </w:tc>
      </w:tr>
    </w:tbl>
    <w:p w14:paraId="7D8B2960" w14:textId="77777777" w:rsidR="00053768" w:rsidRDefault="00053768" w:rsidP="00053768">
      <w:pPr>
        <w:pStyle w:val="Reasons"/>
      </w:pPr>
    </w:p>
    <w:p w14:paraId="5EBF4946" w14:textId="77777777" w:rsidR="00053768" w:rsidRDefault="00053768" w:rsidP="00053768">
      <w:pPr>
        <w:jc w:val="center"/>
      </w:pPr>
      <w:r>
        <w:t>______________</w:t>
      </w:r>
    </w:p>
    <w:p w14:paraId="61433891" w14:textId="7F394B35" w:rsidR="00053768" w:rsidRDefault="00053768" w:rsidP="00053768"/>
    <w:sectPr w:rsidR="00053768" w:rsidSect="00855AF8">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006BD" w14:textId="77777777" w:rsidR="00053768" w:rsidRDefault="00053768">
      <w:r>
        <w:separator/>
      </w:r>
    </w:p>
  </w:endnote>
  <w:endnote w:type="continuationSeparator" w:id="0">
    <w:p w14:paraId="57479B3D" w14:textId="77777777" w:rsidR="00053768" w:rsidRDefault="0005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315F" w14:textId="07143C3B" w:rsidR="00760F1C" w:rsidRPr="00D31DAF" w:rsidRDefault="009855FA" w:rsidP="009F205F">
    <w:pPr>
      <w:pStyle w:val="Footer"/>
      <w:rPr>
        <w:color w:val="D9D9D9" w:themeColor="background1" w:themeShade="D9"/>
        <w:lang w:val="fr-CH"/>
      </w:rPr>
    </w:pPr>
    <w:r w:rsidRPr="00D31DAF">
      <w:rPr>
        <w:color w:val="D9D9D9" w:themeColor="background1" w:themeShade="D9"/>
      </w:rPr>
      <w:fldChar w:fldCharType="begin"/>
    </w:r>
    <w:r w:rsidRPr="00D31DAF">
      <w:rPr>
        <w:color w:val="D9D9D9" w:themeColor="background1" w:themeShade="D9"/>
        <w:lang w:val="fr-CH"/>
      </w:rPr>
      <w:instrText xml:space="preserve"> FILENAME \p  \* MERGEFORMAT </w:instrText>
    </w:r>
    <w:r w:rsidRPr="00D31DAF">
      <w:rPr>
        <w:color w:val="D9D9D9" w:themeColor="background1" w:themeShade="D9"/>
      </w:rPr>
      <w:fldChar w:fldCharType="separate"/>
    </w:r>
    <w:r w:rsidR="002153BE" w:rsidRPr="00D31DAF">
      <w:rPr>
        <w:color w:val="D9D9D9" w:themeColor="background1" w:themeShade="D9"/>
        <w:lang w:val="fr-CH"/>
      </w:rPr>
      <w:t>P:\ESP\SG\CONSEIL\C20\000\043S.docx</w:t>
    </w:r>
    <w:r w:rsidRPr="00D31DAF">
      <w:rPr>
        <w:color w:val="D9D9D9" w:themeColor="background1" w:themeShade="D9"/>
      </w:rPr>
      <w:fldChar w:fldCharType="end"/>
    </w:r>
    <w:r w:rsidR="009F205F" w:rsidRPr="00D31DAF">
      <w:rPr>
        <w:color w:val="D9D9D9" w:themeColor="background1" w:themeShade="D9"/>
        <w:lang w:val="fr-CH"/>
      </w:rPr>
      <w:t xml:space="preserve"> (467352)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7F7A" w14:textId="08A879E0" w:rsidR="00760F1C" w:rsidRPr="009F205F" w:rsidRDefault="00760F1C" w:rsidP="009F205F">
    <w:pPr>
      <w:spacing w:after="120"/>
      <w:jc w:val="center"/>
    </w:pPr>
    <w:r>
      <w:t>•</w:t>
    </w:r>
    <w:hyperlink r:id="rId1" w:history="1">
      <w:r w:rsidR="00902FF4" w:rsidRPr="00902FF4">
        <w:rPr>
          <w:rStyle w:val="Hyperlink"/>
        </w:rPr>
        <w:t>https://www.itu.int/</w:t>
      </w:r>
    </w:hyperlink>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B8E0" w14:textId="68DBCCBC" w:rsidR="00760F1C" w:rsidRPr="00D31DAF" w:rsidRDefault="009855FA" w:rsidP="009F205F">
    <w:pPr>
      <w:pStyle w:val="Footer"/>
      <w:rPr>
        <w:color w:val="D9D9D9" w:themeColor="background1" w:themeShade="D9"/>
        <w:lang w:val="fr-CH"/>
      </w:rPr>
    </w:pPr>
    <w:r w:rsidRPr="00D31DAF">
      <w:rPr>
        <w:color w:val="D9D9D9" w:themeColor="background1" w:themeShade="D9"/>
      </w:rPr>
      <w:fldChar w:fldCharType="begin"/>
    </w:r>
    <w:r w:rsidRPr="00D31DAF">
      <w:rPr>
        <w:color w:val="D9D9D9" w:themeColor="background1" w:themeShade="D9"/>
        <w:lang w:val="fr-CH"/>
      </w:rPr>
      <w:instrText xml:space="preserve"> FILENAME \p  \* MERGEFORMAT </w:instrText>
    </w:r>
    <w:r w:rsidRPr="00D31DAF">
      <w:rPr>
        <w:color w:val="D9D9D9" w:themeColor="background1" w:themeShade="D9"/>
      </w:rPr>
      <w:fldChar w:fldCharType="separate"/>
    </w:r>
    <w:r w:rsidR="002153BE" w:rsidRPr="00D31DAF">
      <w:rPr>
        <w:color w:val="D9D9D9" w:themeColor="background1" w:themeShade="D9"/>
        <w:lang w:val="fr-CH"/>
      </w:rPr>
      <w:t>P:\ESP\SG\CONSEIL\C20\000\043S.docx</w:t>
    </w:r>
    <w:r w:rsidRPr="00D31DAF">
      <w:rPr>
        <w:color w:val="D9D9D9" w:themeColor="background1" w:themeShade="D9"/>
      </w:rPr>
      <w:fldChar w:fldCharType="end"/>
    </w:r>
    <w:r w:rsidR="009F205F" w:rsidRPr="00D31DAF">
      <w:rPr>
        <w:color w:val="D9D9D9" w:themeColor="background1" w:themeShade="D9"/>
        <w:lang w:val="fr-CH"/>
      </w:rPr>
      <w:t xml:space="preserve"> (467352)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51748" w14:textId="621FDB71" w:rsidR="00760F1C" w:rsidRPr="00D31DAF" w:rsidRDefault="009855FA" w:rsidP="009F205F">
    <w:pPr>
      <w:pStyle w:val="Footer"/>
      <w:rPr>
        <w:color w:val="D9D9D9" w:themeColor="background1" w:themeShade="D9"/>
        <w:lang w:val="fr-CH"/>
      </w:rPr>
    </w:pPr>
    <w:r w:rsidRPr="00D31DAF">
      <w:rPr>
        <w:color w:val="D9D9D9" w:themeColor="background1" w:themeShade="D9"/>
      </w:rPr>
      <w:fldChar w:fldCharType="begin"/>
    </w:r>
    <w:r w:rsidRPr="00D31DAF">
      <w:rPr>
        <w:color w:val="D9D9D9" w:themeColor="background1" w:themeShade="D9"/>
        <w:lang w:val="fr-CH"/>
      </w:rPr>
      <w:instrText xml:space="preserve"> FILENAME \p  \* MERGEFORMAT </w:instrText>
    </w:r>
    <w:r w:rsidRPr="00D31DAF">
      <w:rPr>
        <w:color w:val="D9D9D9" w:themeColor="background1" w:themeShade="D9"/>
      </w:rPr>
      <w:fldChar w:fldCharType="separate"/>
    </w:r>
    <w:r w:rsidR="002153BE" w:rsidRPr="00D31DAF">
      <w:rPr>
        <w:color w:val="D9D9D9" w:themeColor="background1" w:themeShade="D9"/>
        <w:lang w:val="fr-CH"/>
      </w:rPr>
      <w:t>P:\ESP\SG\CONSEIL\C20\000\043S.docx</w:t>
    </w:r>
    <w:r w:rsidRPr="00D31DAF">
      <w:rPr>
        <w:color w:val="D9D9D9" w:themeColor="background1" w:themeShade="D9"/>
      </w:rPr>
      <w:fldChar w:fldCharType="end"/>
    </w:r>
    <w:r w:rsidR="009F205F" w:rsidRPr="00D31DAF">
      <w:rPr>
        <w:color w:val="D9D9D9" w:themeColor="background1" w:themeShade="D9"/>
        <w:lang w:val="fr-CH"/>
      </w:rPr>
      <w:t xml:space="preserve"> (467352)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ABE2" w14:textId="77777777" w:rsidR="00053768" w:rsidRDefault="00053768">
      <w:r>
        <w:t>____________________</w:t>
      </w:r>
    </w:p>
  </w:footnote>
  <w:footnote w:type="continuationSeparator" w:id="0">
    <w:p w14:paraId="7D21E439" w14:textId="77777777" w:rsidR="00053768" w:rsidRDefault="00053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FD8A" w14:textId="5DF3C7C3" w:rsidR="00760F1C" w:rsidRDefault="000B7C15" w:rsidP="007657F0">
    <w:pPr>
      <w:pStyle w:val="Header"/>
    </w:pPr>
    <w:r>
      <w:fldChar w:fldCharType="begin"/>
    </w:r>
    <w:r>
      <w:instrText>PAGE</w:instrText>
    </w:r>
    <w:r>
      <w:fldChar w:fldCharType="separate"/>
    </w:r>
    <w:r w:rsidR="00E1617F">
      <w:rPr>
        <w:noProof/>
      </w:rPr>
      <w:t>2</w:t>
    </w:r>
    <w:r>
      <w:rPr>
        <w:noProof/>
      </w:rPr>
      <w:fldChar w:fldCharType="end"/>
    </w:r>
  </w:p>
  <w:p w14:paraId="151B5DCB" w14:textId="5345EB47" w:rsidR="00760F1C" w:rsidRDefault="00760F1C" w:rsidP="00C2727F">
    <w:pPr>
      <w:pStyle w:val="Header"/>
    </w:pPr>
    <w:r>
      <w:t>C</w:t>
    </w:r>
    <w:r w:rsidR="007955DA">
      <w:t>20</w:t>
    </w:r>
    <w:r>
      <w:t>/</w:t>
    </w:r>
    <w:r w:rsidR="00902FF4">
      <w:t>43</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F6F1" w14:textId="243E087D" w:rsidR="00760F1C" w:rsidRDefault="000B7C15" w:rsidP="007657F0">
    <w:pPr>
      <w:pStyle w:val="Header"/>
    </w:pPr>
    <w:r>
      <w:fldChar w:fldCharType="begin"/>
    </w:r>
    <w:r>
      <w:instrText>PAGE</w:instrText>
    </w:r>
    <w:r>
      <w:fldChar w:fldCharType="separate"/>
    </w:r>
    <w:r w:rsidR="009855FA">
      <w:rPr>
        <w:noProof/>
      </w:rPr>
      <w:t>7</w:t>
    </w:r>
    <w:r>
      <w:rPr>
        <w:noProof/>
      </w:rPr>
      <w:fldChar w:fldCharType="end"/>
    </w:r>
  </w:p>
  <w:p w14:paraId="019066B4" w14:textId="77777777" w:rsidR="00760F1C" w:rsidRDefault="00760F1C" w:rsidP="009F4811">
    <w:pPr>
      <w:pStyle w:val="Header"/>
    </w:pPr>
    <w:r>
      <w:t>C</w:t>
    </w:r>
    <w:r w:rsidR="009F205F">
      <w:t>20/43</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742B" w14:textId="66C50899" w:rsidR="007D3334" w:rsidRDefault="009F205F" w:rsidP="007D3334">
    <w:pPr>
      <w:pStyle w:val="Header"/>
    </w:pPr>
    <w:r>
      <w:fldChar w:fldCharType="begin"/>
    </w:r>
    <w:r>
      <w:instrText>PAGE</w:instrText>
    </w:r>
    <w:r>
      <w:fldChar w:fldCharType="separate"/>
    </w:r>
    <w:r w:rsidR="009855FA">
      <w:rPr>
        <w:noProof/>
      </w:rPr>
      <w:t>3</w:t>
    </w:r>
    <w:r>
      <w:rPr>
        <w:noProof/>
      </w:rPr>
      <w:fldChar w:fldCharType="end"/>
    </w:r>
  </w:p>
  <w:p w14:paraId="3D6A6EDC" w14:textId="77777777" w:rsidR="007D3334" w:rsidRDefault="009F205F" w:rsidP="007D3334">
    <w:pPr>
      <w:pStyle w:val="Header"/>
    </w:pPr>
    <w:r>
      <w:t>C20/43-S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68"/>
    <w:rsid w:val="00042C7B"/>
    <w:rsid w:val="00053768"/>
    <w:rsid w:val="00093EEB"/>
    <w:rsid w:val="000B0D00"/>
    <w:rsid w:val="000B7C15"/>
    <w:rsid w:val="000D1D0F"/>
    <w:rsid w:val="000F5290"/>
    <w:rsid w:val="0010165C"/>
    <w:rsid w:val="00146BFB"/>
    <w:rsid w:val="001F14A2"/>
    <w:rsid w:val="002153BE"/>
    <w:rsid w:val="002801AA"/>
    <w:rsid w:val="002C4676"/>
    <w:rsid w:val="002C70B0"/>
    <w:rsid w:val="002F3CC4"/>
    <w:rsid w:val="00381DC3"/>
    <w:rsid w:val="003E2AD1"/>
    <w:rsid w:val="003F2626"/>
    <w:rsid w:val="004227AB"/>
    <w:rsid w:val="00513630"/>
    <w:rsid w:val="00560125"/>
    <w:rsid w:val="00585553"/>
    <w:rsid w:val="005B34D9"/>
    <w:rsid w:val="005C240C"/>
    <w:rsid w:val="005D0CCF"/>
    <w:rsid w:val="005F3BCB"/>
    <w:rsid w:val="005F410F"/>
    <w:rsid w:val="0060149A"/>
    <w:rsid w:val="00601924"/>
    <w:rsid w:val="006447EA"/>
    <w:rsid w:val="0064731F"/>
    <w:rsid w:val="00664572"/>
    <w:rsid w:val="006710F6"/>
    <w:rsid w:val="006C1B56"/>
    <w:rsid w:val="006D4761"/>
    <w:rsid w:val="006F300A"/>
    <w:rsid w:val="00726872"/>
    <w:rsid w:val="00760F1C"/>
    <w:rsid w:val="007657F0"/>
    <w:rsid w:val="0077252D"/>
    <w:rsid w:val="007955DA"/>
    <w:rsid w:val="007E5DD3"/>
    <w:rsid w:val="007F350B"/>
    <w:rsid w:val="007F67ED"/>
    <w:rsid w:val="00820BE4"/>
    <w:rsid w:val="00834762"/>
    <w:rsid w:val="008451E8"/>
    <w:rsid w:val="0085781E"/>
    <w:rsid w:val="00893754"/>
    <w:rsid w:val="00902FF4"/>
    <w:rsid w:val="00913B9C"/>
    <w:rsid w:val="00956E77"/>
    <w:rsid w:val="009855FA"/>
    <w:rsid w:val="009F205F"/>
    <w:rsid w:val="009F4811"/>
    <w:rsid w:val="00A40FA1"/>
    <w:rsid w:val="00AA390C"/>
    <w:rsid w:val="00B0200A"/>
    <w:rsid w:val="00B574DB"/>
    <w:rsid w:val="00B826C2"/>
    <w:rsid w:val="00B8298E"/>
    <w:rsid w:val="00BD0723"/>
    <w:rsid w:val="00BD2518"/>
    <w:rsid w:val="00BF1D1C"/>
    <w:rsid w:val="00C20C59"/>
    <w:rsid w:val="00C2727F"/>
    <w:rsid w:val="00C55B1F"/>
    <w:rsid w:val="00C70412"/>
    <w:rsid w:val="00CF1A67"/>
    <w:rsid w:val="00D2750E"/>
    <w:rsid w:val="00D31DAF"/>
    <w:rsid w:val="00D62446"/>
    <w:rsid w:val="00D65F7E"/>
    <w:rsid w:val="00DA4EA2"/>
    <w:rsid w:val="00DC3D3E"/>
    <w:rsid w:val="00DE2C90"/>
    <w:rsid w:val="00DE3B24"/>
    <w:rsid w:val="00E06947"/>
    <w:rsid w:val="00E1617F"/>
    <w:rsid w:val="00E3592D"/>
    <w:rsid w:val="00E92DE8"/>
    <w:rsid w:val="00EB1212"/>
    <w:rsid w:val="00ED65AB"/>
    <w:rsid w:val="00F12850"/>
    <w:rsid w:val="00F14466"/>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3EDC8D"/>
  <w15:docId w15:val="{73626BDF-7D28-4742-A852-A18867EC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053768"/>
    <w:rPr>
      <w:color w:val="605E5C"/>
      <w:shd w:val="clear" w:color="auto" w:fill="E1DFDD"/>
    </w:rPr>
  </w:style>
  <w:style w:type="table" w:styleId="TableGrid">
    <w:name w:val="Table Grid"/>
    <w:basedOn w:val="TableNormal"/>
    <w:uiPriority w:val="39"/>
    <w:rsid w:val="0005376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53768"/>
    <w:rPr>
      <w:rFonts w:ascii="Calibri" w:hAnsi="Calibri"/>
      <w:sz w:val="18"/>
      <w:lang w:val="es-ES_tradnl" w:eastAsia="en-US"/>
    </w:rPr>
  </w:style>
  <w:style w:type="character" w:customStyle="1" w:styleId="FooterChar">
    <w:name w:val="Footer Char"/>
    <w:basedOn w:val="DefaultParagraphFont"/>
    <w:link w:val="Footer"/>
    <w:uiPriority w:val="99"/>
    <w:rsid w:val="00053768"/>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49609">
      <w:bodyDiv w:val="1"/>
      <w:marLeft w:val="0"/>
      <w:marRight w:val="0"/>
      <w:marTop w:val="0"/>
      <w:marBottom w:val="0"/>
      <w:divBdr>
        <w:top w:val="none" w:sz="0" w:space="0" w:color="auto"/>
        <w:left w:val="none" w:sz="0" w:space="0" w:color="auto"/>
        <w:bottom w:val="none" w:sz="0" w:space="0" w:color="auto"/>
        <w:right w:val="none" w:sz="0" w:space="0" w:color="auto"/>
      </w:divBdr>
    </w:div>
    <w:div w:id="19649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jiu.org/sites/www.unjiu.org/files/jiu_document_files/products/es/reports-notes/JIU%20Products/JIU_REP_2016_1_Spanish.pdf" TargetMode="External"/><Relationship Id="rId18" Type="http://schemas.openxmlformats.org/officeDocument/2006/relationships/hyperlink" Target="https://www.itu.int/en/council/Documents/Financial-Regulations/S-GEN-REG_RGTFIN-2018-PDF-S.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unjiu.org/sites/www.unjiu.org/files/jiu_document_files/products/es/reports-notes/JIU%20Products/JIU_REP_2011_5_Spanish.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S17-CL-C-0064/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unjiu.org/sites/www.unjiu.org/files/jiu_document_files/products/es/reports-notes/JIU%20Products/JIU_REP_2016_1_Spanish.pdf" TargetMode="External"/><Relationship Id="rId19" Type="http://schemas.openxmlformats.org/officeDocument/2006/relationships/hyperlink" Target="https://www.itu.int/en/ethics/Documents/SO-2019-009-en.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n.org/en/ga/search/view_doc.asp?symbol=A/RES/64/259&amp;Lang=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7DC4E-1FC1-437E-8D7E-7237ED51C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CC45B-3AA7-4F19-B9C1-779BB040342D}">
  <ds:schemaRefs>
    <ds:schemaRef ds:uri="http://schemas.microsoft.com/sharepoint/v3/contenttype/forms"/>
  </ds:schemaRefs>
</ds:datastoreItem>
</file>

<file path=customXml/itemProps3.xml><?xml version="1.0" encoding="utf-8"?>
<ds:datastoreItem xmlns:ds="http://schemas.openxmlformats.org/officeDocument/2006/customXml" ds:itemID="{81852730-61F7-488C-9CFA-D9C992D574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7</Pages>
  <Words>2656</Words>
  <Characters>15206</Characters>
  <Application>Microsoft Office Word</Application>
  <DocSecurity>4</DocSecurity>
  <Lines>126</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17827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de rendición de cuentas y transparencia</dc:title>
  <dc:subject>Consejo 2020</dc:subject>
  <dc:creator>Casellas, Mercedes</dc:creator>
  <cp:keywords>C2020, C20</cp:keywords>
  <dc:description/>
  <cp:lastModifiedBy>Brouard, Ricarda</cp:lastModifiedBy>
  <cp:revision>2</cp:revision>
  <cp:lastPrinted>2020-05-08T08:16:00Z</cp:lastPrinted>
  <dcterms:created xsi:type="dcterms:W3CDTF">2020-05-08T10:40:00Z</dcterms:created>
  <dcterms:modified xsi:type="dcterms:W3CDTF">2020-05-08T10:40:00Z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