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C65B4" w14:paraId="645200FF" w14:textId="77777777">
        <w:trPr>
          <w:cantSplit/>
        </w:trPr>
        <w:tc>
          <w:tcPr>
            <w:tcW w:w="6911" w:type="dxa"/>
          </w:tcPr>
          <w:p w14:paraId="5B0BA874" w14:textId="77777777" w:rsidR="00BC7BC0" w:rsidRPr="006C65B4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C65B4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6C65B4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6C65B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6C65B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6C65B4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6C65B4">
              <w:rPr>
                <w:b/>
                <w:bCs/>
                <w:szCs w:val="22"/>
                <w:lang w:val="ru-RU"/>
              </w:rPr>
              <w:t>9</w:t>
            </w:r>
            <w:r w:rsidR="005B3DEC" w:rsidRPr="006C65B4">
              <w:rPr>
                <w:b/>
                <w:bCs/>
                <w:szCs w:val="22"/>
                <w:lang w:val="ru-RU"/>
              </w:rPr>
              <w:t>–</w:t>
            </w:r>
            <w:r w:rsidR="00442515" w:rsidRPr="006C65B4">
              <w:rPr>
                <w:b/>
                <w:bCs/>
                <w:szCs w:val="22"/>
                <w:lang w:val="ru-RU"/>
              </w:rPr>
              <w:t>19</w:t>
            </w:r>
            <w:r w:rsidR="005B3DEC" w:rsidRPr="006C65B4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6C65B4">
              <w:rPr>
                <w:b/>
                <w:bCs/>
                <w:lang w:val="ru-RU"/>
              </w:rPr>
              <w:t xml:space="preserve"> </w:t>
            </w:r>
            <w:r w:rsidR="00225368" w:rsidRPr="006C65B4">
              <w:rPr>
                <w:b/>
                <w:bCs/>
                <w:lang w:val="ru-RU"/>
              </w:rPr>
              <w:t>20</w:t>
            </w:r>
            <w:r w:rsidR="00442515" w:rsidRPr="006C65B4">
              <w:rPr>
                <w:b/>
                <w:bCs/>
                <w:lang w:val="ru-RU"/>
              </w:rPr>
              <w:t>20</w:t>
            </w:r>
            <w:r w:rsidR="00225368" w:rsidRPr="006C65B4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7777777" w:rsidR="00BC7BC0" w:rsidRPr="006C65B4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C65B4">
              <w:rPr>
                <w:noProof/>
                <w:lang w:val="ru-RU" w:eastAsia="zh-CN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C65B4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6C65B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6C65B4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C65B4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6C65B4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6C65B4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C65B4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622D4980" w:rsidR="00BC7BC0" w:rsidRPr="006C65B4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C65B4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7954A9" w:rsidRPr="006C65B4">
              <w:rPr>
                <w:b/>
                <w:bCs/>
                <w:caps/>
                <w:szCs w:val="22"/>
                <w:lang w:val="ru-RU"/>
              </w:rPr>
              <w:t xml:space="preserve"> ADM 22</w:t>
            </w:r>
          </w:p>
        </w:tc>
        <w:tc>
          <w:tcPr>
            <w:tcW w:w="3120" w:type="dxa"/>
          </w:tcPr>
          <w:p w14:paraId="667A31B9" w14:textId="66EAE035" w:rsidR="00BC7BC0" w:rsidRPr="006C65B4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C65B4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6C65B4">
              <w:rPr>
                <w:b/>
                <w:bCs/>
                <w:szCs w:val="22"/>
                <w:lang w:val="ru-RU"/>
              </w:rPr>
              <w:t>20</w:t>
            </w:r>
            <w:r w:rsidRPr="006C65B4">
              <w:rPr>
                <w:b/>
                <w:bCs/>
                <w:szCs w:val="22"/>
                <w:lang w:val="ru-RU"/>
              </w:rPr>
              <w:t>/</w:t>
            </w:r>
            <w:r w:rsidR="007954A9" w:rsidRPr="006C65B4">
              <w:rPr>
                <w:b/>
                <w:bCs/>
                <w:szCs w:val="22"/>
                <w:lang w:val="ru-RU"/>
              </w:rPr>
              <w:t>43</w:t>
            </w:r>
            <w:r w:rsidRPr="006C65B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C65B4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6C65B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1CF61AE2" w:rsidR="00BC7BC0" w:rsidRPr="006C65B4" w:rsidRDefault="007954A9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C65B4">
              <w:rPr>
                <w:b/>
                <w:bCs/>
                <w:szCs w:val="22"/>
                <w:lang w:val="ru-RU"/>
              </w:rPr>
              <w:t>29 апреля</w:t>
            </w:r>
            <w:r w:rsidR="00EB4FCB" w:rsidRPr="006C65B4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6C65B4">
              <w:rPr>
                <w:b/>
                <w:bCs/>
                <w:szCs w:val="22"/>
                <w:lang w:val="ru-RU"/>
              </w:rPr>
              <w:t>20</w:t>
            </w:r>
            <w:r w:rsidR="00442515" w:rsidRPr="006C65B4">
              <w:rPr>
                <w:b/>
                <w:bCs/>
                <w:szCs w:val="22"/>
                <w:lang w:val="ru-RU"/>
              </w:rPr>
              <w:t>20</w:t>
            </w:r>
            <w:r w:rsidR="00BC7BC0" w:rsidRPr="006C65B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C65B4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6C65B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6C65B4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C65B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6C65B4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5B2C3E33" w:rsidR="00BC7BC0" w:rsidRPr="006C65B4" w:rsidRDefault="007954A9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C65B4">
              <w:rPr>
                <w:lang w:val="ru-RU"/>
              </w:rPr>
              <w:t>Отчет Генерального секретаря</w:t>
            </w:r>
          </w:p>
        </w:tc>
      </w:tr>
      <w:tr w:rsidR="00BC7BC0" w:rsidRPr="009F69EC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01ED378A" w:rsidR="00BC7BC0" w:rsidRPr="006C65B4" w:rsidRDefault="007954A9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C65B4">
              <w:rPr>
                <w:lang w:val="ru-RU"/>
              </w:rPr>
              <w:t>система подотчетности и прозрачности</w:t>
            </w:r>
            <w:r w:rsidRPr="006C65B4">
              <w:rPr>
                <w:lang w:val="ru-RU"/>
              </w:rPr>
              <w:br/>
              <w:t>международнОго союза электросвязи</w:t>
            </w:r>
          </w:p>
        </w:tc>
      </w:tr>
      <w:bookmarkEnd w:id="2"/>
    </w:tbl>
    <w:p w14:paraId="4B6F74DD" w14:textId="77777777" w:rsidR="002D2F57" w:rsidRPr="006C65B4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8A45F9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6C65B4" w:rsidRDefault="002D2F57">
            <w:pPr>
              <w:pStyle w:val="Headingb"/>
              <w:rPr>
                <w:szCs w:val="22"/>
                <w:lang w:val="ru-RU"/>
              </w:rPr>
            </w:pPr>
            <w:r w:rsidRPr="006C65B4">
              <w:rPr>
                <w:szCs w:val="22"/>
                <w:lang w:val="ru-RU"/>
              </w:rPr>
              <w:t>Резюме</w:t>
            </w:r>
          </w:p>
          <w:p w14:paraId="612B01F3" w14:textId="559B7D10" w:rsidR="007954A9" w:rsidRPr="006C65B4" w:rsidRDefault="007954A9" w:rsidP="007954A9">
            <w:pPr>
              <w:rPr>
                <w:szCs w:val="22"/>
                <w:lang w:val="ru-RU"/>
              </w:rPr>
            </w:pPr>
            <w:r w:rsidRPr="006C65B4">
              <w:rPr>
                <w:szCs w:val="22"/>
                <w:lang w:val="ru-RU"/>
              </w:rPr>
              <w:t>В соответствии с предпринятым ОИГ в 2015 году анализом управления в МСЭ (</w:t>
            </w:r>
            <w:hyperlink r:id="rId11" w:history="1">
              <w:r w:rsidRPr="006C65B4">
                <w:rPr>
                  <w:rStyle w:val="Hyperlink"/>
                  <w:szCs w:val="22"/>
                  <w:lang w:val="ru-RU"/>
                </w:rPr>
                <w:t>JIU/REP/2016/1</w:t>
              </w:r>
            </w:hyperlink>
            <w:r w:rsidRPr="006C65B4">
              <w:rPr>
                <w:szCs w:val="22"/>
                <w:lang w:val="ru-RU"/>
              </w:rPr>
              <w:t>) Генеральный секретарь представил Совету на его сессии 2017 года самостоятельную систему подотчетности МСЭ, в которой главные элементы подотчетности сгруппированы вокруг трех основных принципов и соответствующих контрольных показателей.</w:t>
            </w:r>
          </w:p>
          <w:p w14:paraId="49F6B233" w14:textId="1078BC73" w:rsidR="007954A9" w:rsidRPr="006C65B4" w:rsidRDefault="007954A9" w:rsidP="007954A9">
            <w:pPr>
              <w:rPr>
                <w:szCs w:val="22"/>
                <w:lang w:val="ru-RU"/>
              </w:rPr>
            </w:pPr>
            <w:r w:rsidRPr="006C65B4">
              <w:rPr>
                <w:szCs w:val="22"/>
                <w:lang w:val="ru-RU"/>
              </w:rPr>
              <w:t>В настоящем отчете представлена обновленная информация о прогрессе в достижении контрольных показателей ОИГ для системы подотчетности.</w:t>
            </w:r>
          </w:p>
          <w:p w14:paraId="02E24765" w14:textId="5E728980" w:rsidR="007954A9" w:rsidRPr="00DA43C5" w:rsidRDefault="006C65B4" w:rsidP="007954A9">
            <w:pPr>
              <w:rPr>
                <w:szCs w:val="22"/>
                <w:lang w:val="ru-RU"/>
              </w:rPr>
            </w:pPr>
            <w:r w:rsidRPr="006C65B4">
              <w:rPr>
                <w:szCs w:val="22"/>
                <w:lang w:val="ru-RU"/>
              </w:rPr>
              <w:t>Приложение к настоящему документу служит в качестве перечня контрольных показателей</w:t>
            </w:r>
            <w:r>
              <w:rPr>
                <w:szCs w:val="22"/>
                <w:lang w:val="ru-RU"/>
              </w:rPr>
              <w:t xml:space="preserve"> </w:t>
            </w:r>
            <w:r w:rsidR="009E1A71">
              <w:rPr>
                <w:szCs w:val="22"/>
                <w:lang w:val="ru-RU"/>
              </w:rPr>
              <w:t>для</w:t>
            </w:r>
            <w:r w:rsidR="00611060">
              <w:rPr>
                <w:szCs w:val="22"/>
                <w:lang w:val="ru-RU"/>
              </w:rPr>
              <w:t xml:space="preserve"> обеспечения</w:t>
            </w:r>
            <w:r w:rsidR="009E1A7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подотчетности.</w:t>
            </w:r>
            <w:r w:rsidRPr="006C65B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Будет</w:t>
            </w:r>
            <w:r w:rsidRPr="005218A2">
              <w:rPr>
                <w:szCs w:val="22"/>
                <w:lang w:val="ru-RU"/>
              </w:rPr>
              <w:t xml:space="preserve"> </w:t>
            </w:r>
            <w:r w:rsidR="005218A2">
              <w:rPr>
                <w:szCs w:val="22"/>
                <w:lang w:val="ru-RU"/>
              </w:rPr>
              <w:t>подготовлена</w:t>
            </w:r>
            <w:r w:rsidR="005218A2" w:rsidRPr="005218A2">
              <w:rPr>
                <w:szCs w:val="22"/>
                <w:lang w:val="ru-RU"/>
              </w:rPr>
              <w:t xml:space="preserve"> </w:t>
            </w:r>
            <w:r w:rsidR="005218A2">
              <w:rPr>
                <w:szCs w:val="22"/>
                <w:lang w:val="ru-RU"/>
              </w:rPr>
              <w:t>пересмотренная</w:t>
            </w:r>
            <w:r w:rsidR="009C0812">
              <w:rPr>
                <w:szCs w:val="22"/>
                <w:lang w:val="ru-RU"/>
              </w:rPr>
              <w:t xml:space="preserve"> версия</w:t>
            </w:r>
            <w:r w:rsidR="005218A2" w:rsidRPr="005218A2">
              <w:rPr>
                <w:szCs w:val="22"/>
                <w:lang w:val="ru-RU"/>
              </w:rPr>
              <w:t xml:space="preserve"> </w:t>
            </w:r>
            <w:r w:rsidR="005218A2">
              <w:rPr>
                <w:szCs w:val="22"/>
                <w:lang w:val="ru-RU"/>
              </w:rPr>
              <w:t>систем</w:t>
            </w:r>
            <w:r w:rsidR="009C0812">
              <w:rPr>
                <w:szCs w:val="22"/>
                <w:lang w:val="ru-RU"/>
              </w:rPr>
              <w:t>ы</w:t>
            </w:r>
            <w:r w:rsidR="00611060">
              <w:rPr>
                <w:szCs w:val="22"/>
                <w:lang w:val="ru-RU"/>
              </w:rPr>
              <w:t xml:space="preserve"> с учетом </w:t>
            </w:r>
            <w:r w:rsidR="00DA43C5">
              <w:rPr>
                <w:szCs w:val="22"/>
                <w:lang w:val="ru-RU"/>
              </w:rPr>
              <w:t>други</w:t>
            </w:r>
            <w:r w:rsidR="00611060">
              <w:rPr>
                <w:szCs w:val="22"/>
                <w:lang w:val="ru-RU"/>
              </w:rPr>
              <w:t>х</w:t>
            </w:r>
            <w:r w:rsidR="005218A2" w:rsidRPr="005218A2">
              <w:rPr>
                <w:szCs w:val="22"/>
                <w:lang w:val="ru-RU"/>
              </w:rPr>
              <w:t xml:space="preserve"> </w:t>
            </w:r>
            <w:r w:rsidR="00611060">
              <w:rPr>
                <w:szCs w:val="22"/>
                <w:lang w:val="ru-RU"/>
              </w:rPr>
              <w:t>параллельно осуществляемых</w:t>
            </w:r>
            <w:r w:rsidR="005218A2" w:rsidRPr="005218A2">
              <w:rPr>
                <w:szCs w:val="22"/>
                <w:lang w:val="ru-RU"/>
              </w:rPr>
              <w:t xml:space="preserve"> </w:t>
            </w:r>
            <w:r w:rsidR="005218A2">
              <w:rPr>
                <w:szCs w:val="22"/>
                <w:lang w:val="ru-RU"/>
              </w:rPr>
              <w:t xml:space="preserve">инициатив, </w:t>
            </w:r>
            <w:r w:rsidR="00611060">
              <w:rPr>
                <w:szCs w:val="22"/>
                <w:lang w:val="ru-RU"/>
              </w:rPr>
              <w:t xml:space="preserve">которые </w:t>
            </w:r>
            <w:r w:rsidR="005218A2">
              <w:rPr>
                <w:szCs w:val="22"/>
                <w:lang w:val="ru-RU"/>
              </w:rPr>
              <w:t>способствую</w:t>
            </w:r>
            <w:r w:rsidR="00611060">
              <w:rPr>
                <w:szCs w:val="22"/>
                <w:lang w:val="ru-RU"/>
              </w:rPr>
              <w:t>т</w:t>
            </w:r>
            <w:r w:rsidR="005218A2">
              <w:rPr>
                <w:szCs w:val="22"/>
                <w:lang w:val="ru-RU"/>
              </w:rPr>
              <w:t xml:space="preserve"> у</w:t>
            </w:r>
            <w:r w:rsidR="00996DDB">
              <w:rPr>
                <w:szCs w:val="22"/>
                <w:lang w:val="ru-RU"/>
              </w:rPr>
              <w:t>лучше</w:t>
            </w:r>
            <w:r w:rsidR="005218A2">
              <w:rPr>
                <w:szCs w:val="22"/>
                <w:lang w:val="ru-RU"/>
              </w:rPr>
              <w:t xml:space="preserve">нию подотчетности. </w:t>
            </w:r>
          </w:p>
          <w:p w14:paraId="08D54458" w14:textId="77777777" w:rsidR="002D2F57" w:rsidRPr="006C65B4" w:rsidRDefault="002D2F57" w:rsidP="00E55121">
            <w:pPr>
              <w:pStyle w:val="Headingb"/>
              <w:rPr>
                <w:lang w:val="ru-RU"/>
              </w:rPr>
            </w:pPr>
            <w:r w:rsidRPr="006C65B4">
              <w:rPr>
                <w:lang w:val="ru-RU"/>
              </w:rPr>
              <w:t xml:space="preserve">Необходимые </w:t>
            </w:r>
            <w:r w:rsidR="00F5225B" w:rsidRPr="006C65B4">
              <w:rPr>
                <w:lang w:val="ru-RU"/>
              </w:rPr>
              <w:t>действия</w:t>
            </w:r>
          </w:p>
          <w:p w14:paraId="2DBB2826" w14:textId="77777777" w:rsidR="007954A9" w:rsidRPr="006C65B4" w:rsidRDefault="007954A9" w:rsidP="007954A9">
            <w:pPr>
              <w:rPr>
                <w:szCs w:val="22"/>
                <w:lang w:val="ru-RU"/>
              </w:rPr>
            </w:pPr>
            <w:r w:rsidRPr="006C65B4">
              <w:rPr>
                <w:szCs w:val="22"/>
                <w:lang w:val="ru-RU"/>
              </w:rPr>
              <w:t xml:space="preserve">Совету предлагается </w:t>
            </w:r>
            <w:r w:rsidRPr="006C65B4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6C65B4">
              <w:rPr>
                <w:szCs w:val="22"/>
                <w:lang w:val="ru-RU"/>
              </w:rPr>
              <w:t xml:space="preserve"> настоящий отчет.</w:t>
            </w:r>
          </w:p>
          <w:p w14:paraId="6A9E596B" w14:textId="77777777" w:rsidR="002D2F57" w:rsidRPr="006C65B4" w:rsidRDefault="002D2F57" w:rsidP="007954A9">
            <w:pPr>
              <w:spacing w:after="120"/>
              <w:jc w:val="center"/>
              <w:rPr>
                <w:caps/>
                <w:szCs w:val="22"/>
                <w:lang w:val="ru-RU"/>
              </w:rPr>
            </w:pPr>
            <w:r w:rsidRPr="006C65B4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6C65B4" w:rsidRDefault="002D2F57">
            <w:pPr>
              <w:pStyle w:val="Headingb"/>
              <w:rPr>
                <w:szCs w:val="22"/>
                <w:lang w:val="ru-RU"/>
              </w:rPr>
            </w:pPr>
            <w:r w:rsidRPr="006C65B4">
              <w:rPr>
                <w:szCs w:val="22"/>
                <w:lang w:val="ru-RU"/>
              </w:rPr>
              <w:t>Справочные материалы</w:t>
            </w:r>
          </w:p>
          <w:p w14:paraId="47CA1E48" w14:textId="7509BF6A" w:rsidR="002D2F57" w:rsidRPr="006C65B4" w:rsidRDefault="008A45F9" w:rsidP="00A90A2E">
            <w:pPr>
              <w:spacing w:after="120"/>
              <w:rPr>
                <w:i/>
                <w:iCs/>
                <w:lang w:val="ru-RU"/>
              </w:rPr>
            </w:pPr>
            <w:hyperlink r:id="rId12" w:history="1">
              <w:r w:rsidR="007954A9" w:rsidRPr="006C65B4">
                <w:rPr>
                  <w:rStyle w:val="Hyperlink"/>
                  <w:i/>
                  <w:iCs/>
                  <w:szCs w:val="22"/>
                  <w:lang w:val="ru-RU"/>
                </w:rPr>
                <w:t>C17/64</w:t>
              </w:r>
            </w:hyperlink>
            <w:r w:rsidR="007954A9" w:rsidRPr="006C65B4">
              <w:rPr>
                <w:i/>
                <w:iCs/>
                <w:szCs w:val="22"/>
                <w:lang w:val="ru-RU"/>
              </w:rPr>
              <w:t xml:space="preserve">, </w:t>
            </w:r>
            <w:hyperlink r:id="rId13" w:history="1">
              <w:r w:rsidR="007954A9" w:rsidRPr="006C65B4">
                <w:rPr>
                  <w:rStyle w:val="Hyperlink"/>
                  <w:i/>
                  <w:iCs/>
                  <w:szCs w:val="22"/>
                  <w:lang w:val="ru-RU"/>
                </w:rPr>
                <w:t>JIU/REP/2011/5</w:t>
              </w:r>
            </w:hyperlink>
            <w:r w:rsidR="007954A9" w:rsidRPr="006C65B4">
              <w:rPr>
                <w:i/>
                <w:iCs/>
                <w:szCs w:val="22"/>
                <w:lang w:val="ru-RU"/>
              </w:rPr>
              <w:t xml:space="preserve">, </w:t>
            </w:r>
            <w:hyperlink r:id="rId14" w:history="1">
              <w:r w:rsidR="007954A9" w:rsidRPr="006C65B4">
                <w:rPr>
                  <w:rStyle w:val="Hyperlink"/>
                  <w:i/>
                  <w:iCs/>
                  <w:szCs w:val="22"/>
                  <w:lang w:val="ru-RU"/>
                </w:rPr>
                <w:t>JIU/REP/2016/1</w:t>
              </w:r>
            </w:hyperlink>
            <w:r w:rsidR="007954A9" w:rsidRPr="006C65B4">
              <w:rPr>
                <w:i/>
                <w:iCs/>
                <w:szCs w:val="22"/>
                <w:lang w:val="ru-RU"/>
              </w:rPr>
              <w:t xml:space="preserve"> и </w:t>
            </w:r>
            <w:hyperlink r:id="rId15" w:history="1">
              <w:r w:rsidR="007954A9" w:rsidRPr="006C65B4">
                <w:rPr>
                  <w:rStyle w:val="Hyperlink"/>
                  <w:i/>
                  <w:iCs/>
                  <w:szCs w:val="22"/>
                  <w:lang w:val="ru-RU"/>
                </w:rPr>
                <w:t>резолюция 64/259</w:t>
              </w:r>
            </w:hyperlink>
            <w:r w:rsidR="007954A9" w:rsidRPr="006C65B4">
              <w:rPr>
                <w:i/>
                <w:iCs/>
                <w:szCs w:val="22"/>
                <w:lang w:val="ru-RU"/>
              </w:rPr>
              <w:t xml:space="preserve"> Генеральной Ассамблеи ООН</w:t>
            </w:r>
          </w:p>
        </w:tc>
      </w:tr>
    </w:tbl>
    <w:p w14:paraId="0AEF706E" w14:textId="482D231F" w:rsidR="007954A9" w:rsidRPr="006C65B4" w:rsidRDefault="007954A9" w:rsidP="007954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440"/>
        <w:textAlignment w:val="auto"/>
        <w:rPr>
          <w:lang w:val="ru-RU"/>
        </w:rPr>
      </w:pPr>
      <w:r w:rsidRPr="006C65B4">
        <w:rPr>
          <w:b/>
          <w:bCs/>
          <w:lang w:val="ru-RU"/>
        </w:rPr>
        <w:t>Приложение</w:t>
      </w:r>
      <w:r w:rsidRPr="006C65B4">
        <w:rPr>
          <w:lang w:val="ru-RU"/>
        </w:rPr>
        <w:t>: 1</w:t>
      </w:r>
    </w:p>
    <w:p w14:paraId="22EA9419" w14:textId="40795CF1" w:rsidR="00A90A2E" w:rsidRPr="006C65B4" w:rsidRDefault="00A90A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C65B4">
        <w:rPr>
          <w:lang w:val="ru-RU"/>
        </w:rPr>
        <w:br w:type="page"/>
      </w:r>
    </w:p>
    <w:p w14:paraId="2EEF65A4" w14:textId="77777777" w:rsidR="00780F31" w:rsidRPr="006C65B4" w:rsidRDefault="00780F31" w:rsidP="00780F31">
      <w:pPr>
        <w:rPr>
          <w:lang w:val="ru-RU"/>
        </w:rPr>
      </w:pPr>
      <w:r w:rsidRPr="006C65B4">
        <w:rPr>
          <w:lang w:val="ru-RU"/>
        </w:rPr>
        <w:lastRenderedPageBreak/>
        <w:t>1</w:t>
      </w:r>
      <w:r w:rsidRPr="006C65B4">
        <w:rPr>
          <w:lang w:val="ru-RU"/>
        </w:rPr>
        <w:tab/>
        <w:t>Цель настоящего документа заключается в том, чтобы представить обновленную информацию о прогрессе в достижении контрольных показателей ОИГ для системы подотчетности.</w:t>
      </w:r>
    </w:p>
    <w:p w14:paraId="311B0E02" w14:textId="614B2E50" w:rsidR="00780F31" w:rsidRPr="006C65B4" w:rsidRDefault="00780F31" w:rsidP="00780F31">
      <w:pPr>
        <w:spacing w:after="240"/>
        <w:rPr>
          <w:rFonts w:asciiTheme="minorHAnsi" w:hAnsiTheme="minorHAnsi"/>
          <w:lang w:val="ru-RU"/>
        </w:rPr>
      </w:pPr>
      <w:r w:rsidRPr="006C65B4">
        <w:rPr>
          <w:rFonts w:asciiTheme="minorHAnsi" w:hAnsiTheme="minorHAnsi"/>
          <w:lang w:val="ru-RU"/>
        </w:rPr>
        <w:t>2</w:t>
      </w:r>
      <w:r w:rsidRPr="006C65B4">
        <w:rPr>
          <w:rFonts w:asciiTheme="minorHAnsi" w:hAnsiTheme="minorHAnsi"/>
          <w:lang w:val="ru-RU"/>
        </w:rPr>
        <w:tab/>
      </w:r>
      <w:r w:rsidR="00732FD7">
        <w:rPr>
          <w:rFonts w:asciiTheme="minorHAnsi" w:hAnsiTheme="minorHAnsi"/>
          <w:lang w:val="ru-RU"/>
        </w:rPr>
        <w:t xml:space="preserve">Как отмечается в Приложении, </w:t>
      </w:r>
      <w:r w:rsidR="009C0812">
        <w:rPr>
          <w:rFonts w:asciiTheme="minorHAnsi" w:hAnsiTheme="minorHAnsi"/>
          <w:lang w:val="ru-RU"/>
        </w:rPr>
        <w:t>действующая</w:t>
      </w:r>
      <w:r w:rsidR="00732FD7">
        <w:rPr>
          <w:rFonts w:asciiTheme="minorHAnsi" w:hAnsiTheme="minorHAnsi"/>
          <w:lang w:val="ru-RU"/>
        </w:rPr>
        <w:t xml:space="preserve"> </w:t>
      </w:r>
      <w:r w:rsidRPr="006C65B4">
        <w:rPr>
          <w:rFonts w:asciiTheme="minorHAnsi" w:hAnsiTheme="minorHAnsi"/>
          <w:lang w:val="ru-RU"/>
        </w:rPr>
        <w:t xml:space="preserve">Система подотчетности МСЭ построена на трех основных принципах, основанных на структуре, представленной в отчете ОИГ, как это показано ниже. </w:t>
      </w: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3539"/>
        <w:gridCol w:w="3260"/>
        <w:gridCol w:w="2841"/>
      </w:tblGrid>
      <w:tr w:rsidR="00780F31" w:rsidRPr="008A45F9" w14:paraId="6EE57F98" w14:textId="77777777" w:rsidTr="000076FA">
        <w:tc>
          <w:tcPr>
            <w:tcW w:w="3539" w:type="dxa"/>
            <w:shd w:val="clear" w:color="auto" w:fill="365F91" w:themeFill="accent1" w:themeFillShade="BF"/>
          </w:tcPr>
          <w:p w14:paraId="75F53CDD" w14:textId="4CCA7727" w:rsidR="00780F31" w:rsidRPr="006C65B4" w:rsidRDefault="00780F31" w:rsidP="00780F31">
            <w:pPr>
              <w:pStyle w:val="Tablehead"/>
              <w:rPr>
                <w:color w:val="FFFFFF" w:themeColor="background1"/>
                <w:lang w:val="ru-RU"/>
              </w:rPr>
            </w:pPr>
            <w:r w:rsidRPr="006C65B4">
              <w:rPr>
                <w:color w:val="FFFFFF" w:themeColor="background1"/>
                <w:lang w:val="ru-RU"/>
              </w:rPr>
              <w:t>ПРИНЦИП 1</w:t>
            </w:r>
          </w:p>
          <w:p w14:paraId="5C2CD7D4" w14:textId="77777777" w:rsidR="00780F31" w:rsidRPr="006C65B4" w:rsidRDefault="00780F31" w:rsidP="00780F31">
            <w:pPr>
              <w:pStyle w:val="Tablehead"/>
              <w:rPr>
                <w:color w:val="FFFFFF" w:themeColor="background1"/>
                <w:lang w:val="ru-RU"/>
              </w:rPr>
            </w:pPr>
            <w:r w:rsidRPr="006C65B4">
              <w:rPr>
                <w:color w:val="FFFFFF" w:themeColor="background1"/>
                <w:lang w:val="ru-RU"/>
              </w:rPr>
              <w:t>Соглашение с Государствами-Членами, Членами Секторов, Ассоциированными членами, Академическими организациями и пользователями услуг МСЭ</w:t>
            </w:r>
          </w:p>
        </w:tc>
        <w:tc>
          <w:tcPr>
            <w:tcW w:w="3260" w:type="dxa"/>
            <w:shd w:val="clear" w:color="auto" w:fill="365F91" w:themeFill="accent1" w:themeFillShade="BF"/>
          </w:tcPr>
          <w:p w14:paraId="3F60CF6F" w14:textId="47665CC2" w:rsidR="00780F31" w:rsidRPr="006C65B4" w:rsidRDefault="00780F31" w:rsidP="00780F31">
            <w:pPr>
              <w:pStyle w:val="Tablehead"/>
              <w:rPr>
                <w:color w:val="FFFFFF" w:themeColor="background1"/>
                <w:lang w:val="ru-RU"/>
              </w:rPr>
            </w:pPr>
            <w:r w:rsidRPr="006C65B4">
              <w:rPr>
                <w:color w:val="FFFFFF" w:themeColor="background1"/>
                <w:lang w:val="ru-RU"/>
              </w:rPr>
              <w:t>ПРИНЦИП 2</w:t>
            </w:r>
          </w:p>
          <w:p w14:paraId="0002B2FD" w14:textId="77777777" w:rsidR="00780F31" w:rsidRPr="006C65B4" w:rsidRDefault="00780F31" w:rsidP="00780F31">
            <w:pPr>
              <w:pStyle w:val="Tablehead"/>
              <w:rPr>
                <w:color w:val="FFFFFF" w:themeColor="background1"/>
                <w:lang w:val="ru-RU"/>
              </w:rPr>
            </w:pPr>
            <w:r w:rsidRPr="006C65B4">
              <w:rPr>
                <w:color w:val="FFFFFF" w:themeColor="background1"/>
                <w:lang w:val="ru-RU"/>
              </w:rPr>
              <w:t>Внутренний контроль и управление рисками</w:t>
            </w:r>
          </w:p>
        </w:tc>
        <w:tc>
          <w:tcPr>
            <w:tcW w:w="2841" w:type="dxa"/>
            <w:shd w:val="clear" w:color="auto" w:fill="365F91" w:themeFill="accent1" w:themeFillShade="BF"/>
          </w:tcPr>
          <w:p w14:paraId="02994957" w14:textId="76D6F668" w:rsidR="00780F31" w:rsidRPr="006C65B4" w:rsidRDefault="00780F31" w:rsidP="00780F31">
            <w:pPr>
              <w:pStyle w:val="Tablehead"/>
              <w:rPr>
                <w:color w:val="FFFFFF" w:themeColor="background1"/>
                <w:lang w:val="ru-RU"/>
              </w:rPr>
            </w:pPr>
            <w:r w:rsidRPr="006C65B4">
              <w:rPr>
                <w:color w:val="FFFFFF" w:themeColor="background1"/>
                <w:lang w:val="ru-RU"/>
              </w:rPr>
              <w:t>ПРИНЦИП 3</w:t>
            </w:r>
          </w:p>
          <w:p w14:paraId="4D9F2F46" w14:textId="2DEF94DF" w:rsidR="00780F31" w:rsidRPr="006C65B4" w:rsidRDefault="00780F31" w:rsidP="00780F31">
            <w:pPr>
              <w:pStyle w:val="Tablehead"/>
              <w:rPr>
                <w:color w:val="FFFFFF" w:themeColor="background1"/>
                <w:lang w:val="ru-RU"/>
              </w:rPr>
            </w:pPr>
            <w:r w:rsidRPr="006C65B4">
              <w:rPr>
                <w:color w:val="FFFFFF" w:themeColor="background1"/>
                <w:lang w:val="ru-RU"/>
              </w:rPr>
              <w:t>Жалобы и механизм реагирования на них</w:t>
            </w:r>
          </w:p>
        </w:tc>
      </w:tr>
      <w:tr w:rsidR="00780F31" w:rsidRPr="008A45F9" w14:paraId="3E5E0A70" w14:textId="77777777" w:rsidTr="009C0812">
        <w:trPr>
          <w:trHeight w:val="1718"/>
        </w:trPr>
        <w:tc>
          <w:tcPr>
            <w:tcW w:w="3539" w:type="dxa"/>
            <w:shd w:val="clear" w:color="auto" w:fill="B8CCE4" w:themeFill="accent1" w:themeFillTint="66"/>
          </w:tcPr>
          <w:p w14:paraId="755CE8EB" w14:textId="77777777" w:rsidR="00780F31" w:rsidRPr="006C65B4" w:rsidRDefault="00780F31" w:rsidP="00780F3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13" w:hanging="313"/>
              <w:rPr>
                <w:sz w:val="20"/>
                <w:lang w:val="ru-RU"/>
              </w:rPr>
            </w:pPr>
            <w:r w:rsidRPr="006C65B4">
              <w:rPr>
                <w:sz w:val="20"/>
                <w:lang w:val="ru-RU"/>
              </w:rPr>
              <w:t>−</w:t>
            </w:r>
            <w:r w:rsidRPr="006C65B4">
              <w:rPr>
                <w:sz w:val="20"/>
                <w:lang w:val="ru-RU"/>
              </w:rPr>
              <w:tab/>
              <w:t>Основополагающие документы МСЭ, соответствующие соглашения и договоры</w:t>
            </w:r>
          </w:p>
          <w:p w14:paraId="08608592" w14:textId="77777777" w:rsidR="00780F31" w:rsidRPr="006C65B4" w:rsidRDefault="00780F31" w:rsidP="00780F3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13" w:hanging="313"/>
              <w:rPr>
                <w:sz w:val="20"/>
                <w:lang w:val="ru-RU"/>
              </w:rPr>
            </w:pPr>
            <w:r w:rsidRPr="006C65B4">
              <w:rPr>
                <w:sz w:val="20"/>
                <w:lang w:val="ru-RU"/>
              </w:rPr>
              <w:t>−</w:t>
            </w:r>
            <w:r w:rsidRPr="006C65B4">
              <w:rPr>
                <w:sz w:val="20"/>
                <w:lang w:val="ru-RU"/>
              </w:rPr>
              <w:tab/>
              <w:t>Структура результатов деятельности МСЭ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14:paraId="79F0F1CD" w14:textId="77777777" w:rsidR="00780F31" w:rsidRPr="006C65B4" w:rsidRDefault="00780F31" w:rsidP="00780F3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15" w:hanging="315"/>
              <w:rPr>
                <w:sz w:val="20"/>
                <w:lang w:val="ru-RU"/>
              </w:rPr>
            </w:pPr>
            <w:r w:rsidRPr="006C65B4">
              <w:rPr>
                <w:sz w:val="20"/>
                <w:lang w:val="ru-RU"/>
              </w:rPr>
              <w:t>−</w:t>
            </w:r>
            <w:r w:rsidRPr="006C65B4">
              <w:rPr>
                <w:sz w:val="20"/>
                <w:lang w:val="ru-RU"/>
              </w:rPr>
              <w:tab/>
              <w:t>Условия осуществления контроля</w:t>
            </w:r>
          </w:p>
          <w:p w14:paraId="2B79356B" w14:textId="77777777" w:rsidR="00780F31" w:rsidRPr="006C65B4" w:rsidRDefault="00780F31" w:rsidP="00780F3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15" w:hanging="315"/>
              <w:rPr>
                <w:sz w:val="20"/>
                <w:lang w:val="ru-RU"/>
              </w:rPr>
            </w:pPr>
            <w:r w:rsidRPr="006C65B4">
              <w:rPr>
                <w:sz w:val="20"/>
                <w:lang w:val="ru-RU"/>
              </w:rPr>
              <w:t>−</w:t>
            </w:r>
            <w:r w:rsidRPr="006C65B4">
              <w:rPr>
                <w:sz w:val="20"/>
                <w:lang w:val="ru-RU"/>
              </w:rPr>
              <w:tab/>
              <w:t>Деятельность по контролю</w:t>
            </w:r>
          </w:p>
          <w:p w14:paraId="64030BBB" w14:textId="77777777" w:rsidR="00780F31" w:rsidRPr="006C65B4" w:rsidRDefault="00780F31" w:rsidP="00780F3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15" w:hanging="315"/>
              <w:rPr>
                <w:sz w:val="20"/>
                <w:lang w:val="ru-RU"/>
              </w:rPr>
            </w:pPr>
            <w:r w:rsidRPr="006C65B4">
              <w:rPr>
                <w:sz w:val="20"/>
                <w:lang w:val="ru-RU"/>
              </w:rPr>
              <w:t>−</w:t>
            </w:r>
            <w:r w:rsidRPr="006C65B4">
              <w:rPr>
                <w:sz w:val="20"/>
                <w:lang w:val="ru-RU"/>
              </w:rPr>
              <w:tab/>
              <w:t>Оценка рисков</w:t>
            </w:r>
          </w:p>
          <w:p w14:paraId="69F7DFD9" w14:textId="77777777" w:rsidR="00780F31" w:rsidRDefault="00780F31" w:rsidP="00780F3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15" w:hanging="315"/>
              <w:rPr>
                <w:sz w:val="20"/>
                <w:lang w:val="ru-RU"/>
              </w:rPr>
            </w:pPr>
            <w:r w:rsidRPr="006C65B4">
              <w:rPr>
                <w:sz w:val="20"/>
                <w:lang w:val="ru-RU"/>
              </w:rPr>
              <w:t>−</w:t>
            </w:r>
            <w:r w:rsidRPr="006C65B4">
              <w:rPr>
                <w:sz w:val="20"/>
                <w:lang w:val="ru-RU"/>
              </w:rPr>
              <w:tab/>
              <w:t>Мониторинг</w:t>
            </w:r>
          </w:p>
          <w:p w14:paraId="63E5F82C" w14:textId="41D05A9E" w:rsidR="009C0812" w:rsidRPr="006C65B4" w:rsidRDefault="009C0812" w:rsidP="009C0812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15" w:hanging="315"/>
              <w:rPr>
                <w:sz w:val="20"/>
                <w:lang w:val="ru-RU"/>
              </w:rPr>
            </w:pPr>
            <w:r w:rsidRPr="006C65B4">
              <w:rPr>
                <w:sz w:val="20"/>
                <w:lang w:val="ru-RU"/>
              </w:rPr>
              <w:t>−</w:t>
            </w:r>
            <w:r w:rsidRPr="006C65B4">
              <w:rPr>
                <w:sz w:val="20"/>
                <w:lang w:val="ru-RU"/>
              </w:rPr>
              <w:tab/>
            </w:r>
            <w:r>
              <w:rPr>
                <w:sz w:val="20"/>
                <w:lang w:val="ru-RU"/>
              </w:rPr>
              <w:t>Закупки</w:t>
            </w:r>
          </w:p>
        </w:tc>
        <w:tc>
          <w:tcPr>
            <w:tcW w:w="2841" w:type="dxa"/>
            <w:shd w:val="clear" w:color="auto" w:fill="B8CCE4" w:themeFill="accent1" w:themeFillTint="66"/>
          </w:tcPr>
          <w:p w14:paraId="15C0DD46" w14:textId="77777777" w:rsidR="00780F31" w:rsidRPr="006C65B4" w:rsidRDefault="00780F31" w:rsidP="00780F3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17" w:hanging="317"/>
              <w:rPr>
                <w:sz w:val="20"/>
                <w:lang w:val="ru-RU"/>
              </w:rPr>
            </w:pPr>
            <w:r w:rsidRPr="006C65B4">
              <w:rPr>
                <w:sz w:val="20"/>
                <w:lang w:val="ru-RU"/>
              </w:rPr>
              <w:t>−</w:t>
            </w:r>
            <w:r w:rsidRPr="006C65B4">
              <w:rPr>
                <w:sz w:val="20"/>
                <w:lang w:val="ru-RU"/>
              </w:rPr>
              <w:tab/>
              <w:t>Персонал МСЭ</w:t>
            </w:r>
          </w:p>
          <w:p w14:paraId="22F57A35" w14:textId="77777777" w:rsidR="00780F31" w:rsidRPr="006C65B4" w:rsidRDefault="00780F31" w:rsidP="00780F3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17" w:hanging="317"/>
              <w:rPr>
                <w:sz w:val="20"/>
                <w:lang w:val="ru-RU"/>
              </w:rPr>
            </w:pPr>
            <w:r w:rsidRPr="006C65B4">
              <w:rPr>
                <w:sz w:val="20"/>
                <w:lang w:val="ru-RU"/>
              </w:rPr>
              <w:t>−</w:t>
            </w:r>
            <w:r w:rsidRPr="006C65B4">
              <w:rPr>
                <w:sz w:val="20"/>
                <w:lang w:val="ru-RU"/>
              </w:rPr>
              <w:tab/>
              <w:t>Члены и другие пользователи услуг МСЭ</w:t>
            </w:r>
          </w:p>
        </w:tc>
      </w:tr>
    </w:tbl>
    <w:p w14:paraId="38C33398" w14:textId="5F1088D2" w:rsidR="00780F31" w:rsidRPr="006C65B4" w:rsidRDefault="00780F31" w:rsidP="00780F31">
      <w:pPr>
        <w:spacing w:before="360"/>
        <w:rPr>
          <w:lang w:val="ru-RU"/>
        </w:rPr>
      </w:pPr>
      <w:r w:rsidRPr="006C65B4">
        <w:rPr>
          <w:lang w:val="ru-RU"/>
        </w:rPr>
        <w:t>3</w:t>
      </w:r>
      <w:r w:rsidRPr="006C65B4">
        <w:rPr>
          <w:lang w:val="ru-RU"/>
        </w:rPr>
        <w:tab/>
      </w:r>
      <w:r w:rsidR="009C0812">
        <w:rPr>
          <w:lang w:val="ru-RU"/>
        </w:rPr>
        <w:t>В настоящее время</w:t>
      </w:r>
      <w:r w:rsidR="00732FD7">
        <w:rPr>
          <w:lang w:val="ru-RU"/>
        </w:rPr>
        <w:t xml:space="preserve"> </w:t>
      </w:r>
      <w:r w:rsidR="009C0812">
        <w:rPr>
          <w:lang w:val="ru-RU"/>
        </w:rPr>
        <w:t>проводится</w:t>
      </w:r>
      <w:r w:rsidR="00732FD7">
        <w:rPr>
          <w:lang w:val="ru-RU"/>
        </w:rPr>
        <w:t xml:space="preserve"> всеобъемлющий пересмотр </w:t>
      </w:r>
      <w:r w:rsidR="009C0812">
        <w:rPr>
          <w:lang w:val="ru-RU"/>
        </w:rPr>
        <w:t>С</w:t>
      </w:r>
      <w:r w:rsidRPr="006C65B4">
        <w:rPr>
          <w:lang w:val="ru-RU"/>
        </w:rPr>
        <w:t>истем</w:t>
      </w:r>
      <w:r w:rsidR="00732FD7">
        <w:rPr>
          <w:lang w:val="ru-RU"/>
        </w:rPr>
        <w:t>ы</w:t>
      </w:r>
      <w:r w:rsidRPr="006C65B4">
        <w:rPr>
          <w:lang w:val="ru-RU"/>
        </w:rPr>
        <w:t xml:space="preserve"> подотчетности МСЭ</w:t>
      </w:r>
      <w:r w:rsidR="00732FD7">
        <w:rPr>
          <w:lang w:val="ru-RU"/>
        </w:rPr>
        <w:t xml:space="preserve">, с тем чтобы согласовать ее с другими </w:t>
      </w:r>
      <w:r w:rsidR="009C0812">
        <w:rPr>
          <w:lang w:val="ru-RU"/>
        </w:rPr>
        <w:t>параллельно осуществляемыми</w:t>
      </w:r>
      <w:r w:rsidR="00732FD7">
        <w:rPr>
          <w:lang w:val="ru-RU"/>
        </w:rPr>
        <w:t xml:space="preserve"> инициативами (</w:t>
      </w:r>
      <w:r w:rsidR="009C0812">
        <w:rPr>
          <w:lang w:val="ru-RU"/>
        </w:rPr>
        <w:t xml:space="preserve">УОР, </w:t>
      </w:r>
      <w:r w:rsidR="009C0812" w:rsidRPr="006C65B4">
        <w:rPr>
          <w:lang w:val="ru-RU"/>
        </w:rPr>
        <w:t>разработка</w:t>
      </w:r>
      <w:r w:rsidR="009C0812">
        <w:rPr>
          <w:lang w:val="ru-RU"/>
        </w:rPr>
        <w:t xml:space="preserve"> </w:t>
      </w:r>
      <w:r w:rsidR="009C0812" w:rsidRPr="002A0075">
        <w:rPr>
          <w:lang w:val="ru-RU"/>
        </w:rPr>
        <w:t>системы</w:t>
      </w:r>
      <w:r w:rsidR="00732FD7" w:rsidRPr="002A0075">
        <w:rPr>
          <w:lang w:val="ru-RU"/>
        </w:rPr>
        <w:t xml:space="preserve"> делегирования полномочий</w:t>
      </w:r>
      <w:r w:rsidR="002A0075">
        <w:rPr>
          <w:lang w:val="ru-RU"/>
        </w:rPr>
        <w:t>, управление рисками)</w:t>
      </w:r>
      <w:r w:rsidR="005336AE">
        <w:rPr>
          <w:lang w:val="ru-RU"/>
        </w:rPr>
        <w:t xml:space="preserve">, которые </w:t>
      </w:r>
      <w:r w:rsidR="00996DDB">
        <w:rPr>
          <w:lang w:val="ru-RU"/>
        </w:rPr>
        <w:t>способствуют улучшению</w:t>
      </w:r>
      <w:r w:rsidR="005336AE">
        <w:rPr>
          <w:lang w:val="ru-RU"/>
        </w:rPr>
        <w:t xml:space="preserve"> подотчетности</w:t>
      </w:r>
      <w:r w:rsidRPr="006C65B4">
        <w:rPr>
          <w:lang w:val="ru-RU"/>
        </w:rPr>
        <w:t>. Она будет обновляться, чтобы отражать новые требования или улучшения, вытекающие из новых инициатив или извлеченных уроков. МСЭ обеспечит, чтобы система подотчетности оставалась адаптированной к мандату и задачам Союза</w:t>
      </w:r>
      <w:r w:rsidRPr="006C65B4">
        <w:rPr>
          <w:sz w:val="24"/>
          <w:szCs w:val="24"/>
          <w:lang w:val="ru-RU"/>
        </w:rPr>
        <w:t xml:space="preserve">. </w:t>
      </w:r>
      <w:r w:rsidRPr="006C65B4">
        <w:rPr>
          <w:lang w:val="ru-RU"/>
        </w:rPr>
        <w:t>МСЭ будет также по-прежнему следить за тем, чтобы система подотчетности соответствовала изменяющимся обстоятельствам и учитывала передовой опыт системы ООН.</w:t>
      </w:r>
    </w:p>
    <w:p w14:paraId="339F1DF2" w14:textId="77777777" w:rsidR="00780F31" w:rsidRPr="006C65B4" w:rsidRDefault="00780F31" w:rsidP="00780F31">
      <w:pPr>
        <w:rPr>
          <w:lang w:val="ru-RU"/>
        </w:rPr>
      </w:pPr>
      <w:r w:rsidRPr="006C65B4">
        <w:rPr>
          <w:lang w:val="ru-RU"/>
        </w:rPr>
        <w:t>4</w:t>
      </w:r>
      <w:r w:rsidRPr="006C65B4">
        <w:rPr>
          <w:lang w:val="ru-RU"/>
        </w:rPr>
        <w:tab/>
        <w:t>Приведенная в Приложении таблица содержит обновленную информацию о прогрессе в достижении контрольных показателей ОИГ для системы подотчетности по трем основным принципам, описанным выше.</w:t>
      </w:r>
    </w:p>
    <w:p w14:paraId="672F2041" w14:textId="77777777" w:rsidR="00780F31" w:rsidRPr="006C65B4" w:rsidRDefault="00780F31" w:rsidP="003F235E">
      <w:pPr>
        <w:rPr>
          <w:lang w:val="ru-RU"/>
        </w:rPr>
      </w:pPr>
    </w:p>
    <w:p w14:paraId="23A1AF34" w14:textId="0CCB1D49" w:rsidR="00780F31" w:rsidRPr="006C65B4" w:rsidRDefault="00780F31" w:rsidP="00780F31">
      <w:pPr>
        <w:rPr>
          <w:lang w:val="ru-RU"/>
        </w:rPr>
        <w:sectPr w:rsidR="00780F31" w:rsidRPr="006C65B4" w:rsidSect="00CF629C">
          <w:headerReference w:type="default" r:id="rId16"/>
          <w:footerReference w:type="default" r:id="rId17"/>
          <w:footerReference w:type="first" r:id="rId18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3DAA8B6F" w14:textId="77777777" w:rsidR="00780F31" w:rsidRPr="006C65B4" w:rsidRDefault="00780F31" w:rsidP="00780F31">
      <w:pPr>
        <w:pStyle w:val="AnnexNo"/>
        <w:spacing w:before="0"/>
        <w:rPr>
          <w:rFonts w:eastAsiaTheme="majorEastAsia"/>
          <w:lang w:val="ru-RU"/>
        </w:rPr>
      </w:pPr>
      <w:r w:rsidRPr="006C65B4">
        <w:rPr>
          <w:rFonts w:eastAsiaTheme="majorEastAsia"/>
          <w:lang w:val="ru-RU"/>
        </w:rPr>
        <w:lastRenderedPageBreak/>
        <w:t>ПРИЛОЖЕНИЕ</w:t>
      </w:r>
    </w:p>
    <w:p w14:paraId="52B3EF66" w14:textId="77777777" w:rsidR="00780F31" w:rsidRPr="006C65B4" w:rsidRDefault="00780F31" w:rsidP="00780F31">
      <w:pPr>
        <w:pStyle w:val="Annextitle"/>
        <w:rPr>
          <w:rFonts w:eastAsiaTheme="majorEastAsia"/>
          <w:lang w:val="ru-RU"/>
        </w:rPr>
      </w:pPr>
      <w:r w:rsidRPr="006C65B4">
        <w:rPr>
          <w:lang w:val="ru-RU"/>
        </w:rPr>
        <w:t xml:space="preserve">Прогресс в достижении контрольных </w:t>
      </w:r>
      <w:r w:rsidRPr="006C65B4">
        <w:rPr>
          <w:rFonts w:eastAsiaTheme="majorEastAsia"/>
          <w:lang w:val="ru-RU"/>
        </w:rPr>
        <w:t>показателей ОИГ для системы подотчетности</w:t>
      </w:r>
    </w:p>
    <w:p w14:paraId="5BF4003C" w14:textId="77777777" w:rsidR="00780F31" w:rsidRPr="006C65B4" w:rsidRDefault="00780F31" w:rsidP="00780F31">
      <w:pPr>
        <w:pStyle w:val="Headingb"/>
        <w:spacing w:after="120"/>
        <w:rPr>
          <w:lang w:val="ru-RU"/>
        </w:rPr>
      </w:pPr>
      <w:r w:rsidRPr="006C65B4">
        <w:rPr>
          <w:lang w:val="ru-RU"/>
        </w:rPr>
        <w:t>Принцип 1</w:t>
      </w:r>
    </w:p>
    <w:tbl>
      <w:tblPr>
        <w:tblStyle w:val="TableGrid"/>
        <w:tblW w:w="14572" w:type="dxa"/>
        <w:tblLayout w:type="fixed"/>
        <w:tblLook w:val="04A0" w:firstRow="1" w:lastRow="0" w:firstColumn="1" w:lastColumn="0" w:noHBand="0" w:noVBand="1"/>
      </w:tblPr>
      <w:tblGrid>
        <w:gridCol w:w="3537"/>
        <w:gridCol w:w="3975"/>
        <w:gridCol w:w="1694"/>
        <w:gridCol w:w="5366"/>
      </w:tblGrid>
      <w:tr w:rsidR="00780F31" w:rsidRPr="006C65B4" w14:paraId="185489FF" w14:textId="77777777" w:rsidTr="000076FA">
        <w:trPr>
          <w:tblHeader/>
        </w:trPr>
        <w:tc>
          <w:tcPr>
            <w:tcW w:w="3537" w:type="dxa"/>
            <w:shd w:val="clear" w:color="auto" w:fill="B8CCE4" w:themeFill="accent1" w:themeFillTint="66"/>
          </w:tcPr>
          <w:p w14:paraId="1333C6E8" w14:textId="77777777" w:rsidR="00780F31" w:rsidRPr="006C65B4" w:rsidRDefault="00780F31" w:rsidP="000076FA">
            <w:pPr>
              <w:pStyle w:val="Tablehead"/>
              <w:rPr>
                <w:lang w:val="ru-RU"/>
              </w:rPr>
            </w:pPr>
            <w:r w:rsidRPr="006C65B4">
              <w:rPr>
                <w:lang w:val="ru-RU"/>
              </w:rPr>
              <w:t>Показатель</w:t>
            </w:r>
          </w:p>
        </w:tc>
        <w:tc>
          <w:tcPr>
            <w:tcW w:w="3975" w:type="dxa"/>
            <w:shd w:val="clear" w:color="auto" w:fill="B8CCE4" w:themeFill="accent1" w:themeFillTint="66"/>
          </w:tcPr>
          <w:p w14:paraId="44626070" w14:textId="77777777" w:rsidR="00780F31" w:rsidRPr="006C65B4" w:rsidRDefault="00780F31" w:rsidP="000076FA">
            <w:pPr>
              <w:pStyle w:val="Tablehead"/>
              <w:rPr>
                <w:lang w:val="ru-RU"/>
              </w:rPr>
            </w:pPr>
            <w:r w:rsidRPr="006C65B4">
              <w:rPr>
                <w:lang w:val="ru-RU"/>
              </w:rPr>
              <w:t>Инструменты</w:t>
            </w:r>
          </w:p>
        </w:tc>
        <w:tc>
          <w:tcPr>
            <w:tcW w:w="1694" w:type="dxa"/>
            <w:shd w:val="clear" w:color="auto" w:fill="B8CCE4" w:themeFill="accent1" w:themeFillTint="66"/>
          </w:tcPr>
          <w:p w14:paraId="0D1A7E55" w14:textId="77777777" w:rsidR="00780F31" w:rsidRPr="006C65B4" w:rsidRDefault="00780F31" w:rsidP="000076FA">
            <w:pPr>
              <w:pStyle w:val="Tablehead"/>
              <w:rPr>
                <w:lang w:val="ru-RU"/>
              </w:rPr>
            </w:pPr>
            <w:r w:rsidRPr="006C65B4">
              <w:rPr>
                <w:lang w:val="ru-RU"/>
              </w:rPr>
              <w:t>Состояние</w:t>
            </w:r>
          </w:p>
        </w:tc>
        <w:tc>
          <w:tcPr>
            <w:tcW w:w="5366" w:type="dxa"/>
            <w:shd w:val="clear" w:color="auto" w:fill="B8CCE4" w:themeFill="accent1" w:themeFillTint="66"/>
          </w:tcPr>
          <w:p w14:paraId="4C6D4DF5" w14:textId="77777777" w:rsidR="00780F31" w:rsidRPr="006C65B4" w:rsidRDefault="00780F31" w:rsidP="000076FA">
            <w:pPr>
              <w:pStyle w:val="Tablehead"/>
              <w:rPr>
                <w:lang w:val="ru-RU"/>
              </w:rPr>
            </w:pPr>
            <w:r w:rsidRPr="006C65B4">
              <w:rPr>
                <w:lang w:val="ru-RU"/>
              </w:rPr>
              <w:t>Комментарий</w:t>
            </w:r>
          </w:p>
        </w:tc>
      </w:tr>
      <w:tr w:rsidR="00780F31" w:rsidRPr="008A45F9" w14:paraId="00BD21AE" w14:textId="77777777" w:rsidTr="00780F31">
        <w:trPr>
          <w:trHeight w:val="255"/>
        </w:trPr>
        <w:tc>
          <w:tcPr>
            <w:tcW w:w="3537" w:type="dxa"/>
            <w:vMerge w:val="restart"/>
          </w:tcPr>
          <w:p w14:paraId="7E3EB4E1" w14:textId="77777777" w:rsidR="00780F31" w:rsidRPr="006C65B4" w:rsidRDefault="00780F31" w:rsidP="00780F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rPr>
                <w:lang w:val="ru-RU"/>
              </w:rPr>
            </w:pPr>
            <w:r w:rsidRPr="006C65B4">
              <w:rPr>
                <w:lang w:val="ru-RU"/>
              </w:rPr>
              <w:t>1</w:t>
            </w:r>
            <w:r w:rsidRPr="006C65B4">
              <w:rPr>
                <w:lang w:val="ru-RU"/>
              </w:rPr>
              <w:tab/>
              <w:t>Существуют четкая система подотчетности, включая ее определение, и четкие указания в отношении того, кто отвечает за общее внедрение этой системы, все компоненты которой взаимосвязаны</w:t>
            </w:r>
          </w:p>
        </w:tc>
        <w:tc>
          <w:tcPr>
            <w:tcW w:w="3975" w:type="dxa"/>
          </w:tcPr>
          <w:p w14:paraId="46AE1340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Рамочный документ о политике</w:t>
            </w:r>
          </w:p>
        </w:tc>
        <w:tc>
          <w:tcPr>
            <w:tcW w:w="1694" w:type="dxa"/>
          </w:tcPr>
          <w:p w14:paraId="1F254D4D" w14:textId="77777777" w:rsidR="00780F31" w:rsidRPr="006C65B4" w:rsidRDefault="00780F31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66" w:type="dxa"/>
            <w:vMerge w:val="restart"/>
          </w:tcPr>
          <w:p w14:paraId="75134EA6" w14:textId="52B9A0FC" w:rsidR="00780F31" w:rsidRPr="006C65B4" w:rsidRDefault="001A3B2F" w:rsidP="00780F31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Система была введена в действие. </w:t>
            </w:r>
            <w:r w:rsidR="00A87CDF">
              <w:rPr>
                <w:lang w:val="ru-RU"/>
              </w:rPr>
              <w:t>Вместе с тем</w:t>
            </w:r>
            <w:r>
              <w:rPr>
                <w:lang w:val="ru-RU"/>
              </w:rPr>
              <w:t xml:space="preserve"> </w:t>
            </w:r>
            <w:r w:rsidR="00A87CDF">
              <w:rPr>
                <w:lang w:val="ru-RU"/>
              </w:rPr>
              <w:t xml:space="preserve">в целях </w:t>
            </w:r>
            <w:r>
              <w:rPr>
                <w:lang w:val="ru-RU"/>
              </w:rPr>
              <w:t>дальнейшего совершенствования этой системы будет разработан полноценный документ</w:t>
            </w:r>
            <w:r w:rsidR="001E2F02">
              <w:rPr>
                <w:lang w:val="ru-RU"/>
              </w:rPr>
              <w:t xml:space="preserve"> о политике</w:t>
            </w:r>
            <w:r w:rsidR="00A87CDF">
              <w:rPr>
                <w:lang w:val="ru-RU"/>
              </w:rPr>
              <w:t xml:space="preserve">, </w:t>
            </w:r>
            <w:r w:rsidR="001E2F02">
              <w:rPr>
                <w:lang w:val="ru-RU"/>
              </w:rPr>
              <w:t>который будет содержать</w:t>
            </w:r>
            <w:r w:rsidR="00A87CDF">
              <w:rPr>
                <w:lang w:val="ru-RU"/>
              </w:rPr>
              <w:t xml:space="preserve"> более подробн</w:t>
            </w:r>
            <w:r w:rsidR="001E2F02">
              <w:rPr>
                <w:lang w:val="ru-RU"/>
              </w:rPr>
              <w:t>ую</w:t>
            </w:r>
            <w:r w:rsidR="00A87CDF">
              <w:rPr>
                <w:lang w:val="ru-RU"/>
              </w:rPr>
              <w:t xml:space="preserve"> информаци</w:t>
            </w:r>
            <w:r w:rsidR="001E2F02">
              <w:rPr>
                <w:lang w:val="ru-RU"/>
              </w:rPr>
              <w:t>ю</w:t>
            </w:r>
            <w:r w:rsidR="00A87CDF">
              <w:rPr>
                <w:lang w:val="ru-RU"/>
              </w:rPr>
              <w:t xml:space="preserve"> о внедренных процессах для каждого</w:t>
            </w:r>
            <w:r w:rsidR="001E2F02">
              <w:rPr>
                <w:lang w:val="ru-RU"/>
              </w:rPr>
              <w:t xml:space="preserve"> отдельного</w:t>
            </w:r>
            <w:r w:rsidR="00A87CDF">
              <w:rPr>
                <w:lang w:val="ru-RU"/>
              </w:rPr>
              <w:t xml:space="preserve"> аспекта системы подотчетности. В результате этой работы могут быть выявлены и</w:t>
            </w:r>
            <w:r w:rsidR="001E2F02">
              <w:rPr>
                <w:lang w:val="ru-RU"/>
              </w:rPr>
              <w:t xml:space="preserve"> по возможности </w:t>
            </w:r>
            <w:r w:rsidR="00A87CDF">
              <w:rPr>
                <w:lang w:val="ru-RU"/>
              </w:rPr>
              <w:t>устранены дополнительные пробелы и недостатки.</w:t>
            </w:r>
          </w:p>
        </w:tc>
      </w:tr>
      <w:tr w:rsidR="00780F31" w:rsidRPr="006C65B4" w14:paraId="4CDAC5E5" w14:textId="77777777" w:rsidTr="00780F31">
        <w:trPr>
          <w:trHeight w:val="256"/>
        </w:trPr>
        <w:tc>
          <w:tcPr>
            <w:tcW w:w="3537" w:type="dxa"/>
            <w:vMerge/>
          </w:tcPr>
          <w:p w14:paraId="72C1CEEC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</w:p>
        </w:tc>
        <w:tc>
          <w:tcPr>
            <w:tcW w:w="3975" w:type="dxa"/>
          </w:tcPr>
          <w:p w14:paraId="102C3537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Определение подотчетности</w:t>
            </w:r>
          </w:p>
        </w:tc>
        <w:tc>
          <w:tcPr>
            <w:tcW w:w="1694" w:type="dxa"/>
          </w:tcPr>
          <w:p w14:paraId="0B023934" w14:textId="77777777" w:rsidR="00780F31" w:rsidRPr="006C65B4" w:rsidRDefault="00780F31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66" w:type="dxa"/>
            <w:vMerge/>
          </w:tcPr>
          <w:p w14:paraId="6F593889" w14:textId="77777777" w:rsidR="00780F31" w:rsidRPr="006C65B4" w:rsidRDefault="00780F31" w:rsidP="00780F31">
            <w:pPr>
              <w:rPr>
                <w:sz w:val="18"/>
                <w:szCs w:val="18"/>
                <w:lang w:val="ru-RU"/>
              </w:rPr>
            </w:pPr>
          </w:p>
        </w:tc>
      </w:tr>
      <w:tr w:rsidR="00780F31" w:rsidRPr="006C65B4" w14:paraId="2CE0E23C" w14:textId="77777777" w:rsidTr="00780F31">
        <w:trPr>
          <w:trHeight w:val="255"/>
        </w:trPr>
        <w:tc>
          <w:tcPr>
            <w:tcW w:w="3537" w:type="dxa"/>
            <w:vMerge/>
          </w:tcPr>
          <w:p w14:paraId="7FE6D235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</w:p>
        </w:tc>
        <w:tc>
          <w:tcPr>
            <w:tcW w:w="3975" w:type="dxa"/>
          </w:tcPr>
          <w:p w14:paraId="551B2A4C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Функции и обязанности высшего руководства, департамента прямого действия и персонала</w:t>
            </w:r>
          </w:p>
        </w:tc>
        <w:tc>
          <w:tcPr>
            <w:tcW w:w="1694" w:type="dxa"/>
          </w:tcPr>
          <w:p w14:paraId="0E3286F2" w14:textId="77777777" w:rsidR="00780F31" w:rsidRPr="006C65B4" w:rsidRDefault="00780F31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66" w:type="dxa"/>
            <w:vMerge/>
          </w:tcPr>
          <w:p w14:paraId="436FA384" w14:textId="77777777" w:rsidR="00780F31" w:rsidRPr="006C65B4" w:rsidRDefault="00780F31" w:rsidP="00780F31">
            <w:pPr>
              <w:rPr>
                <w:sz w:val="18"/>
                <w:szCs w:val="18"/>
                <w:lang w:val="ru-RU"/>
              </w:rPr>
            </w:pPr>
          </w:p>
        </w:tc>
      </w:tr>
      <w:tr w:rsidR="00780F31" w:rsidRPr="006C65B4" w14:paraId="1008AB27" w14:textId="77777777" w:rsidTr="00780F31">
        <w:trPr>
          <w:trHeight w:val="256"/>
        </w:trPr>
        <w:tc>
          <w:tcPr>
            <w:tcW w:w="3537" w:type="dxa"/>
            <w:vMerge/>
          </w:tcPr>
          <w:p w14:paraId="4A53E51F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</w:p>
        </w:tc>
        <w:tc>
          <w:tcPr>
            <w:tcW w:w="3975" w:type="dxa"/>
          </w:tcPr>
          <w:p w14:paraId="0F89C17D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Документ о политике, доступный на веб</w:t>
            </w:r>
            <w:r w:rsidRPr="006C65B4">
              <w:rPr>
                <w:lang w:val="ru-RU"/>
              </w:rPr>
              <w:noBreakHyphen/>
              <w:t>сайте и для персонала</w:t>
            </w:r>
          </w:p>
        </w:tc>
        <w:tc>
          <w:tcPr>
            <w:tcW w:w="1694" w:type="dxa"/>
          </w:tcPr>
          <w:p w14:paraId="32D0891D" w14:textId="2DCBF057" w:rsidR="00780F31" w:rsidRPr="006C65B4" w:rsidRDefault="00780F31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66" w:type="dxa"/>
            <w:vMerge/>
          </w:tcPr>
          <w:p w14:paraId="0528F9ED" w14:textId="77777777" w:rsidR="00780F31" w:rsidRPr="006C65B4" w:rsidRDefault="00780F31" w:rsidP="00780F31">
            <w:pPr>
              <w:rPr>
                <w:sz w:val="18"/>
                <w:szCs w:val="18"/>
                <w:lang w:val="ru-RU"/>
              </w:rPr>
            </w:pPr>
          </w:p>
        </w:tc>
      </w:tr>
      <w:tr w:rsidR="00780F31" w:rsidRPr="006C65B4" w14:paraId="5372B5DF" w14:textId="77777777" w:rsidTr="00780F31">
        <w:trPr>
          <w:trHeight w:val="256"/>
        </w:trPr>
        <w:tc>
          <w:tcPr>
            <w:tcW w:w="3537" w:type="dxa"/>
            <w:vMerge/>
          </w:tcPr>
          <w:p w14:paraId="379AB788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</w:p>
        </w:tc>
        <w:tc>
          <w:tcPr>
            <w:tcW w:w="3975" w:type="dxa"/>
          </w:tcPr>
          <w:p w14:paraId="457FB75F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Система содержит ключевые компоненты подотчетности</w:t>
            </w:r>
          </w:p>
        </w:tc>
        <w:tc>
          <w:tcPr>
            <w:tcW w:w="1694" w:type="dxa"/>
          </w:tcPr>
          <w:p w14:paraId="4FAA7E9E" w14:textId="3C2D380C" w:rsidR="00780F31" w:rsidRPr="006C65B4" w:rsidRDefault="00780F31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t>В стадии реализации</w:t>
            </w:r>
          </w:p>
        </w:tc>
        <w:tc>
          <w:tcPr>
            <w:tcW w:w="5366" w:type="dxa"/>
            <w:vMerge/>
          </w:tcPr>
          <w:p w14:paraId="5AC85BB3" w14:textId="77777777" w:rsidR="00780F31" w:rsidRPr="006C65B4" w:rsidRDefault="00780F31" w:rsidP="00780F31">
            <w:pPr>
              <w:rPr>
                <w:sz w:val="18"/>
                <w:szCs w:val="18"/>
                <w:lang w:val="ru-RU"/>
              </w:rPr>
            </w:pPr>
          </w:p>
        </w:tc>
      </w:tr>
      <w:tr w:rsidR="00780F31" w:rsidRPr="008A45F9" w14:paraId="19D204C6" w14:textId="77777777" w:rsidTr="00780F31">
        <w:trPr>
          <w:trHeight w:val="479"/>
        </w:trPr>
        <w:tc>
          <w:tcPr>
            <w:tcW w:w="3537" w:type="dxa"/>
            <w:vMerge w:val="restart"/>
          </w:tcPr>
          <w:p w14:paraId="72B80FAA" w14:textId="77777777" w:rsidR="00780F31" w:rsidRPr="006C65B4" w:rsidRDefault="00780F31" w:rsidP="00780F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rPr>
                <w:lang w:val="ru-RU"/>
              </w:rPr>
            </w:pPr>
            <w:r w:rsidRPr="006C65B4">
              <w:rPr>
                <w:lang w:val="ru-RU"/>
              </w:rPr>
              <w:t>2</w:t>
            </w:r>
            <w:r w:rsidRPr="006C65B4">
              <w:rPr>
                <w:lang w:val="ru-RU"/>
              </w:rPr>
              <w:tab/>
              <w:t>УОР функционирует, согласуется с мандатом и задачами организации и отражено в планах работы подразделений и индивидуальных планах работы</w:t>
            </w:r>
          </w:p>
        </w:tc>
        <w:tc>
          <w:tcPr>
            <w:tcW w:w="3975" w:type="dxa"/>
          </w:tcPr>
          <w:p w14:paraId="1A3DDCEE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Стратегические планы</w:t>
            </w:r>
          </w:p>
        </w:tc>
        <w:tc>
          <w:tcPr>
            <w:tcW w:w="1694" w:type="dxa"/>
          </w:tcPr>
          <w:p w14:paraId="525146CA" w14:textId="77777777" w:rsidR="00780F31" w:rsidRPr="006C65B4" w:rsidRDefault="00780F31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66" w:type="dxa"/>
            <w:vMerge w:val="restart"/>
          </w:tcPr>
          <w:p w14:paraId="3DC06AE7" w14:textId="26528E39" w:rsidR="00780F31" w:rsidRPr="006C65B4" w:rsidRDefault="000154B2" w:rsidP="00780F31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Система УОР была внедрена более 20 лет назад. На сегодняшний день МСЭ ведет работу по усилению роли этой системы путем проведения всестороннего </w:t>
            </w:r>
            <w:r w:rsidR="00B03124">
              <w:rPr>
                <w:lang w:val="ru-RU"/>
              </w:rPr>
              <w:t>обзора</w:t>
            </w:r>
            <w:r>
              <w:rPr>
                <w:lang w:val="ru-RU"/>
              </w:rPr>
              <w:t xml:space="preserve">, </w:t>
            </w:r>
            <w:r w:rsidR="00EF3650">
              <w:rPr>
                <w:lang w:val="ru-RU"/>
              </w:rPr>
              <w:t xml:space="preserve">организации </w:t>
            </w:r>
            <w:r w:rsidR="00223329">
              <w:rPr>
                <w:lang w:val="ru-RU"/>
              </w:rPr>
              <w:t>учебных курсов</w:t>
            </w:r>
            <w:r w:rsidRPr="000154B2">
              <w:rPr>
                <w:lang w:val="ru-RU"/>
              </w:rPr>
              <w:t xml:space="preserve"> и семинар</w:t>
            </w:r>
            <w:r>
              <w:rPr>
                <w:lang w:val="ru-RU"/>
              </w:rPr>
              <w:t>ов</w:t>
            </w:r>
            <w:r w:rsidRPr="000154B2">
              <w:rPr>
                <w:lang w:val="ru-RU"/>
              </w:rPr>
              <w:t>-практикум</w:t>
            </w:r>
            <w:r>
              <w:rPr>
                <w:lang w:val="ru-RU"/>
              </w:rPr>
              <w:t>ов</w:t>
            </w:r>
            <w:r w:rsidR="00EF3650">
              <w:rPr>
                <w:lang w:val="ru-RU"/>
              </w:rPr>
              <w:t>, а также уделения особого внимания применению концепций УОР.</w:t>
            </w:r>
          </w:p>
        </w:tc>
      </w:tr>
      <w:tr w:rsidR="00780F31" w:rsidRPr="006C65B4" w14:paraId="0EBF10DB" w14:textId="77777777" w:rsidTr="00780F31">
        <w:trPr>
          <w:trHeight w:val="454"/>
        </w:trPr>
        <w:tc>
          <w:tcPr>
            <w:tcW w:w="3537" w:type="dxa"/>
            <w:vMerge/>
          </w:tcPr>
          <w:p w14:paraId="290DE624" w14:textId="77777777" w:rsidR="00780F31" w:rsidRPr="006C65B4" w:rsidRDefault="00780F31" w:rsidP="00780F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rPr>
                <w:lang w:val="ru-RU"/>
              </w:rPr>
            </w:pPr>
          </w:p>
        </w:tc>
        <w:tc>
          <w:tcPr>
            <w:tcW w:w="3975" w:type="dxa"/>
          </w:tcPr>
          <w:p w14:paraId="1542AE20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Планы работы подразделений</w:t>
            </w:r>
          </w:p>
        </w:tc>
        <w:tc>
          <w:tcPr>
            <w:tcW w:w="1694" w:type="dxa"/>
          </w:tcPr>
          <w:p w14:paraId="3A1EBA32" w14:textId="5BD54425" w:rsidR="00780F31" w:rsidRPr="006C65B4" w:rsidRDefault="00780F31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66" w:type="dxa"/>
            <w:vMerge/>
          </w:tcPr>
          <w:p w14:paraId="47D9EF53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</w:p>
        </w:tc>
      </w:tr>
      <w:tr w:rsidR="00780F31" w:rsidRPr="006C65B4" w14:paraId="3F81FD4F" w14:textId="77777777" w:rsidTr="00780F31">
        <w:trPr>
          <w:trHeight w:val="287"/>
        </w:trPr>
        <w:tc>
          <w:tcPr>
            <w:tcW w:w="3537" w:type="dxa"/>
            <w:vMerge/>
          </w:tcPr>
          <w:p w14:paraId="52F662E5" w14:textId="77777777" w:rsidR="00780F31" w:rsidRPr="006C65B4" w:rsidRDefault="00780F31" w:rsidP="00780F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rPr>
                <w:lang w:val="ru-RU"/>
              </w:rPr>
            </w:pPr>
          </w:p>
        </w:tc>
        <w:tc>
          <w:tcPr>
            <w:tcW w:w="3975" w:type="dxa"/>
          </w:tcPr>
          <w:p w14:paraId="513CD404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Индивидуальные рабочие задачи</w:t>
            </w:r>
          </w:p>
        </w:tc>
        <w:tc>
          <w:tcPr>
            <w:tcW w:w="1694" w:type="dxa"/>
          </w:tcPr>
          <w:p w14:paraId="259E7BB7" w14:textId="77777777" w:rsidR="00780F31" w:rsidRPr="006C65B4" w:rsidRDefault="00780F31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66" w:type="dxa"/>
            <w:vMerge/>
          </w:tcPr>
          <w:p w14:paraId="4BFCE24A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</w:p>
        </w:tc>
      </w:tr>
      <w:tr w:rsidR="00780F31" w:rsidRPr="008A45F9" w14:paraId="2869C9CE" w14:textId="77777777" w:rsidTr="00780F31">
        <w:tc>
          <w:tcPr>
            <w:tcW w:w="3537" w:type="dxa"/>
          </w:tcPr>
          <w:p w14:paraId="78DFA406" w14:textId="77777777" w:rsidR="00780F31" w:rsidRPr="006C65B4" w:rsidRDefault="00780F31" w:rsidP="00780F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rPr>
                <w:lang w:val="ru-RU"/>
              </w:rPr>
            </w:pPr>
            <w:r w:rsidRPr="006C65B4">
              <w:rPr>
                <w:lang w:val="ru-RU"/>
              </w:rPr>
              <w:t>3</w:t>
            </w:r>
            <w:r w:rsidRPr="006C65B4">
              <w:rPr>
                <w:lang w:val="ru-RU"/>
              </w:rPr>
              <w:tab/>
              <w:t xml:space="preserve">Организации проводят заслуживающие доверия, ориентированные на использование оценки и сообщают заинтересованным сторонам свои заключения, выводы и рекомендации </w:t>
            </w:r>
          </w:p>
        </w:tc>
        <w:tc>
          <w:tcPr>
            <w:tcW w:w="3975" w:type="dxa"/>
          </w:tcPr>
          <w:p w14:paraId="36A482B3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Функция оценки</w:t>
            </w:r>
          </w:p>
        </w:tc>
        <w:tc>
          <w:tcPr>
            <w:tcW w:w="1694" w:type="dxa"/>
          </w:tcPr>
          <w:p w14:paraId="6036E511" w14:textId="77777777" w:rsidR="00780F31" w:rsidRPr="006C65B4" w:rsidRDefault="00780F31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t>В стадии реализации</w:t>
            </w:r>
          </w:p>
        </w:tc>
        <w:tc>
          <w:tcPr>
            <w:tcW w:w="5366" w:type="dxa"/>
          </w:tcPr>
          <w:p w14:paraId="34FEA76D" w14:textId="249EBC7A" w:rsidR="00780F31" w:rsidRPr="00855448" w:rsidRDefault="00EF3650" w:rsidP="00780F31">
            <w:pPr>
              <w:pStyle w:val="Tabletext"/>
              <w:rPr>
                <w:lang w:val="ru-RU"/>
              </w:rPr>
            </w:pPr>
            <w:bookmarkStart w:id="3" w:name="_Hlk38363555"/>
            <w:r w:rsidRPr="00EF3650">
              <w:rPr>
                <w:lang w:val="ru-RU"/>
              </w:rPr>
              <w:t>МСЭ пров</w:t>
            </w:r>
            <w:r>
              <w:rPr>
                <w:lang w:val="ru-RU"/>
              </w:rPr>
              <w:t>ел</w:t>
            </w:r>
            <w:r w:rsidRPr="00EF3650">
              <w:rPr>
                <w:lang w:val="ru-RU"/>
              </w:rPr>
              <w:t xml:space="preserve"> технико-экономическое обоснование оценки; </w:t>
            </w:r>
            <w:r>
              <w:rPr>
                <w:lang w:val="ru-RU"/>
              </w:rPr>
              <w:t>разработана</w:t>
            </w:r>
            <w:r w:rsidRPr="00EF365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политика</w:t>
            </w:r>
            <w:r w:rsidRPr="00EF3650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руководящие</w:t>
            </w:r>
            <w:r w:rsidRPr="00EF3650">
              <w:rPr>
                <w:lang w:val="ru-RU"/>
              </w:rPr>
              <w:t xml:space="preserve"> </w:t>
            </w:r>
            <w:r w:rsidR="00B03124">
              <w:rPr>
                <w:lang w:val="ru-RU"/>
              </w:rPr>
              <w:t>указания</w:t>
            </w:r>
            <w:r w:rsidRPr="00EF365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F365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планы</w:t>
            </w:r>
            <w:r w:rsidRPr="00EF365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  <w:r w:rsidR="00B03124">
              <w:rPr>
                <w:lang w:val="ru-RU"/>
              </w:rPr>
              <w:t xml:space="preserve"> по проведению оценки</w:t>
            </w:r>
            <w:r w:rsidRPr="00EF3650">
              <w:rPr>
                <w:lang w:val="ru-RU"/>
              </w:rPr>
              <w:t>;</w:t>
            </w:r>
            <w:r>
              <w:rPr>
                <w:lang w:val="ru-RU"/>
              </w:rPr>
              <w:t xml:space="preserve"> планируется запуск пилотного проекта.</w:t>
            </w:r>
            <w:bookmarkEnd w:id="3"/>
          </w:p>
        </w:tc>
      </w:tr>
      <w:tr w:rsidR="00780F31" w:rsidRPr="008A45F9" w14:paraId="117DD35B" w14:textId="77777777" w:rsidTr="00780F31">
        <w:trPr>
          <w:trHeight w:val="576"/>
        </w:trPr>
        <w:tc>
          <w:tcPr>
            <w:tcW w:w="3537" w:type="dxa"/>
            <w:vMerge w:val="restart"/>
          </w:tcPr>
          <w:p w14:paraId="7D6FA911" w14:textId="77777777" w:rsidR="00780F31" w:rsidRPr="006C65B4" w:rsidRDefault="00780F31" w:rsidP="00780F31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rPr>
                <w:lang w:val="ru-RU"/>
              </w:rPr>
            </w:pPr>
            <w:r w:rsidRPr="006C65B4">
              <w:rPr>
                <w:lang w:val="ru-RU"/>
              </w:rPr>
              <w:lastRenderedPageBreak/>
              <w:t>4</w:t>
            </w:r>
            <w:r w:rsidRPr="006C65B4">
              <w:rPr>
                <w:lang w:val="ru-RU"/>
              </w:rPr>
              <w:tab/>
              <w:t>Организации имеют фактически применяемую установившуюся практику раскрытия информации, в соответствии с которой результаты деятельности организации регулярно сообщаются законодательным органам, Государствам-Членам и другим заинтересованным сторонам, включая доноров, бенефициаров и широкую общественность</w:t>
            </w:r>
          </w:p>
        </w:tc>
        <w:tc>
          <w:tcPr>
            <w:tcW w:w="3975" w:type="dxa"/>
          </w:tcPr>
          <w:p w14:paraId="3FB5EB16" w14:textId="77777777" w:rsidR="00780F31" w:rsidRPr="006C65B4" w:rsidRDefault="00780F31" w:rsidP="00780F31">
            <w:pPr>
              <w:pStyle w:val="Tabletext"/>
              <w:keepNext/>
              <w:rPr>
                <w:lang w:val="ru-RU"/>
              </w:rPr>
            </w:pPr>
            <w:r w:rsidRPr="006C65B4">
              <w:rPr>
                <w:lang w:val="ru-RU"/>
              </w:rPr>
              <w:t>Политика раскрытия информации</w:t>
            </w:r>
          </w:p>
        </w:tc>
        <w:tc>
          <w:tcPr>
            <w:tcW w:w="1694" w:type="dxa"/>
          </w:tcPr>
          <w:p w14:paraId="410872D9" w14:textId="77777777" w:rsidR="00780F31" w:rsidRPr="006C65B4" w:rsidRDefault="00780F31" w:rsidP="00780F31">
            <w:pPr>
              <w:pStyle w:val="Tabletext"/>
              <w:keepNext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66" w:type="dxa"/>
            <w:vMerge w:val="restart"/>
          </w:tcPr>
          <w:p w14:paraId="7C2AD016" w14:textId="77777777" w:rsidR="00780F31" w:rsidRPr="006C65B4" w:rsidRDefault="00780F31" w:rsidP="00780F31">
            <w:pPr>
              <w:pStyle w:val="Tabletext"/>
              <w:keepNext/>
              <w:rPr>
                <w:lang w:val="ru-RU"/>
              </w:rPr>
            </w:pPr>
            <w:r w:rsidRPr="006C65B4">
              <w:rPr>
                <w:lang w:val="ru-RU"/>
              </w:rPr>
              <w:t>В качестве шага по обеспечению большей прозрачности и подотчетности, Совет МСЭ принял на своей сессии 2016 года политику обеспечения доступа к информации/документам МСЭ,</w:t>
            </w:r>
            <w:r w:rsidRPr="006C65B4">
              <w:rPr>
                <w:rFonts w:eastAsia="Times New Roman"/>
                <w:lang w:val="ru-RU"/>
              </w:rPr>
              <w:t xml:space="preserve"> которая "…</w:t>
            </w:r>
            <w:r w:rsidRPr="006C65B4">
              <w:rPr>
                <w:lang w:val="ru-RU"/>
              </w:rPr>
              <w:t>обеспечивает доступ общественности к информации, которой располагает МСЭ, которой он управляет или которую он создает"</w:t>
            </w:r>
            <w:r w:rsidRPr="006C65B4">
              <w:rPr>
                <w:rFonts w:eastAsia="Times New Roman"/>
                <w:lang w:val="ru-RU"/>
              </w:rPr>
              <w:t xml:space="preserve">; эта политика </w:t>
            </w:r>
            <w:r w:rsidRPr="006C65B4">
              <w:rPr>
                <w:lang w:val="ru-RU"/>
              </w:rPr>
              <w:t>вступила в силу на временной основе 1 января 2017 года</w:t>
            </w:r>
            <w:r w:rsidRPr="006C65B4">
              <w:rPr>
                <w:rFonts w:eastAsia="Times New Roman"/>
                <w:lang w:val="ru-RU"/>
              </w:rPr>
              <w:t>.</w:t>
            </w:r>
          </w:p>
        </w:tc>
      </w:tr>
      <w:tr w:rsidR="00780F31" w:rsidRPr="006C65B4" w14:paraId="00126794" w14:textId="77777777" w:rsidTr="00780F31">
        <w:tc>
          <w:tcPr>
            <w:tcW w:w="3537" w:type="dxa"/>
            <w:vMerge/>
          </w:tcPr>
          <w:p w14:paraId="23220B2C" w14:textId="77777777" w:rsidR="00780F31" w:rsidRPr="006C65B4" w:rsidRDefault="00780F31" w:rsidP="000076FA">
            <w:pPr>
              <w:pStyle w:val="Tabletext"/>
              <w:keepNext/>
              <w:rPr>
                <w:lang w:val="ru-RU"/>
              </w:rPr>
            </w:pPr>
          </w:p>
        </w:tc>
        <w:tc>
          <w:tcPr>
            <w:tcW w:w="3975" w:type="dxa"/>
          </w:tcPr>
          <w:p w14:paraId="6C136AE7" w14:textId="77777777" w:rsidR="00780F31" w:rsidRPr="006C65B4" w:rsidRDefault="00780F31" w:rsidP="00780F31">
            <w:pPr>
              <w:pStyle w:val="Tabletext"/>
              <w:keepNext/>
              <w:rPr>
                <w:lang w:val="ru-RU"/>
              </w:rPr>
            </w:pPr>
            <w:r w:rsidRPr="006C65B4">
              <w:rPr>
                <w:lang w:val="ru-RU"/>
              </w:rPr>
              <w:t>Оценка и результаты аудиторской проверки</w:t>
            </w:r>
          </w:p>
        </w:tc>
        <w:tc>
          <w:tcPr>
            <w:tcW w:w="1694" w:type="dxa"/>
          </w:tcPr>
          <w:p w14:paraId="3FF90A8B" w14:textId="25C86EBA" w:rsidR="00780F31" w:rsidRPr="006C65B4" w:rsidRDefault="00780F31" w:rsidP="00780F31">
            <w:pPr>
              <w:pStyle w:val="Tabletext"/>
              <w:keepNext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t>В стадии реализации</w:t>
            </w:r>
          </w:p>
        </w:tc>
        <w:tc>
          <w:tcPr>
            <w:tcW w:w="5366" w:type="dxa"/>
            <w:vMerge/>
          </w:tcPr>
          <w:p w14:paraId="50163C41" w14:textId="77777777" w:rsidR="00780F31" w:rsidRPr="006C65B4" w:rsidRDefault="00780F31" w:rsidP="00780F31">
            <w:pPr>
              <w:pStyle w:val="Tabletext"/>
              <w:keepNext/>
              <w:rPr>
                <w:lang w:val="ru-RU"/>
              </w:rPr>
            </w:pPr>
          </w:p>
        </w:tc>
      </w:tr>
      <w:tr w:rsidR="00780F31" w:rsidRPr="008A45F9" w14:paraId="704ADF59" w14:textId="77777777" w:rsidTr="00780F31">
        <w:tc>
          <w:tcPr>
            <w:tcW w:w="3537" w:type="dxa"/>
            <w:vMerge/>
          </w:tcPr>
          <w:p w14:paraId="5D1C43B3" w14:textId="77777777" w:rsidR="00780F31" w:rsidRPr="006C65B4" w:rsidRDefault="00780F31" w:rsidP="000076FA">
            <w:pPr>
              <w:pStyle w:val="Tabletext"/>
              <w:keepNext/>
              <w:rPr>
                <w:lang w:val="ru-RU"/>
              </w:rPr>
            </w:pPr>
          </w:p>
        </w:tc>
        <w:tc>
          <w:tcPr>
            <w:tcW w:w="3975" w:type="dxa"/>
          </w:tcPr>
          <w:p w14:paraId="205E06F1" w14:textId="77777777" w:rsidR="00780F31" w:rsidRPr="006C65B4" w:rsidRDefault="00780F31" w:rsidP="00780F31">
            <w:pPr>
              <w:pStyle w:val="Tabletext"/>
              <w:keepNext/>
              <w:rPr>
                <w:lang w:val="ru-RU"/>
              </w:rPr>
            </w:pPr>
            <w:r w:rsidRPr="006C65B4">
              <w:rPr>
                <w:lang w:val="ru-RU"/>
              </w:rPr>
              <w:t>Сводные ежегодные отчеты о финансовой деятельности</w:t>
            </w:r>
          </w:p>
        </w:tc>
        <w:tc>
          <w:tcPr>
            <w:tcW w:w="1694" w:type="dxa"/>
          </w:tcPr>
          <w:p w14:paraId="523D15A7" w14:textId="77777777" w:rsidR="00780F31" w:rsidRPr="006C65B4" w:rsidRDefault="00780F31" w:rsidP="00780F31">
            <w:pPr>
              <w:pStyle w:val="Tabletext"/>
              <w:keepNext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66" w:type="dxa"/>
            <w:vMerge w:val="restart"/>
          </w:tcPr>
          <w:p w14:paraId="0C749A29" w14:textId="5B211B7C" w:rsidR="00780F31" w:rsidRPr="007F1AD6" w:rsidRDefault="00780F31" w:rsidP="00780F31">
            <w:pPr>
              <w:pStyle w:val="Tabletext"/>
              <w:keepNext/>
              <w:rPr>
                <w:lang w:val="ru-RU"/>
              </w:rPr>
            </w:pPr>
            <w:r w:rsidRPr="006C65B4">
              <w:rPr>
                <w:lang w:val="ru-RU"/>
              </w:rPr>
              <w:t xml:space="preserve">Сводные ежегодные отчеты представляются Совету. </w:t>
            </w:r>
            <w:r w:rsidR="00EF3650">
              <w:rPr>
                <w:lang w:val="ru-RU"/>
              </w:rPr>
              <w:t>Член</w:t>
            </w:r>
            <w:r w:rsidR="007F1AD6">
              <w:rPr>
                <w:lang w:val="ru-RU"/>
              </w:rPr>
              <w:t>ам представляются</w:t>
            </w:r>
            <w:r w:rsidR="00EF3650" w:rsidRPr="00EF3650">
              <w:rPr>
                <w:lang w:val="ru-RU"/>
              </w:rPr>
              <w:t xml:space="preserve"> квартальны</w:t>
            </w:r>
            <w:r w:rsidR="00EF3650">
              <w:rPr>
                <w:lang w:val="ru-RU"/>
              </w:rPr>
              <w:t>е</w:t>
            </w:r>
            <w:r w:rsidR="00EF3650" w:rsidRPr="00EF3650">
              <w:rPr>
                <w:lang w:val="ru-RU"/>
              </w:rPr>
              <w:t xml:space="preserve"> отчет</w:t>
            </w:r>
            <w:r w:rsidR="00EF3650">
              <w:rPr>
                <w:lang w:val="ru-RU"/>
              </w:rPr>
              <w:t>ы</w:t>
            </w:r>
            <w:r w:rsidR="00EF3650" w:rsidRPr="00EF3650">
              <w:rPr>
                <w:lang w:val="ru-RU"/>
              </w:rPr>
              <w:t xml:space="preserve"> о </w:t>
            </w:r>
            <w:r w:rsidR="00EF3650">
              <w:rPr>
                <w:lang w:val="ru-RU"/>
              </w:rPr>
              <w:t>ходе</w:t>
            </w:r>
            <w:r w:rsidR="00EF3650" w:rsidRPr="00EF3650">
              <w:rPr>
                <w:lang w:val="ru-RU"/>
              </w:rPr>
              <w:t xml:space="preserve"> </w:t>
            </w:r>
            <w:r w:rsidR="00EF3650">
              <w:rPr>
                <w:lang w:val="ru-RU"/>
              </w:rPr>
              <w:t>работы.</w:t>
            </w:r>
          </w:p>
        </w:tc>
      </w:tr>
      <w:tr w:rsidR="00780F31" w:rsidRPr="006C65B4" w14:paraId="213AE12A" w14:textId="77777777" w:rsidTr="00780F31">
        <w:tc>
          <w:tcPr>
            <w:tcW w:w="3537" w:type="dxa"/>
            <w:vMerge/>
          </w:tcPr>
          <w:p w14:paraId="03674BFA" w14:textId="77777777" w:rsidR="00780F31" w:rsidRPr="007F1AD6" w:rsidRDefault="00780F31" w:rsidP="000076FA">
            <w:pPr>
              <w:pStyle w:val="Tabletext"/>
              <w:rPr>
                <w:lang w:val="ru-RU"/>
              </w:rPr>
            </w:pPr>
          </w:p>
        </w:tc>
        <w:tc>
          <w:tcPr>
            <w:tcW w:w="3975" w:type="dxa"/>
          </w:tcPr>
          <w:p w14:paraId="2CDA6600" w14:textId="77777777" w:rsidR="00780F31" w:rsidRPr="006C65B4" w:rsidRDefault="00780F31" w:rsidP="000076FA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Результаты по программам</w:t>
            </w:r>
          </w:p>
        </w:tc>
        <w:tc>
          <w:tcPr>
            <w:tcW w:w="1694" w:type="dxa"/>
          </w:tcPr>
          <w:p w14:paraId="5187DFF9" w14:textId="77777777" w:rsidR="00780F31" w:rsidRPr="006C65B4" w:rsidRDefault="00780F31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66" w:type="dxa"/>
            <w:vMerge/>
          </w:tcPr>
          <w:p w14:paraId="64A8225B" w14:textId="77777777" w:rsidR="00780F31" w:rsidRPr="006C65B4" w:rsidRDefault="00780F31" w:rsidP="000076FA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132401C5" w14:textId="77777777" w:rsidR="00780F31" w:rsidRPr="006C65B4" w:rsidRDefault="00780F31" w:rsidP="00780F31">
      <w:pPr>
        <w:pStyle w:val="Headingb"/>
        <w:spacing w:after="120"/>
        <w:rPr>
          <w:lang w:val="ru-RU"/>
        </w:rPr>
      </w:pPr>
      <w:r w:rsidRPr="006C65B4">
        <w:rPr>
          <w:lang w:val="ru-RU"/>
        </w:rPr>
        <w:t>Принцип 2</w:t>
      </w:r>
    </w:p>
    <w:tbl>
      <w:tblPr>
        <w:tblStyle w:val="TableGrid"/>
        <w:tblW w:w="145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2"/>
        <w:gridCol w:w="3989"/>
        <w:gridCol w:w="1683"/>
        <w:gridCol w:w="5344"/>
      </w:tblGrid>
      <w:tr w:rsidR="00780F31" w:rsidRPr="006C65B4" w14:paraId="2F8D05D6" w14:textId="77777777" w:rsidTr="000076FA">
        <w:trPr>
          <w:cantSplit/>
          <w:tblHeader/>
        </w:trPr>
        <w:tc>
          <w:tcPr>
            <w:tcW w:w="3542" w:type="dxa"/>
            <w:shd w:val="clear" w:color="auto" w:fill="B8CCE4" w:themeFill="accent1" w:themeFillTint="66"/>
          </w:tcPr>
          <w:p w14:paraId="676495AA" w14:textId="77777777" w:rsidR="00780F31" w:rsidRPr="006C65B4" w:rsidRDefault="00780F31" w:rsidP="000076FA">
            <w:pPr>
              <w:pStyle w:val="Tablehead"/>
              <w:rPr>
                <w:lang w:val="ru-RU"/>
              </w:rPr>
            </w:pPr>
            <w:r w:rsidRPr="006C65B4">
              <w:rPr>
                <w:lang w:val="ru-RU"/>
              </w:rPr>
              <w:t>Показатель</w:t>
            </w:r>
          </w:p>
        </w:tc>
        <w:tc>
          <w:tcPr>
            <w:tcW w:w="3989" w:type="dxa"/>
            <w:shd w:val="clear" w:color="auto" w:fill="B8CCE4" w:themeFill="accent1" w:themeFillTint="66"/>
          </w:tcPr>
          <w:p w14:paraId="18CE9651" w14:textId="77777777" w:rsidR="00780F31" w:rsidRPr="006C65B4" w:rsidRDefault="00780F31" w:rsidP="000076FA">
            <w:pPr>
              <w:pStyle w:val="Tablehead"/>
              <w:rPr>
                <w:lang w:val="ru-RU"/>
              </w:rPr>
            </w:pPr>
            <w:r w:rsidRPr="006C65B4">
              <w:rPr>
                <w:lang w:val="ru-RU"/>
              </w:rPr>
              <w:t>Инструменты</w:t>
            </w:r>
          </w:p>
        </w:tc>
        <w:tc>
          <w:tcPr>
            <w:tcW w:w="1683" w:type="dxa"/>
            <w:shd w:val="clear" w:color="auto" w:fill="B8CCE4" w:themeFill="accent1" w:themeFillTint="66"/>
          </w:tcPr>
          <w:p w14:paraId="4869690F" w14:textId="77777777" w:rsidR="00780F31" w:rsidRPr="006C65B4" w:rsidRDefault="00780F31" w:rsidP="000076FA">
            <w:pPr>
              <w:pStyle w:val="Tablehead"/>
              <w:rPr>
                <w:lang w:val="ru-RU"/>
              </w:rPr>
            </w:pPr>
            <w:r w:rsidRPr="006C65B4">
              <w:rPr>
                <w:lang w:val="ru-RU"/>
              </w:rPr>
              <w:t>Состояние</w:t>
            </w:r>
          </w:p>
        </w:tc>
        <w:tc>
          <w:tcPr>
            <w:tcW w:w="5344" w:type="dxa"/>
            <w:shd w:val="clear" w:color="auto" w:fill="B8CCE4" w:themeFill="accent1" w:themeFillTint="66"/>
          </w:tcPr>
          <w:p w14:paraId="0EF030CE" w14:textId="77777777" w:rsidR="00780F31" w:rsidRPr="006C65B4" w:rsidRDefault="00780F31" w:rsidP="000076FA">
            <w:pPr>
              <w:pStyle w:val="Tablehead"/>
              <w:rPr>
                <w:lang w:val="ru-RU"/>
              </w:rPr>
            </w:pPr>
            <w:r w:rsidRPr="006C65B4">
              <w:rPr>
                <w:lang w:val="ru-RU"/>
              </w:rPr>
              <w:t>Комментарий</w:t>
            </w:r>
          </w:p>
        </w:tc>
      </w:tr>
      <w:tr w:rsidR="00780F31" w:rsidRPr="008A45F9" w14:paraId="1DC021AC" w14:textId="77777777" w:rsidTr="00780F31">
        <w:trPr>
          <w:cantSplit/>
        </w:trPr>
        <w:tc>
          <w:tcPr>
            <w:tcW w:w="3542" w:type="dxa"/>
            <w:vMerge w:val="restart"/>
          </w:tcPr>
          <w:p w14:paraId="5025A2A8" w14:textId="77777777" w:rsidR="00780F31" w:rsidRPr="006C65B4" w:rsidRDefault="00780F31" w:rsidP="00780F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rPr>
                <w:lang w:val="ru-RU"/>
              </w:rPr>
            </w:pPr>
            <w:r w:rsidRPr="006C65B4">
              <w:rPr>
                <w:lang w:val="ru-RU"/>
              </w:rPr>
              <w:t>5</w:t>
            </w:r>
            <w:r w:rsidRPr="006C65B4">
              <w:rPr>
                <w:lang w:val="ru-RU"/>
              </w:rPr>
              <w:tab/>
              <w:t xml:space="preserve">Этика поведения, стандарты добросовестности, политика противодействия коррупции </w:t>
            </w:r>
            <w:r w:rsidRPr="006C65B4">
              <w:rPr>
                <w:color w:val="000000"/>
                <w:lang w:val="ru-RU"/>
              </w:rPr>
              <w:t>и мошенничеству</w:t>
            </w:r>
            <w:r w:rsidRPr="006C65B4">
              <w:rPr>
                <w:lang w:val="ru-RU"/>
              </w:rPr>
              <w:t xml:space="preserve"> разработаны и проводятся в жизнь</w:t>
            </w:r>
          </w:p>
        </w:tc>
        <w:tc>
          <w:tcPr>
            <w:tcW w:w="3989" w:type="dxa"/>
          </w:tcPr>
          <w:p w14:paraId="4EDDDE8C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 xml:space="preserve">Положения о персонале/кодекс поведения сотрудников, включая притеснение </w:t>
            </w:r>
          </w:p>
        </w:tc>
        <w:tc>
          <w:tcPr>
            <w:tcW w:w="1683" w:type="dxa"/>
          </w:tcPr>
          <w:p w14:paraId="30AF80B2" w14:textId="77777777" w:rsidR="00780F31" w:rsidRPr="006C65B4" w:rsidRDefault="00780F31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44" w:type="dxa"/>
            <w:vMerge w:val="restart"/>
          </w:tcPr>
          <w:p w14:paraId="3B2BCB79" w14:textId="7035C2AD" w:rsidR="00780F31" w:rsidRPr="00855448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 xml:space="preserve">Политика МСЭ в отношении домогательств и злоупотреблений полномочиями. </w:t>
            </w:r>
            <w:r w:rsidR="007F1AD6">
              <w:rPr>
                <w:lang w:val="ru-RU"/>
              </w:rPr>
              <w:t>Вопрос</w:t>
            </w:r>
            <w:r w:rsidR="003F3012">
              <w:rPr>
                <w:lang w:val="ru-RU"/>
              </w:rPr>
              <w:t xml:space="preserve"> сексуальных домогательств также </w:t>
            </w:r>
            <w:r w:rsidR="007F1AD6">
              <w:rPr>
                <w:lang w:val="ru-RU"/>
              </w:rPr>
              <w:t>охвачен</w:t>
            </w:r>
            <w:r w:rsidR="003F3012">
              <w:rPr>
                <w:lang w:val="ru-RU"/>
              </w:rPr>
              <w:t xml:space="preserve"> в Служебном приказе </w:t>
            </w:r>
            <w:r w:rsidR="003F3012" w:rsidRPr="003F3012">
              <w:rPr>
                <w:lang w:val="ru-RU"/>
              </w:rPr>
              <w:t>№</w:t>
            </w:r>
            <w:r w:rsidR="007F1AD6">
              <w:rPr>
                <w:lang w:val="ru-RU"/>
              </w:rPr>
              <w:t> </w:t>
            </w:r>
            <w:r w:rsidR="003F3012" w:rsidRPr="003F3012">
              <w:rPr>
                <w:lang w:val="ru-RU"/>
              </w:rPr>
              <w:t>19/08</w:t>
            </w:r>
            <w:r w:rsidR="003F3012">
              <w:rPr>
                <w:lang w:val="ru-RU"/>
              </w:rPr>
              <w:t>. Соответствующая</w:t>
            </w:r>
            <w:r w:rsidR="003F3012" w:rsidRPr="003F3012">
              <w:rPr>
                <w:lang w:val="ru-RU"/>
              </w:rPr>
              <w:t xml:space="preserve"> </w:t>
            </w:r>
            <w:r w:rsidR="003F3012">
              <w:rPr>
                <w:lang w:val="ru-RU"/>
              </w:rPr>
              <w:t>политика</w:t>
            </w:r>
            <w:r w:rsidR="003F3012" w:rsidRPr="003F3012">
              <w:rPr>
                <w:lang w:val="ru-RU"/>
              </w:rPr>
              <w:t xml:space="preserve"> </w:t>
            </w:r>
            <w:r w:rsidR="003F3012">
              <w:rPr>
                <w:lang w:val="ru-RU"/>
              </w:rPr>
              <w:t>была</w:t>
            </w:r>
            <w:r w:rsidR="003F3012" w:rsidRPr="003F3012">
              <w:rPr>
                <w:lang w:val="ru-RU"/>
              </w:rPr>
              <w:t xml:space="preserve"> </w:t>
            </w:r>
            <w:r w:rsidR="003F3012">
              <w:rPr>
                <w:lang w:val="ru-RU"/>
              </w:rPr>
              <w:t xml:space="preserve">введена </w:t>
            </w:r>
            <w:r w:rsidR="003F3012" w:rsidRPr="003F3012">
              <w:rPr>
                <w:lang w:val="ru-RU"/>
              </w:rPr>
              <w:t xml:space="preserve">2 мая 2019 года. </w:t>
            </w:r>
          </w:p>
          <w:p w14:paraId="57E8EC5A" w14:textId="75F664D1" w:rsidR="00780F31" w:rsidRPr="007F1AD6" w:rsidRDefault="003F3012" w:rsidP="00780F31">
            <w:pPr>
              <w:pStyle w:val="Tabletext"/>
              <w:rPr>
                <w:lang w:val="ru-RU"/>
              </w:rPr>
            </w:pPr>
            <w:r w:rsidRPr="003F3012">
              <w:rPr>
                <w:lang w:val="ru-RU"/>
              </w:rPr>
              <w:t xml:space="preserve">В 2019 году был </w:t>
            </w:r>
            <w:r w:rsidR="007F1AD6">
              <w:rPr>
                <w:lang w:val="ru-RU"/>
              </w:rPr>
              <w:t>нанят</w:t>
            </w:r>
            <w:r w:rsidRPr="003F3012">
              <w:rPr>
                <w:lang w:val="ru-RU"/>
              </w:rPr>
              <w:t xml:space="preserve"> новый сотрудник по вопросам этики</w:t>
            </w:r>
            <w:r>
              <w:rPr>
                <w:lang w:val="ru-RU"/>
              </w:rPr>
              <w:t>.</w:t>
            </w:r>
          </w:p>
        </w:tc>
      </w:tr>
      <w:tr w:rsidR="00780F31" w:rsidRPr="006C65B4" w14:paraId="66DEEED4" w14:textId="77777777" w:rsidTr="00780F31">
        <w:trPr>
          <w:cantSplit/>
        </w:trPr>
        <w:tc>
          <w:tcPr>
            <w:tcW w:w="3542" w:type="dxa"/>
            <w:vMerge/>
          </w:tcPr>
          <w:p w14:paraId="6ED88951" w14:textId="77777777" w:rsidR="00780F31" w:rsidRPr="007F1AD6" w:rsidRDefault="00780F31" w:rsidP="00780F31">
            <w:pPr>
              <w:pStyle w:val="Tabletext"/>
              <w:rPr>
                <w:lang w:val="ru-RU"/>
              </w:rPr>
            </w:pPr>
          </w:p>
        </w:tc>
        <w:tc>
          <w:tcPr>
            <w:tcW w:w="3989" w:type="dxa"/>
          </w:tcPr>
          <w:p w14:paraId="0418CD5C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Функция в сфере этики</w:t>
            </w:r>
          </w:p>
        </w:tc>
        <w:tc>
          <w:tcPr>
            <w:tcW w:w="1683" w:type="dxa"/>
          </w:tcPr>
          <w:p w14:paraId="468AE94F" w14:textId="77777777" w:rsidR="00780F31" w:rsidRPr="006C65B4" w:rsidRDefault="00780F31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44" w:type="dxa"/>
            <w:vMerge/>
          </w:tcPr>
          <w:p w14:paraId="5A255FF4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</w:p>
        </w:tc>
      </w:tr>
      <w:tr w:rsidR="00780F31" w:rsidRPr="008A45F9" w14:paraId="0BEED832" w14:textId="77777777" w:rsidTr="00780F31">
        <w:trPr>
          <w:cantSplit/>
        </w:trPr>
        <w:tc>
          <w:tcPr>
            <w:tcW w:w="3542" w:type="dxa"/>
            <w:vMerge/>
          </w:tcPr>
          <w:p w14:paraId="117D1708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</w:p>
        </w:tc>
        <w:tc>
          <w:tcPr>
            <w:tcW w:w="3989" w:type="dxa"/>
          </w:tcPr>
          <w:p w14:paraId="06E9437C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Подарки, сувениры и политика гостеприимства</w:t>
            </w:r>
          </w:p>
        </w:tc>
        <w:tc>
          <w:tcPr>
            <w:tcW w:w="1683" w:type="dxa"/>
          </w:tcPr>
          <w:p w14:paraId="3DCE9AA7" w14:textId="4864FC90" w:rsidR="00780F31" w:rsidRPr="006C65B4" w:rsidRDefault="002D5503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44" w:type="dxa"/>
          </w:tcPr>
          <w:p w14:paraId="3A0FD1C2" w14:textId="675F9E19" w:rsidR="00780F31" w:rsidRPr="00855448" w:rsidRDefault="000076FA" w:rsidP="00780F31">
            <w:pPr>
              <w:pStyle w:val="Tabletext"/>
              <w:rPr>
                <w:lang w:val="ru-RU"/>
              </w:rPr>
            </w:pPr>
            <w:r w:rsidRPr="000076FA">
              <w:rPr>
                <w:lang w:val="ru-RU"/>
              </w:rPr>
              <w:t>Этот</w:t>
            </w:r>
            <w:r w:rsidRPr="00A96ADA">
              <w:rPr>
                <w:lang w:val="ru-RU"/>
              </w:rPr>
              <w:t xml:space="preserve"> </w:t>
            </w:r>
            <w:r w:rsidRPr="000076FA">
              <w:rPr>
                <w:lang w:val="ru-RU"/>
              </w:rPr>
              <w:t>вопрос</w:t>
            </w:r>
            <w:r w:rsidRPr="00A96ADA">
              <w:rPr>
                <w:lang w:val="ru-RU"/>
              </w:rPr>
              <w:t xml:space="preserve"> </w:t>
            </w:r>
            <w:r w:rsidR="00A96ADA">
              <w:rPr>
                <w:lang w:val="ru-RU"/>
              </w:rPr>
              <w:t>регулируется</w:t>
            </w:r>
            <w:r w:rsidRPr="00A96ADA">
              <w:rPr>
                <w:lang w:val="ru-RU"/>
              </w:rPr>
              <w:t xml:space="preserve"> Положения</w:t>
            </w:r>
            <w:r w:rsidR="00A96ADA">
              <w:rPr>
                <w:lang w:val="ru-RU"/>
              </w:rPr>
              <w:t>ми</w:t>
            </w:r>
            <w:r w:rsidRPr="00A96ADA">
              <w:rPr>
                <w:lang w:val="ru-RU"/>
              </w:rPr>
              <w:t xml:space="preserve"> о персонале и Правил</w:t>
            </w:r>
            <w:r w:rsidR="00A96ADA">
              <w:rPr>
                <w:lang w:val="ru-RU"/>
              </w:rPr>
              <w:t>ами</w:t>
            </w:r>
            <w:r w:rsidRPr="00A96ADA">
              <w:rPr>
                <w:lang w:val="ru-RU"/>
              </w:rPr>
              <w:t xml:space="preserve"> о персонале МСЭ, </w:t>
            </w:r>
            <w:r>
              <w:rPr>
                <w:lang w:val="ru-RU"/>
              </w:rPr>
              <w:t>К</w:t>
            </w:r>
            <w:r w:rsidRPr="00A96ADA">
              <w:rPr>
                <w:lang w:val="ru-RU"/>
              </w:rPr>
              <w:t>одекс</w:t>
            </w:r>
            <w:r w:rsidR="00A96ADA">
              <w:rPr>
                <w:lang w:val="ru-RU"/>
              </w:rPr>
              <w:t>ом</w:t>
            </w:r>
            <w:r w:rsidRPr="00A96ADA">
              <w:rPr>
                <w:lang w:val="ru-RU"/>
              </w:rPr>
              <w:t xml:space="preserve"> этики персонала МСЭ </w:t>
            </w:r>
            <w:r>
              <w:rPr>
                <w:lang w:val="ru-RU"/>
              </w:rPr>
              <w:t>и</w:t>
            </w:r>
            <w:r w:rsidRPr="00A96ADA">
              <w:rPr>
                <w:lang w:val="ru-RU"/>
              </w:rPr>
              <w:t xml:space="preserve"> </w:t>
            </w:r>
            <w:r w:rsidR="00A96ADA" w:rsidRPr="00A96ADA">
              <w:rPr>
                <w:lang w:val="ru-RU"/>
              </w:rPr>
              <w:t>Норм</w:t>
            </w:r>
            <w:r w:rsidR="00A96ADA">
              <w:rPr>
                <w:lang w:val="ru-RU"/>
              </w:rPr>
              <w:t>ами</w:t>
            </w:r>
            <w:r w:rsidR="00A96ADA" w:rsidRPr="00A96ADA">
              <w:rPr>
                <w:lang w:val="ru-RU"/>
              </w:rPr>
              <w:t xml:space="preserve"> поведения международных гражданских служащих</w:t>
            </w:r>
            <w:r w:rsidR="00A96ADA">
              <w:rPr>
                <w:lang w:val="ru-RU"/>
              </w:rPr>
              <w:t xml:space="preserve">; в 2020 году </w:t>
            </w:r>
            <w:r w:rsidR="007F1AD6">
              <w:rPr>
                <w:lang w:val="ru-RU"/>
              </w:rPr>
              <w:t>ведется</w:t>
            </w:r>
            <w:r w:rsidR="00A96ADA">
              <w:rPr>
                <w:lang w:val="ru-RU"/>
              </w:rPr>
              <w:t xml:space="preserve"> разработка новой политики в отношении подарков и гостеприимства.</w:t>
            </w:r>
          </w:p>
        </w:tc>
      </w:tr>
      <w:tr w:rsidR="00780F31" w:rsidRPr="008A45F9" w14:paraId="5922B565" w14:textId="77777777" w:rsidTr="00780F31">
        <w:trPr>
          <w:cantSplit/>
        </w:trPr>
        <w:tc>
          <w:tcPr>
            <w:tcW w:w="3542" w:type="dxa"/>
            <w:vMerge/>
          </w:tcPr>
          <w:p w14:paraId="64E8AC09" w14:textId="77777777" w:rsidR="00780F31" w:rsidRPr="00855448" w:rsidRDefault="00780F31" w:rsidP="00780F31">
            <w:pPr>
              <w:pStyle w:val="Tabletext"/>
              <w:rPr>
                <w:lang w:val="ru-RU"/>
              </w:rPr>
            </w:pPr>
          </w:p>
        </w:tc>
        <w:tc>
          <w:tcPr>
            <w:tcW w:w="3989" w:type="dxa"/>
          </w:tcPr>
          <w:p w14:paraId="4D1CC61C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Защита от мер возмездия по отношению к тем, кто сообщает о совершении неправомерных действий (политика в отношении сотрудников, сообщающих о нарушениях)</w:t>
            </w:r>
          </w:p>
        </w:tc>
        <w:tc>
          <w:tcPr>
            <w:tcW w:w="1683" w:type="dxa"/>
          </w:tcPr>
          <w:p w14:paraId="63E90F24" w14:textId="77777777" w:rsidR="00780F31" w:rsidRPr="006C65B4" w:rsidRDefault="00780F31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44" w:type="dxa"/>
            <w:vMerge w:val="restart"/>
          </w:tcPr>
          <w:p w14:paraId="493F4072" w14:textId="75B645C0" w:rsidR="00780F31" w:rsidRPr="00A96ADA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 xml:space="preserve">Эти темы также пересматриваются с учетом проводимых в настоящее время Объединенной инспекционной группой обзоров, посвященных конфликту интересов и </w:t>
            </w:r>
            <w:r w:rsidR="001C7C3C">
              <w:rPr>
                <w:lang w:val="ru-RU"/>
              </w:rPr>
              <w:t xml:space="preserve">защите </w:t>
            </w:r>
            <w:r w:rsidRPr="00A96ADA">
              <w:rPr>
                <w:lang w:val="ru-RU"/>
              </w:rPr>
              <w:t>сотрудник</w:t>
            </w:r>
            <w:r w:rsidR="001C7C3C" w:rsidRPr="00A96ADA">
              <w:rPr>
                <w:lang w:val="ru-RU"/>
              </w:rPr>
              <w:t>ов</w:t>
            </w:r>
            <w:r w:rsidRPr="00A96ADA">
              <w:rPr>
                <w:lang w:val="ru-RU"/>
              </w:rPr>
              <w:t>, сообщающих о нарушениях</w:t>
            </w:r>
            <w:r w:rsidR="00A14629" w:rsidRPr="00A96ADA">
              <w:rPr>
                <w:lang w:val="ru-RU"/>
              </w:rPr>
              <w:t>.</w:t>
            </w:r>
          </w:p>
          <w:p w14:paraId="7EF6B24A" w14:textId="0044AA0A" w:rsidR="00A14629" w:rsidRPr="00855448" w:rsidRDefault="00A96ADA" w:rsidP="00780F31">
            <w:pPr>
              <w:pStyle w:val="Tabletext"/>
              <w:rPr>
                <w:lang w:val="ru-RU"/>
              </w:rPr>
            </w:pPr>
            <w:r w:rsidRPr="00A96ADA">
              <w:rPr>
                <w:lang w:val="ru-RU"/>
              </w:rPr>
              <w:lastRenderedPageBreak/>
              <w:t>Был разработан целый ряд документов, таких как новая инструкция и политика по закупкам</w:t>
            </w:r>
            <w:r>
              <w:rPr>
                <w:lang w:val="ru-RU"/>
              </w:rPr>
              <w:t>. В</w:t>
            </w:r>
            <w:r w:rsidRPr="00A96ADA">
              <w:rPr>
                <w:lang w:val="ru-RU"/>
              </w:rPr>
              <w:t xml:space="preserve"> 2019 </w:t>
            </w:r>
            <w:r>
              <w:rPr>
                <w:lang w:val="ru-RU"/>
              </w:rPr>
              <w:t>году</w:t>
            </w:r>
            <w:r w:rsidRPr="00A96ADA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был</w:t>
            </w:r>
            <w:r w:rsidRPr="00A96ADA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выпущен</w:t>
            </w:r>
            <w:r w:rsidRPr="00A96A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Служебный</w:t>
            </w:r>
            <w:r w:rsidRPr="00A96AD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приказ о </w:t>
            </w:r>
            <w:r w:rsidRPr="00A96ADA">
              <w:rPr>
                <w:lang w:val="ru-RU"/>
              </w:rPr>
              <w:t>руководящи</w:t>
            </w:r>
            <w:r>
              <w:rPr>
                <w:lang w:val="ru-RU"/>
              </w:rPr>
              <w:t>х</w:t>
            </w:r>
            <w:r w:rsidRPr="00A96ADA">
              <w:rPr>
                <w:lang w:val="ru-RU"/>
              </w:rPr>
              <w:t xml:space="preserve"> указания</w:t>
            </w:r>
            <w:r>
              <w:rPr>
                <w:lang w:val="ru-RU"/>
              </w:rPr>
              <w:t>х</w:t>
            </w:r>
            <w:r w:rsidRPr="00A96ADA">
              <w:rPr>
                <w:lang w:val="ru-RU"/>
              </w:rPr>
              <w:t xml:space="preserve"> по проведению расследований, </w:t>
            </w:r>
            <w:r>
              <w:rPr>
                <w:lang w:val="ru-RU"/>
              </w:rPr>
              <w:t>предусматривающий</w:t>
            </w:r>
            <w:r w:rsidRPr="00A96AD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процедуры</w:t>
            </w:r>
            <w:r w:rsidRPr="00A96AD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которым</w:t>
            </w:r>
            <w:r w:rsidRPr="00A96ADA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необходимо следовать при проведении расследований, включая меры по предотвращению утечки конфиденциальной информации и обеспечению быстрого реагирования</w:t>
            </w:r>
            <w:r w:rsidR="007F1AD6">
              <w:rPr>
                <w:lang w:val="ru-RU"/>
              </w:rPr>
              <w:t xml:space="preserve"> на случаи мошенничества</w:t>
            </w:r>
            <w:r>
              <w:rPr>
                <w:lang w:val="ru-RU"/>
              </w:rPr>
              <w:t>.</w:t>
            </w:r>
            <w:r w:rsidRPr="00A96ADA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Кроме</w:t>
            </w:r>
            <w:r w:rsidRPr="001F780E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того</w:t>
            </w:r>
            <w:r w:rsidRPr="001F780E">
              <w:rPr>
                <w:lang w:val="ru-RU"/>
              </w:rPr>
              <w:t xml:space="preserve">, </w:t>
            </w:r>
            <w:r w:rsidR="007F1AD6">
              <w:rPr>
                <w:lang w:val="ru-RU"/>
              </w:rPr>
              <w:t xml:space="preserve">в своем </w:t>
            </w:r>
            <w:r w:rsidR="001F780E">
              <w:rPr>
                <w:lang w:val="ru-RU"/>
              </w:rPr>
              <w:t>Решени</w:t>
            </w:r>
            <w:r w:rsidR="007F1AD6">
              <w:rPr>
                <w:lang w:val="ru-RU"/>
              </w:rPr>
              <w:t>и</w:t>
            </w:r>
            <w:r w:rsidR="001F780E" w:rsidRPr="001F780E">
              <w:rPr>
                <w:lang w:val="ru-RU"/>
              </w:rPr>
              <w:t xml:space="preserve"> 613</w:t>
            </w:r>
            <w:r w:rsidR="007F1AD6">
              <w:rPr>
                <w:lang w:val="ru-RU"/>
              </w:rPr>
              <w:t xml:space="preserve"> Совет</w:t>
            </w:r>
            <w:r w:rsidR="001F780E">
              <w:rPr>
                <w:lang w:val="ru-RU"/>
              </w:rPr>
              <w:t xml:space="preserve"> постанови</w:t>
            </w:r>
            <w:r w:rsidR="007F1AD6">
              <w:rPr>
                <w:lang w:val="ru-RU"/>
              </w:rPr>
              <w:t>л</w:t>
            </w:r>
            <w:r w:rsidR="001F780E" w:rsidRPr="001F780E">
              <w:rPr>
                <w:lang w:val="ru-RU"/>
              </w:rPr>
              <w:t xml:space="preserve"> </w:t>
            </w:r>
            <w:r w:rsidR="001F780E">
              <w:rPr>
                <w:lang w:val="ru-RU"/>
              </w:rPr>
              <w:t>провести</w:t>
            </w:r>
            <w:r w:rsidR="001F780E" w:rsidRPr="001F780E">
              <w:rPr>
                <w:lang w:val="ru-RU"/>
              </w:rPr>
              <w:t xml:space="preserve"> судебно-бухгалтерск</w:t>
            </w:r>
            <w:r w:rsidR="001F780E">
              <w:rPr>
                <w:lang w:val="ru-RU"/>
              </w:rPr>
              <w:t>ую</w:t>
            </w:r>
            <w:r w:rsidR="001F780E" w:rsidRPr="001F780E">
              <w:rPr>
                <w:lang w:val="ru-RU"/>
              </w:rPr>
              <w:t xml:space="preserve"> экспертиз</w:t>
            </w:r>
            <w:r w:rsidR="001F780E">
              <w:rPr>
                <w:lang w:val="ru-RU"/>
              </w:rPr>
              <w:t>у финансовой и управленческой деятельности МСЭ за последние 10 лет.</w:t>
            </w:r>
          </w:p>
        </w:tc>
      </w:tr>
      <w:tr w:rsidR="00780F31" w:rsidRPr="006C65B4" w14:paraId="2398F057" w14:textId="77777777" w:rsidTr="00780F31">
        <w:trPr>
          <w:cantSplit/>
        </w:trPr>
        <w:tc>
          <w:tcPr>
            <w:tcW w:w="3542" w:type="dxa"/>
            <w:vMerge/>
          </w:tcPr>
          <w:p w14:paraId="2395CEEA" w14:textId="77777777" w:rsidR="00780F31" w:rsidRPr="00855448" w:rsidRDefault="00780F31" w:rsidP="00780F31">
            <w:pPr>
              <w:pStyle w:val="Tabletext"/>
              <w:rPr>
                <w:lang w:val="ru-RU"/>
              </w:rPr>
            </w:pPr>
          </w:p>
        </w:tc>
        <w:tc>
          <w:tcPr>
            <w:tcW w:w="3989" w:type="dxa"/>
          </w:tcPr>
          <w:p w14:paraId="452FBE13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Политика в отношении внеслужебной деятельности (способной привести к конфликту интересов)</w:t>
            </w:r>
          </w:p>
        </w:tc>
        <w:tc>
          <w:tcPr>
            <w:tcW w:w="1683" w:type="dxa"/>
          </w:tcPr>
          <w:p w14:paraId="539BBB4A" w14:textId="77777777" w:rsidR="00780F31" w:rsidRPr="006C65B4" w:rsidRDefault="00780F31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44" w:type="dxa"/>
            <w:vMerge/>
          </w:tcPr>
          <w:p w14:paraId="186CDE4D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</w:p>
        </w:tc>
      </w:tr>
      <w:tr w:rsidR="00780F31" w:rsidRPr="006C65B4" w14:paraId="08CDEE62" w14:textId="77777777" w:rsidTr="00780F31">
        <w:trPr>
          <w:cantSplit/>
        </w:trPr>
        <w:tc>
          <w:tcPr>
            <w:tcW w:w="3542" w:type="dxa"/>
            <w:vMerge/>
          </w:tcPr>
          <w:p w14:paraId="3D48EE35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</w:p>
        </w:tc>
        <w:tc>
          <w:tcPr>
            <w:tcW w:w="3989" w:type="dxa"/>
          </w:tcPr>
          <w:p w14:paraId="31E72E5D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 xml:space="preserve">Политика противодействия </w:t>
            </w:r>
            <w:r w:rsidRPr="006C65B4">
              <w:rPr>
                <w:color w:val="000000"/>
                <w:lang w:val="ru-RU"/>
              </w:rPr>
              <w:t xml:space="preserve">мошенничеству и </w:t>
            </w:r>
            <w:r w:rsidRPr="006C65B4">
              <w:rPr>
                <w:lang w:val="ru-RU"/>
              </w:rPr>
              <w:t>коррупции</w:t>
            </w:r>
          </w:p>
        </w:tc>
        <w:tc>
          <w:tcPr>
            <w:tcW w:w="1683" w:type="dxa"/>
          </w:tcPr>
          <w:p w14:paraId="0CEA67BA" w14:textId="653A011E" w:rsidR="00780F31" w:rsidRPr="006C65B4" w:rsidRDefault="002D5503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44" w:type="dxa"/>
            <w:vMerge/>
          </w:tcPr>
          <w:p w14:paraId="1799F80E" w14:textId="77777777" w:rsidR="00780F31" w:rsidRPr="006C65B4" w:rsidRDefault="00780F31" w:rsidP="00780F31">
            <w:pPr>
              <w:pStyle w:val="Tabletext"/>
              <w:rPr>
                <w:highlight w:val="yellow"/>
                <w:lang w:val="ru-RU"/>
              </w:rPr>
            </w:pPr>
          </w:p>
        </w:tc>
      </w:tr>
      <w:tr w:rsidR="00780F31" w:rsidRPr="008A45F9" w14:paraId="2E068B10" w14:textId="77777777" w:rsidTr="00780F31">
        <w:trPr>
          <w:cantSplit/>
        </w:trPr>
        <w:tc>
          <w:tcPr>
            <w:tcW w:w="3542" w:type="dxa"/>
            <w:vMerge/>
          </w:tcPr>
          <w:p w14:paraId="5F3EC90B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</w:p>
        </w:tc>
        <w:tc>
          <w:tcPr>
            <w:tcW w:w="3989" w:type="dxa"/>
          </w:tcPr>
          <w:p w14:paraId="06B3819E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Обучение</w:t>
            </w:r>
          </w:p>
        </w:tc>
        <w:tc>
          <w:tcPr>
            <w:tcW w:w="1683" w:type="dxa"/>
          </w:tcPr>
          <w:p w14:paraId="2F803CFA" w14:textId="74BA8B7E" w:rsidR="00780F31" w:rsidRPr="006C65B4" w:rsidRDefault="002D5503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t>Работа ведется на постоянной основе</w:t>
            </w:r>
          </w:p>
        </w:tc>
        <w:tc>
          <w:tcPr>
            <w:tcW w:w="5344" w:type="dxa"/>
            <w:vMerge/>
          </w:tcPr>
          <w:p w14:paraId="65B00D99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</w:p>
        </w:tc>
      </w:tr>
      <w:tr w:rsidR="00780F31" w:rsidRPr="008A45F9" w14:paraId="1DD145B5" w14:textId="77777777" w:rsidTr="00780F31">
        <w:trPr>
          <w:cantSplit/>
        </w:trPr>
        <w:tc>
          <w:tcPr>
            <w:tcW w:w="3542" w:type="dxa"/>
            <w:vMerge w:val="restart"/>
          </w:tcPr>
          <w:p w14:paraId="4C11AE8B" w14:textId="77777777" w:rsidR="00780F31" w:rsidRPr="006C65B4" w:rsidRDefault="00780F31" w:rsidP="00780F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rPr>
                <w:lang w:val="ru-RU"/>
              </w:rPr>
            </w:pPr>
            <w:r w:rsidRPr="006C65B4">
              <w:rPr>
                <w:lang w:val="ru-RU"/>
              </w:rPr>
              <w:t>6</w:t>
            </w:r>
            <w:r w:rsidRPr="006C65B4">
              <w:rPr>
                <w:lang w:val="ru-RU"/>
              </w:rPr>
              <w:tab/>
              <w:t>Несоблюдение установленной политики/правил влечет за собой очевидные последствия. Санкции должны быть понятными, соразмерными и применяемыми на всех уровнях. Кроме того, высокие результаты работы должны быть отмечены поощрением/наградами/</w:t>
            </w:r>
            <w:r w:rsidRPr="006C65B4">
              <w:rPr>
                <w:lang w:val="ru-RU"/>
              </w:rPr>
              <w:br/>
              <w:t xml:space="preserve">премиями </w:t>
            </w:r>
          </w:p>
        </w:tc>
        <w:tc>
          <w:tcPr>
            <w:tcW w:w="3989" w:type="dxa"/>
          </w:tcPr>
          <w:p w14:paraId="5D61DA25" w14:textId="77777777" w:rsidR="00780F31" w:rsidRPr="006C65B4" w:rsidRDefault="00780F31" w:rsidP="00780F31">
            <w:pPr>
              <w:pStyle w:val="Tabletext"/>
              <w:keepNext/>
              <w:rPr>
                <w:lang w:val="ru-RU"/>
              </w:rPr>
            </w:pPr>
            <w:r w:rsidRPr="006C65B4">
              <w:rPr>
                <w:lang w:val="ru-RU"/>
              </w:rPr>
              <w:t xml:space="preserve">Документы о политике в отношении санкций и </w:t>
            </w:r>
            <w:r w:rsidRPr="006C65B4">
              <w:rPr>
                <w:color w:val="000000"/>
                <w:lang w:val="ru-RU"/>
              </w:rPr>
              <w:t>мер дисциплинарного характера</w:t>
            </w:r>
          </w:p>
        </w:tc>
        <w:tc>
          <w:tcPr>
            <w:tcW w:w="1683" w:type="dxa"/>
          </w:tcPr>
          <w:p w14:paraId="0DFA9A81" w14:textId="63C6F30C" w:rsidR="00780F31" w:rsidRPr="006C65B4" w:rsidRDefault="002D5503" w:rsidP="00780F31">
            <w:pPr>
              <w:pStyle w:val="Tabletext"/>
              <w:keepNext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44" w:type="dxa"/>
          </w:tcPr>
          <w:p w14:paraId="62061144" w14:textId="63E27ED7" w:rsidR="00780F31" w:rsidRPr="006C65B4" w:rsidRDefault="00780F31" w:rsidP="00780F31">
            <w:pPr>
              <w:pStyle w:val="Tabletext"/>
              <w:keepNext/>
              <w:rPr>
                <w:lang w:val="ru-RU"/>
              </w:rPr>
            </w:pPr>
            <w:r w:rsidRPr="006C65B4">
              <w:rPr>
                <w:lang w:val="ru-RU"/>
              </w:rPr>
              <w:t xml:space="preserve">Глава X </w:t>
            </w:r>
            <w:r w:rsidRPr="006C65B4">
              <w:rPr>
                <w:color w:val="000000"/>
                <w:lang w:val="ru-RU"/>
              </w:rPr>
              <w:t>Положений о персонале и Правил о персонале</w:t>
            </w:r>
            <w:r w:rsidR="00A14629" w:rsidRPr="00AC5741">
              <w:rPr>
                <w:color w:val="000000"/>
                <w:lang w:val="ru-RU"/>
              </w:rPr>
              <w:t xml:space="preserve"> </w:t>
            </w:r>
            <w:r w:rsidR="00AC5741" w:rsidRPr="00AC5741">
              <w:rPr>
                <w:color w:val="000000"/>
                <w:lang w:val="ru-RU"/>
              </w:rPr>
              <w:t>является действующей и</w:t>
            </w:r>
            <w:r w:rsidR="00AC5741">
              <w:rPr>
                <w:color w:val="000000"/>
                <w:lang w:val="ru-RU"/>
              </w:rPr>
              <w:t xml:space="preserve"> </w:t>
            </w:r>
            <w:r w:rsidR="00C5515E">
              <w:rPr>
                <w:color w:val="000000"/>
                <w:lang w:val="ru-RU"/>
              </w:rPr>
              <w:t xml:space="preserve">определяет </w:t>
            </w:r>
            <w:r w:rsidR="00C5515E" w:rsidRPr="006C65B4">
              <w:rPr>
                <w:lang w:val="ru-RU"/>
              </w:rPr>
              <w:t>политик</w:t>
            </w:r>
            <w:r w:rsidR="00C5515E">
              <w:rPr>
                <w:lang w:val="ru-RU"/>
              </w:rPr>
              <w:t>у</w:t>
            </w:r>
            <w:r w:rsidR="00C5515E" w:rsidRPr="006C65B4">
              <w:rPr>
                <w:lang w:val="ru-RU"/>
              </w:rPr>
              <w:t xml:space="preserve"> в отношении санкций и </w:t>
            </w:r>
            <w:r w:rsidR="00C5515E" w:rsidRPr="006C65B4">
              <w:rPr>
                <w:color w:val="000000"/>
                <w:lang w:val="ru-RU"/>
              </w:rPr>
              <w:t>мер дисциплинарного характера</w:t>
            </w:r>
            <w:r w:rsidR="00C5515E">
              <w:rPr>
                <w:color w:val="000000"/>
                <w:lang w:val="ru-RU"/>
              </w:rPr>
              <w:t>.</w:t>
            </w:r>
          </w:p>
        </w:tc>
      </w:tr>
      <w:tr w:rsidR="00780F31" w:rsidRPr="006C65B4" w14:paraId="1D87A639" w14:textId="77777777" w:rsidTr="00780F31">
        <w:trPr>
          <w:cantSplit/>
        </w:trPr>
        <w:tc>
          <w:tcPr>
            <w:tcW w:w="3542" w:type="dxa"/>
            <w:vMerge/>
          </w:tcPr>
          <w:p w14:paraId="006BE8BB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</w:p>
        </w:tc>
        <w:tc>
          <w:tcPr>
            <w:tcW w:w="3989" w:type="dxa"/>
          </w:tcPr>
          <w:p w14:paraId="46CBF559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Публикация в ежегодных отчетах санкций, наложенных административным руководителем</w:t>
            </w:r>
          </w:p>
        </w:tc>
        <w:tc>
          <w:tcPr>
            <w:tcW w:w="1683" w:type="dxa"/>
          </w:tcPr>
          <w:p w14:paraId="19901FA4" w14:textId="77777777" w:rsidR="00780F31" w:rsidRPr="006C65B4" w:rsidRDefault="00780F31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t>Не применимо</w:t>
            </w:r>
          </w:p>
        </w:tc>
        <w:tc>
          <w:tcPr>
            <w:tcW w:w="5344" w:type="dxa"/>
          </w:tcPr>
          <w:p w14:paraId="491AA062" w14:textId="5FA6A0DF" w:rsidR="00780F31" w:rsidRPr="006C65B4" w:rsidRDefault="00780F31" w:rsidP="00780F31">
            <w:pPr>
              <w:pStyle w:val="Tabletext"/>
              <w:rPr>
                <w:lang w:val="ru-RU"/>
              </w:rPr>
            </w:pPr>
          </w:p>
        </w:tc>
      </w:tr>
      <w:tr w:rsidR="00780F31" w:rsidRPr="006C65B4" w14:paraId="6390656C" w14:textId="77777777" w:rsidTr="00780F31">
        <w:trPr>
          <w:cantSplit/>
        </w:trPr>
        <w:tc>
          <w:tcPr>
            <w:tcW w:w="3542" w:type="dxa"/>
            <w:vMerge/>
          </w:tcPr>
          <w:p w14:paraId="78008B48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</w:p>
        </w:tc>
        <w:tc>
          <w:tcPr>
            <w:tcW w:w="3989" w:type="dxa"/>
          </w:tcPr>
          <w:p w14:paraId="47EC3A4C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Программы наград/премий, присуждаемых комитетами/специальными комиссиями на основе четких критериев</w:t>
            </w:r>
          </w:p>
        </w:tc>
        <w:tc>
          <w:tcPr>
            <w:tcW w:w="1683" w:type="dxa"/>
          </w:tcPr>
          <w:p w14:paraId="4C855A3D" w14:textId="77777777" w:rsidR="00780F31" w:rsidRPr="006C65B4" w:rsidRDefault="00780F31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44" w:type="dxa"/>
            <w:vMerge w:val="restart"/>
          </w:tcPr>
          <w:p w14:paraId="32E3ADD4" w14:textId="16768659" w:rsidR="00780F31" w:rsidRPr="006C65B4" w:rsidRDefault="00780F31" w:rsidP="00780F31">
            <w:pPr>
              <w:pStyle w:val="Tabletext"/>
              <w:rPr>
                <w:lang w:val="ru-RU"/>
              </w:rPr>
            </w:pPr>
          </w:p>
        </w:tc>
      </w:tr>
      <w:tr w:rsidR="00780F31" w:rsidRPr="006C65B4" w14:paraId="21B573C5" w14:textId="77777777" w:rsidTr="00780F31">
        <w:trPr>
          <w:cantSplit/>
        </w:trPr>
        <w:tc>
          <w:tcPr>
            <w:tcW w:w="3542" w:type="dxa"/>
            <w:vMerge/>
          </w:tcPr>
          <w:p w14:paraId="358FBE0C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</w:p>
        </w:tc>
        <w:tc>
          <w:tcPr>
            <w:tcW w:w="3989" w:type="dxa"/>
          </w:tcPr>
          <w:p w14:paraId="667A95B8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Публикация фамилий сотрудников, удостоенных наград и премий</w:t>
            </w:r>
          </w:p>
        </w:tc>
        <w:tc>
          <w:tcPr>
            <w:tcW w:w="1683" w:type="dxa"/>
          </w:tcPr>
          <w:p w14:paraId="07CE9900" w14:textId="77777777" w:rsidR="00780F31" w:rsidRPr="006C65B4" w:rsidRDefault="00780F31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44" w:type="dxa"/>
            <w:vMerge/>
          </w:tcPr>
          <w:p w14:paraId="1BD050B8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</w:p>
        </w:tc>
      </w:tr>
      <w:tr w:rsidR="00780F31" w:rsidRPr="008A45F9" w14:paraId="605CAD05" w14:textId="77777777" w:rsidTr="00780F31">
        <w:trPr>
          <w:cantSplit/>
        </w:trPr>
        <w:tc>
          <w:tcPr>
            <w:tcW w:w="3542" w:type="dxa"/>
            <w:vMerge w:val="restart"/>
          </w:tcPr>
          <w:p w14:paraId="492706A3" w14:textId="77777777" w:rsidR="00780F31" w:rsidRPr="006C65B4" w:rsidRDefault="00780F31" w:rsidP="00780F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rPr>
                <w:lang w:val="ru-RU"/>
              </w:rPr>
            </w:pPr>
            <w:r w:rsidRPr="006C65B4">
              <w:rPr>
                <w:lang w:val="ru-RU"/>
              </w:rPr>
              <w:t>7</w:t>
            </w:r>
            <w:r w:rsidRPr="006C65B4">
              <w:rPr>
                <w:lang w:val="ru-RU"/>
              </w:rPr>
              <w:tab/>
              <w:t xml:space="preserve">Всем сотрудникам может быть предложено отчитаться о своей работе на основе обновленных письменных </w:t>
            </w:r>
            <w:r w:rsidRPr="006C65B4">
              <w:rPr>
                <w:color w:val="000000"/>
                <w:lang w:val="ru-RU"/>
              </w:rPr>
              <w:t>должностных обязанностей,</w:t>
            </w:r>
            <w:r w:rsidRPr="006C65B4">
              <w:rPr>
                <w:lang w:val="ru-RU"/>
              </w:rPr>
              <w:t xml:space="preserve"> точно отражающих их фактическую работу</w:t>
            </w:r>
          </w:p>
        </w:tc>
        <w:tc>
          <w:tcPr>
            <w:tcW w:w="3989" w:type="dxa"/>
          </w:tcPr>
          <w:p w14:paraId="79366C49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Описание должностных обязанностей для всех сотрудников</w:t>
            </w:r>
          </w:p>
        </w:tc>
        <w:tc>
          <w:tcPr>
            <w:tcW w:w="1683" w:type="dxa"/>
          </w:tcPr>
          <w:p w14:paraId="37E51AE4" w14:textId="77777777" w:rsidR="00780F31" w:rsidRPr="006C65B4" w:rsidRDefault="00780F31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44" w:type="dxa"/>
            <w:vMerge w:val="restart"/>
          </w:tcPr>
          <w:p w14:paraId="6B4565BB" w14:textId="2A6A01B0" w:rsidR="00780F31" w:rsidRPr="00855448" w:rsidRDefault="00AC5741" w:rsidP="00780F31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Была внедрена н</w:t>
            </w:r>
            <w:r w:rsidRPr="00AC5741">
              <w:rPr>
                <w:lang w:val="ru-RU"/>
              </w:rPr>
              <w:t xml:space="preserve">овая </w:t>
            </w:r>
            <w:r>
              <w:rPr>
                <w:lang w:val="ru-RU"/>
              </w:rPr>
              <w:t xml:space="preserve">электронная </w:t>
            </w:r>
            <w:r w:rsidRPr="00AC5741">
              <w:rPr>
                <w:lang w:val="ru-RU"/>
              </w:rPr>
              <w:t>система</w:t>
            </w:r>
            <w:r>
              <w:rPr>
                <w:lang w:val="ru-RU"/>
              </w:rPr>
              <w:t xml:space="preserve"> МСЭ по</w:t>
            </w:r>
            <w:r w:rsidRPr="00AC5741">
              <w:rPr>
                <w:lang w:val="ru-RU"/>
              </w:rPr>
              <w:t xml:space="preserve"> управлени</w:t>
            </w:r>
            <w:r>
              <w:rPr>
                <w:lang w:val="ru-RU"/>
              </w:rPr>
              <w:t xml:space="preserve">ю </w:t>
            </w:r>
            <w:r w:rsidRPr="00AC5741">
              <w:rPr>
                <w:lang w:val="ru-RU"/>
              </w:rPr>
              <w:t>показателями деятельности и профессионального развития (e-PMDS)</w:t>
            </w:r>
            <w:r>
              <w:rPr>
                <w:lang w:val="ru-RU"/>
              </w:rPr>
              <w:t xml:space="preserve">. </w:t>
            </w:r>
          </w:p>
        </w:tc>
      </w:tr>
      <w:tr w:rsidR="00780F31" w:rsidRPr="008A45F9" w14:paraId="588BEC09" w14:textId="77777777" w:rsidTr="00780F31">
        <w:trPr>
          <w:cantSplit/>
          <w:trHeight w:val="732"/>
        </w:trPr>
        <w:tc>
          <w:tcPr>
            <w:tcW w:w="3542" w:type="dxa"/>
            <w:vMerge/>
          </w:tcPr>
          <w:p w14:paraId="5E667CD8" w14:textId="77777777" w:rsidR="00780F31" w:rsidRPr="00855448" w:rsidRDefault="00780F31" w:rsidP="00780F31">
            <w:pPr>
              <w:pStyle w:val="Tabletext"/>
              <w:rPr>
                <w:lang w:val="ru-RU"/>
              </w:rPr>
            </w:pPr>
          </w:p>
        </w:tc>
        <w:tc>
          <w:tcPr>
            <w:tcW w:w="3989" w:type="dxa"/>
          </w:tcPr>
          <w:p w14:paraId="1CD0571E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 xml:space="preserve">Согласованность между </w:t>
            </w:r>
            <w:r w:rsidRPr="006C65B4">
              <w:rPr>
                <w:color w:val="000000"/>
                <w:lang w:val="ru-RU"/>
              </w:rPr>
              <w:t>должностными обязанностями</w:t>
            </w:r>
            <w:r w:rsidRPr="006C65B4">
              <w:rPr>
                <w:lang w:val="ru-RU"/>
              </w:rPr>
              <w:t xml:space="preserve"> и повседневной работой</w:t>
            </w:r>
          </w:p>
        </w:tc>
        <w:tc>
          <w:tcPr>
            <w:tcW w:w="1683" w:type="dxa"/>
            <w:shd w:val="clear" w:color="auto" w:fill="FFFFFF" w:themeFill="background1"/>
          </w:tcPr>
          <w:p w14:paraId="7FAADBE8" w14:textId="77777777" w:rsidR="00780F31" w:rsidRPr="006C65B4" w:rsidRDefault="00780F31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t>Работа ведется на постоянной основе</w:t>
            </w:r>
          </w:p>
        </w:tc>
        <w:tc>
          <w:tcPr>
            <w:tcW w:w="5344" w:type="dxa"/>
            <w:vMerge/>
          </w:tcPr>
          <w:p w14:paraId="58C35475" w14:textId="77777777" w:rsidR="00780F31" w:rsidRPr="006C65B4" w:rsidRDefault="00780F31" w:rsidP="00780F31">
            <w:pPr>
              <w:pStyle w:val="Tabletext"/>
              <w:rPr>
                <w:highlight w:val="yellow"/>
                <w:lang w:val="ru-RU"/>
              </w:rPr>
            </w:pPr>
          </w:p>
        </w:tc>
      </w:tr>
      <w:tr w:rsidR="00780F31" w:rsidRPr="008A45F9" w14:paraId="7A34B15C" w14:textId="77777777" w:rsidTr="00780F31">
        <w:trPr>
          <w:cantSplit/>
          <w:trHeight w:val="218"/>
        </w:trPr>
        <w:tc>
          <w:tcPr>
            <w:tcW w:w="3542" w:type="dxa"/>
            <w:vMerge w:val="restart"/>
          </w:tcPr>
          <w:p w14:paraId="0AEB05D1" w14:textId="77777777" w:rsidR="00780F31" w:rsidRPr="006C65B4" w:rsidRDefault="00780F31" w:rsidP="00780F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rPr>
                <w:lang w:val="ru-RU"/>
              </w:rPr>
            </w:pPr>
            <w:r w:rsidRPr="006C65B4">
              <w:rPr>
                <w:lang w:val="ru-RU"/>
              </w:rPr>
              <w:t>8</w:t>
            </w:r>
            <w:r w:rsidRPr="006C65B4">
              <w:rPr>
                <w:lang w:val="ru-RU"/>
              </w:rPr>
              <w:tab/>
              <w:t xml:space="preserve">Конкретизация политики в отношении отбора, найма и </w:t>
            </w:r>
            <w:r w:rsidRPr="006C65B4">
              <w:rPr>
                <w:color w:val="000000"/>
                <w:lang w:val="ru-RU"/>
              </w:rPr>
              <w:t xml:space="preserve">повторного использования услуг </w:t>
            </w:r>
            <w:r w:rsidRPr="006C65B4">
              <w:rPr>
                <w:color w:val="000000"/>
                <w:lang w:val="ru-RU"/>
              </w:rPr>
              <w:lastRenderedPageBreak/>
              <w:t>сотрудников, покинувших организацию</w:t>
            </w:r>
          </w:p>
        </w:tc>
        <w:tc>
          <w:tcPr>
            <w:tcW w:w="3989" w:type="dxa"/>
            <w:shd w:val="clear" w:color="auto" w:fill="auto"/>
          </w:tcPr>
          <w:p w14:paraId="754ACFA8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lastRenderedPageBreak/>
              <w:t>Политика найма, ограничивающая прием на работу членов семей и родственников сотрудников</w:t>
            </w:r>
          </w:p>
        </w:tc>
        <w:tc>
          <w:tcPr>
            <w:tcW w:w="1683" w:type="dxa"/>
            <w:shd w:val="clear" w:color="auto" w:fill="auto"/>
          </w:tcPr>
          <w:p w14:paraId="520D4ABA" w14:textId="77777777" w:rsidR="00780F31" w:rsidRPr="006C65B4" w:rsidRDefault="00780F31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44" w:type="dxa"/>
            <w:shd w:val="clear" w:color="auto" w:fill="auto"/>
          </w:tcPr>
          <w:p w14:paraId="62F8B495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 xml:space="preserve">Правило 4.7.1 </w:t>
            </w:r>
            <w:r w:rsidRPr="006C65B4">
              <w:rPr>
                <w:color w:val="000000"/>
                <w:lang w:val="ru-RU"/>
              </w:rPr>
              <w:t>Положений о персонале и Правил о персонале</w:t>
            </w:r>
            <w:r w:rsidRPr="006C65B4">
              <w:rPr>
                <w:lang w:val="ru-RU"/>
              </w:rPr>
              <w:t>.</w:t>
            </w:r>
          </w:p>
        </w:tc>
      </w:tr>
      <w:tr w:rsidR="00780F31" w:rsidRPr="008A45F9" w14:paraId="4C750999" w14:textId="77777777" w:rsidTr="00780F31">
        <w:trPr>
          <w:cantSplit/>
          <w:trHeight w:val="217"/>
        </w:trPr>
        <w:tc>
          <w:tcPr>
            <w:tcW w:w="3542" w:type="dxa"/>
            <w:vMerge/>
          </w:tcPr>
          <w:p w14:paraId="52851294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</w:p>
        </w:tc>
        <w:tc>
          <w:tcPr>
            <w:tcW w:w="3989" w:type="dxa"/>
            <w:shd w:val="clear" w:color="auto" w:fill="auto"/>
          </w:tcPr>
          <w:p w14:paraId="562690DB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Ограничения в отношении повторного использования услуг сотрудников, вышедших на пенсию/уволившихся из организации</w:t>
            </w:r>
          </w:p>
        </w:tc>
        <w:tc>
          <w:tcPr>
            <w:tcW w:w="1683" w:type="dxa"/>
            <w:shd w:val="clear" w:color="auto" w:fill="auto"/>
          </w:tcPr>
          <w:p w14:paraId="208FFA47" w14:textId="77777777" w:rsidR="00780F31" w:rsidRPr="006C65B4" w:rsidRDefault="00780F31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44" w:type="dxa"/>
            <w:shd w:val="clear" w:color="auto" w:fill="auto"/>
          </w:tcPr>
          <w:p w14:paraId="4E812BAA" w14:textId="6F776809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 xml:space="preserve">Уже принята политика в отношении пенсионеров (МСЭ применяет ограничения ООН) и сотрудников, покинувших организацию в </w:t>
            </w:r>
            <w:r w:rsidR="00710A50">
              <w:rPr>
                <w:lang w:val="ru-RU"/>
              </w:rPr>
              <w:t>р</w:t>
            </w:r>
            <w:r w:rsidRPr="006C65B4">
              <w:rPr>
                <w:lang w:val="ru-RU"/>
              </w:rPr>
              <w:t xml:space="preserve">амках программы </w:t>
            </w:r>
            <w:r w:rsidRPr="006C65B4">
              <w:rPr>
                <w:color w:val="000000"/>
                <w:lang w:val="ru-RU"/>
              </w:rPr>
              <w:t>досрочного прекращения службы</w:t>
            </w:r>
            <w:r w:rsidRPr="006C65B4">
              <w:rPr>
                <w:lang w:val="ru-RU"/>
              </w:rPr>
              <w:t>.</w:t>
            </w:r>
          </w:p>
        </w:tc>
      </w:tr>
      <w:tr w:rsidR="00780F31" w:rsidRPr="008A45F9" w14:paraId="0AFDFA8E" w14:textId="77777777" w:rsidTr="00780F31">
        <w:trPr>
          <w:cantSplit/>
        </w:trPr>
        <w:tc>
          <w:tcPr>
            <w:tcW w:w="3542" w:type="dxa"/>
            <w:shd w:val="clear" w:color="auto" w:fill="FFFFFF" w:themeFill="background1"/>
          </w:tcPr>
          <w:p w14:paraId="40FE218D" w14:textId="77777777" w:rsidR="00780F31" w:rsidRPr="006C65B4" w:rsidRDefault="00780F31" w:rsidP="00780F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rPr>
                <w:lang w:val="ru-RU"/>
              </w:rPr>
            </w:pPr>
            <w:r w:rsidRPr="006C65B4">
              <w:rPr>
                <w:lang w:val="ru-RU"/>
              </w:rPr>
              <w:t>9</w:t>
            </w:r>
            <w:r w:rsidRPr="006C65B4">
              <w:rPr>
                <w:lang w:val="ru-RU"/>
              </w:rPr>
              <w:tab/>
              <w:t>Организация имеет официальную политику управления рисками, которая должна реализовываться на базе согласованной методики</w:t>
            </w:r>
          </w:p>
        </w:tc>
        <w:tc>
          <w:tcPr>
            <w:tcW w:w="3989" w:type="dxa"/>
            <w:shd w:val="clear" w:color="auto" w:fill="FFFFFF" w:themeFill="background1"/>
          </w:tcPr>
          <w:p w14:paraId="7059F86F" w14:textId="77777777" w:rsidR="00780F31" w:rsidRPr="006C65B4" w:rsidRDefault="00780F31" w:rsidP="00780F31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Анализ рисков проводится в отношении каждого подразделения/проекта/процесса, и в организации существует план в области рисков</w:t>
            </w:r>
          </w:p>
        </w:tc>
        <w:tc>
          <w:tcPr>
            <w:tcW w:w="1683" w:type="dxa"/>
            <w:shd w:val="clear" w:color="auto" w:fill="FFFFFF" w:themeFill="background1"/>
          </w:tcPr>
          <w:p w14:paraId="469CAED6" w14:textId="43A53B31" w:rsidR="00780F31" w:rsidRPr="006C65B4" w:rsidRDefault="002D5503" w:rsidP="00780F31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t>Работа ведется на постоянной основе</w:t>
            </w:r>
          </w:p>
        </w:tc>
        <w:tc>
          <w:tcPr>
            <w:tcW w:w="5344" w:type="dxa"/>
            <w:shd w:val="clear" w:color="auto" w:fill="FFFFFF" w:themeFill="background1"/>
          </w:tcPr>
          <w:p w14:paraId="03EC32F8" w14:textId="620FB48A" w:rsidR="00780F31" w:rsidRPr="007E3573" w:rsidRDefault="001C7C3C" w:rsidP="00780F31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780F31" w:rsidRPr="006C65B4">
              <w:rPr>
                <w:lang w:val="ru-RU"/>
              </w:rPr>
              <w:t xml:space="preserve">олитика управления рисками </w:t>
            </w:r>
            <w:r w:rsidR="00780F31" w:rsidRPr="006C65B4">
              <w:rPr>
                <w:color w:val="000000"/>
                <w:lang w:val="ru-RU"/>
              </w:rPr>
              <w:t>и заявление о готовности к принятию рисков</w:t>
            </w:r>
            <w:r w:rsidR="00780F31" w:rsidRPr="006C65B4">
              <w:rPr>
                <w:lang w:val="ru-RU"/>
              </w:rPr>
              <w:t xml:space="preserve"> были одобрены сессией Совета 2017 года</w:t>
            </w:r>
            <w:r>
              <w:rPr>
                <w:lang w:val="ru-RU"/>
              </w:rPr>
              <w:t xml:space="preserve"> и </w:t>
            </w:r>
            <w:r w:rsidR="00DC6B5C">
              <w:rPr>
                <w:lang w:val="ru-RU"/>
              </w:rPr>
              <w:t xml:space="preserve">с тех пор </w:t>
            </w:r>
            <w:r w:rsidRPr="007E3573">
              <w:rPr>
                <w:lang w:val="ru-RU"/>
              </w:rPr>
              <w:t>осуществляются в МСЭ</w:t>
            </w:r>
            <w:r w:rsidR="00780F31" w:rsidRPr="007E3573">
              <w:rPr>
                <w:lang w:val="ru-RU"/>
              </w:rPr>
              <w:t>.</w:t>
            </w:r>
          </w:p>
          <w:p w14:paraId="176C04CD" w14:textId="476A111A" w:rsidR="00780F31" w:rsidRPr="006C65B4" w:rsidRDefault="00DC6B5C" w:rsidP="00780F31">
            <w:pPr>
              <w:pStyle w:val="Tabletext"/>
              <w:rPr>
                <w:lang w:val="ru-RU"/>
              </w:rPr>
            </w:pPr>
            <w:r w:rsidRPr="007E3573">
              <w:rPr>
                <w:lang w:val="ru-RU"/>
              </w:rPr>
              <w:t>Проводится а</w:t>
            </w:r>
            <w:r w:rsidR="00780F31" w:rsidRPr="007E3573">
              <w:rPr>
                <w:lang w:val="ru-RU"/>
              </w:rPr>
              <w:t>нализ рисков</w:t>
            </w:r>
            <w:r w:rsidRPr="007E3573">
              <w:rPr>
                <w:lang w:val="ru-RU"/>
              </w:rPr>
              <w:t xml:space="preserve"> и </w:t>
            </w:r>
            <w:r w:rsidR="007E3573" w:rsidRPr="007E3573">
              <w:rPr>
                <w:lang w:val="ru-RU"/>
              </w:rPr>
              <w:t xml:space="preserve">отслеживаются </w:t>
            </w:r>
            <w:r w:rsidR="00DC29EC" w:rsidRPr="007E3573">
              <w:rPr>
                <w:lang w:val="ru-RU"/>
              </w:rPr>
              <w:t xml:space="preserve">показатели </w:t>
            </w:r>
            <w:r w:rsidR="00780F31" w:rsidRPr="007E3573">
              <w:rPr>
                <w:lang w:val="ru-RU"/>
              </w:rPr>
              <w:t>рисков, а содержащаяся в них информация отражается</w:t>
            </w:r>
            <w:r w:rsidR="00780F31" w:rsidRPr="006C65B4">
              <w:rPr>
                <w:lang w:val="ru-RU"/>
              </w:rPr>
              <w:t xml:space="preserve"> в </w:t>
            </w:r>
            <w:r w:rsidR="00780F31" w:rsidRPr="006C65B4">
              <w:rPr>
                <w:color w:val="000000"/>
                <w:lang w:val="ru-RU"/>
              </w:rPr>
              <w:t>оперативных планах Секторов и Генерального секретариата</w:t>
            </w:r>
            <w:r w:rsidR="00780F31" w:rsidRPr="006C65B4">
              <w:rPr>
                <w:lang w:val="ru-RU"/>
              </w:rPr>
              <w:t>.</w:t>
            </w:r>
          </w:p>
          <w:p w14:paraId="06F18BE2" w14:textId="606014DE" w:rsidR="002B788D" w:rsidRPr="002B788D" w:rsidRDefault="00021080" w:rsidP="002B788D">
            <w:pPr>
              <w:pStyle w:val="Tabletext"/>
              <w:rPr>
                <w:lang w:val="ru-RU"/>
              </w:rPr>
            </w:pPr>
            <w:r w:rsidRPr="00021080">
              <w:rPr>
                <w:lang w:val="ru-RU"/>
              </w:rPr>
              <w:t>В</w:t>
            </w:r>
            <w:r w:rsidRPr="005D7BC5">
              <w:rPr>
                <w:lang w:val="ru-RU"/>
              </w:rPr>
              <w:t xml:space="preserve"> </w:t>
            </w:r>
            <w:r w:rsidRPr="00021080">
              <w:rPr>
                <w:lang w:val="ru-RU"/>
              </w:rPr>
              <w:t>феврале</w:t>
            </w:r>
            <w:r w:rsidRPr="005D7BC5">
              <w:rPr>
                <w:lang w:val="ru-RU"/>
              </w:rPr>
              <w:t xml:space="preserve"> 2020 </w:t>
            </w:r>
            <w:r w:rsidRPr="00021080">
              <w:rPr>
                <w:lang w:val="ru-RU"/>
              </w:rPr>
              <w:t>года</w:t>
            </w:r>
            <w:r w:rsidRPr="005D7BC5">
              <w:rPr>
                <w:lang w:val="ru-RU"/>
              </w:rPr>
              <w:t xml:space="preserve"> </w:t>
            </w:r>
            <w:r w:rsidRPr="00021080">
              <w:rPr>
                <w:lang w:val="ru-RU"/>
              </w:rPr>
              <w:t>РГС</w:t>
            </w:r>
            <w:r w:rsidRPr="005D7BC5">
              <w:rPr>
                <w:lang w:val="ru-RU"/>
              </w:rPr>
              <w:t>-</w:t>
            </w:r>
            <w:r w:rsidRPr="00021080">
              <w:rPr>
                <w:lang w:val="ru-RU"/>
              </w:rPr>
              <w:t>ФЛР</w:t>
            </w:r>
            <w:r w:rsidRPr="005D7B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был</w:t>
            </w:r>
            <w:r w:rsidRPr="005D7B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представлен</w:t>
            </w:r>
            <w:r w:rsidRPr="005D7B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план</w:t>
            </w:r>
            <w:r w:rsidRPr="005D7B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действий</w:t>
            </w:r>
            <w:r w:rsidRPr="005D7B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5D7B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укреплению</w:t>
            </w:r>
            <w:r w:rsidRPr="005D7B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системы</w:t>
            </w:r>
            <w:r w:rsidRPr="005D7B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управления</w:t>
            </w:r>
            <w:r w:rsidRPr="005D7B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рисками</w:t>
            </w:r>
            <w:r w:rsidRPr="005D7B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МСЭ</w:t>
            </w:r>
            <w:r w:rsidRPr="005D7BC5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который</w:t>
            </w:r>
            <w:r w:rsidRPr="005D7BC5">
              <w:rPr>
                <w:lang w:val="ru-RU"/>
              </w:rPr>
              <w:t xml:space="preserve"> </w:t>
            </w:r>
            <w:r w:rsidR="005D7BC5">
              <w:rPr>
                <w:lang w:val="ru-RU"/>
              </w:rPr>
              <w:t xml:space="preserve">основан </w:t>
            </w:r>
            <w:r w:rsidR="005D7BC5" w:rsidRPr="005D7BC5">
              <w:rPr>
                <w:lang w:val="ru-RU"/>
              </w:rPr>
              <w:t xml:space="preserve">на </w:t>
            </w:r>
            <w:r w:rsidR="005D7BC5">
              <w:rPr>
                <w:lang w:val="ru-RU"/>
              </w:rPr>
              <w:t>принятой КВУУ ОО</w:t>
            </w:r>
            <w:r w:rsidR="005D7BC5" w:rsidRPr="005D7BC5">
              <w:rPr>
                <w:lang w:val="ru-RU"/>
              </w:rPr>
              <w:t>Н модели зрелости для управления рисками</w:t>
            </w:r>
            <w:r w:rsidR="005D7BC5">
              <w:rPr>
                <w:lang w:val="ru-RU"/>
              </w:rPr>
              <w:t xml:space="preserve"> и подразумевает </w:t>
            </w:r>
            <w:r>
              <w:rPr>
                <w:lang w:val="ru-RU"/>
              </w:rPr>
              <w:t>пересмотр</w:t>
            </w:r>
            <w:r w:rsidRPr="005D7B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политики</w:t>
            </w:r>
            <w:r w:rsidRPr="005D7B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управлени</w:t>
            </w:r>
            <w:r w:rsidR="002B788D">
              <w:rPr>
                <w:lang w:val="ru-RU"/>
              </w:rPr>
              <w:t>я</w:t>
            </w:r>
            <w:r w:rsidRPr="005D7B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рисками</w:t>
            </w:r>
            <w:r w:rsidR="005D7BC5">
              <w:rPr>
                <w:lang w:val="ru-RU"/>
              </w:rPr>
              <w:t xml:space="preserve"> и порядка</w:t>
            </w:r>
            <w:r w:rsidR="005D7BC5" w:rsidRPr="005D7BC5">
              <w:rPr>
                <w:lang w:val="ru-RU"/>
              </w:rPr>
              <w:t xml:space="preserve"> </w:t>
            </w:r>
            <w:r w:rsidR="005D7BC5">
              <w:rPr>
                <w:lang w:val="ru-RU"/>
              </w:rPr>
              <w:t>ее</w:t>
            </w:r>
            <w:r w:rsidR="005D7BC5" w:rsidRPr="005D7BC5">
              <w:rPr>
                <w:lang w:val="ru-RU"/>
              </w:rPr>
              <w:t xml:space="preserve"> </w:t>
            </w:r>
            <w:r w:rsidR="005D7BC5">
              <w:rPr>
                <w:lang w:val="ru-RU"/>
              </w:rPr>
              <w:t>осуществления; этот план действий будет</w:t>
            </w:r>
            <w:r w:rsidR="00F8165C">
              <w:rPr>
                <w:lang w:val="ru-RU"/>
              </w:rPr>
              <w:t xml:space="preserve"> реализовываться на практике, </w:t>
            </w:r>
            <w:r w:rsidR="002B788D">
              <w:rPr>
                <w:lang w:val="ru-RU"/>
              </w:rPr>
              <w:t>а</w:t>
            </w:r>
            <w:r w:rsidR="00F8165C">
              <w:rPr>
                <w:lang w:val="ru-RU"/>
              </w:rPr>
              <w:t xml:space="preserve"> сессии Совета 2020 года будут представлены промежуточные результаты.</w:t>
            </w:r>
            <w:r w:rsidR="005D7BC5">
              <w:rPr>
                <w:lang w:val="ru-RU"/>
              </w:rPr>
              <w:t xml:space="preserve"> </w:t>
            </w:r>
          </w:p>
          <w:p w14:paraId="2600E27F" w14:textId="1C55141E" w:rsidR="00780F31" w:rsidRPr="006C65B4" w:rsidRDefault="00A14629" w:rsidP="002B788D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 xml:space="preserve">МСЭ вводит в действие </w:t>
            </w:r>
            <w:r w:rsidR="005D7BC5" w:rsidRPr="002B788D">
              <w:rPr>
                <w:lang w:val="ru-RU"/>
              </w:rPr>
              <w:t xml:space="preserve">Систему обеспечения организационной жизнеспособности </w:t>
            </w:r>
            <w:r w:rsidRPr="002B788D">
              <w:rPr>
                <w:lang w:val="ru-RU"/>
              </w:rPr>
              <w:t xml:space="preserve">(ORMS) </w:t>
            </w:r>
            <w:r w:rsidRPr="002B788D">
              <w:rPr>
                <w:color w:val="000000"/>
                <w:lang w:val="ru-RU"/>
              </w:rPr>
              <w:t>и основные</w:t>
            </w:r>
            <w:r w:rsidRPr="006C65B4">
              <w:rPr>
                <w:color w:val="000000"/>
                <w:lang w:val="ru-RU"/>
              </w:rPr>
              <w:t xml:space="preserve"> элементы управления в кризисных ситуациях</w:t>
            </w:r>
            <w:r w:rsidRPr="006C65B4">
              <w:rPr>
                <w:lang w:val="ru-RU"/>
              </w:rPr>
              <w:t>.</w:t>
            </w:r>
          </w:p>
        </w:tc>
      </w:tr>
      <w:tr w:rsidR="00780F31" w:rsidRPr="006C65B4" w14:paraId="6DDEDC3A" w14:textId="77777777" w:rsidTr="00780F31">
        <w:trPr>
          <w:cantSplit/>
        </w:trPr>
        <w:tc>
          <w:tcPr>
            <w:tcW w:w="3542" w:type="dxa"/>
            <w:vMerge w:val="restart"/>
            <w:shd w:val="clear" w:color="auto" w:fill="FFFFFF" w:themeFill="background1"/>
          </w:tcPr>
          <w:p w14:paraId="4C81D9F3" w14:textId="77777777" w:rsidR="00780F31" w:rsidRPr="006C65B4" w:rsidRDefault="00780F31" w:rsidP="00780F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rPr>
                <w:lang w:val="ru-RU"/>
              </w:rPr>
            </w:pPr>
            <w:r w:rsidRPr="006C65B4">
              <w:rPr>
                <w:lang w:val="ru-RU"/>
              </w:rPr>
              <w:t>10</w:t>
            </w:r>
            <w:r w:rsidRPr="006C65B4">
              <w:rPr>
                <w:lang w:val="ru-RU"/>
              </w:rPr>
              <w:tab/>
              <w:t>Цепочка управления и делегирование полномочий выверены, четко определены, согласованы и интегрированы в существующие системы планирования ресурсов предприятия (ERP)</w:t>
            </w:r>
          </w:p>
        </w:tc>
        <w:tc>
          <w:tcPr>
            <w:tcW w:w="3989" w:type="dxa"/>
            <w:shd w:val="clear" w:color="auto" w:fill="FFFFFF" w:themeFill="background1"/>
          </w:tcPr>
          <w:p w14:paraId="2C931A3E" w14:textId="77777777" w:rsidR="00780F31" w:rsidRPr="006C65B4" w:rsidRDefault="00780F31" w:rsidP="00780F31">
            <w:pPr>
              <w:pStyle w:val="Tabletext"/>
              <w:keepNext/>
              <w:keepLines/>
              <w:rPr>
                <w:lang w:val="ru-RU"/>
              </w:rPr>
            </w:pPr>
            <w:r w:rsidRPr="006C65B4">
              <w:rPr>
                <w:lang w:val="ru-RU"/>
              </w:rPr>
              <w:t>Четкое определение делегирования полномочий</w:t>
            </w:r>
          </w:p>
        </w:tc>
        <w:tc>
          <w:tcPr>
            <w:tcW w:w="1683" w:type="dxa"/>
            <w:shd w:val="clear" w:color="auto" w:fill="auto"/>
          </w:tcPr>
          <w:p w14:paraId="226283A2" w14:textId="30807120" w:rsidR="00780F31" w:rsidRPr="006C65B4" w:rsidRDefault="002D5503" w:rsidP="00780F31">
            <w:pPr>
              <w:pStyle w:val="Tabletext"/>
              <w:keepNext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44" w:type="dxa"/>
            <w:shd w:val="clear" w:color="auto" w:fill="auto"/>
          </w:tcPr>
          <w:p w14:paraId="38609FCA" w14:textId="205E4367" w:rsidR="00780F31" w:rsidRPr="006C65B4" w:rsidRDefault="006751F3" w:rsidP="00780F31">
            <w:pPr>
              <w:pStyle w:val="Tabletext"/>
              <w:keepNext/>
              <w:rPr>
                <w:lang w:val="ru-RU"/>
              </w:rPr>
            </w:pPr>
            <w:r w:rsidRPr="006C65B4">
              <w:rPr>
                <w:lang w:val="ru-RU"/>
              </w:rPr>
              <w:t>См. показатель 1.</w:t>
            </w:r>
          </w:p>
        </w:tc>
      </w:tr>
      <w:tr w:rsidR="006751F3" w:rsidRPr="006C65B4" w14:paraId="6536F7AA" w14:textId="77777777" w:rsidTr="00780F31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14:paraId="19B380BA" w14:textId="77777777" w:rsidR="006751F3" w:rsidRPr="006C65B4" w:rsidRDefault="006751F3" w:rsidP="006751F3">
            <w:pPr>
              <w:pStyle w:val="Tabletext"/>
              <w:keepNext/>
              <w:rPr>
                <w:lang w:val="ru-RU"/>
              </w:rPr>
            </w:pPr>
          </w:p>
        </w:tc>
        <w:tc>
          <w:tcPr>
            <w:tcW w:w="3989" w:type="dxa"/>
            <w:shd w:val="clear" w:color="auto" w:fill="FFFFFF" w:themeFill="background1"/>
          </w:tcPr>
          <w:p w14:paraId="165E2987" w14:textId="77777777" w:rsidR="006751F3" w:rsidRPr="006C65B4" w:rsidRDefault="006751F3" w:rsidP="006751F3">
            <w:pPr>
              <w:pStyle w:val="Tabletext"/>
              <w:keepNext/>
              <w:keepLines/>
              <w:rPr>
                <w:lang w:val="ru-RU"/>
              </w:rPr>
            </w:pPr>
            <w:r w:rsidRPr="006C65B4">
              <w:rPr>
                <w:lang w:val="ru-RU"/>
              </w:rPr>
              <w:t>Согласованность между линией управления, делегированием полномочий и четким функциональным подчинением</w:t>
            </w:r>
          </w:p>
        </w:tc>
        <w:tc>
          <w:tcPr>
            <w:tcW w:w="1683" w:type="dxa"/>
            <w:shd w:val="clear" w:color="auto" w:fill="auto"/>
          </w:tcPr>
          <w:p w14:paraId="356BDE3C" w14:textId="5526C34A" w:rsidR="006751F3" w:rsidRPr="006C65B4" w:rsidRDefault="002D5503" w:rsidP="006751F3">
            <w:pPr>
              <w:pStyle w:val="Tabletext"/>
              <w:keepNext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t>В стадии реализации</w:t>
            </w:r>
          </w:p>
        </w:tc>
        <w:tc>
          <w:tcPr>
            <w:tcW w:w="5344" w:type="dxa"/>
            <w:shd w:val="clear" w:color="auto" w:fill="auto"/>
          </w:tcPr>
          <w:p w14:paraId="06397480" w14:textId="042D2D03" w:rsidR="006751F3" w:rsidRPr="006C65B4" w:rsidRDefault="006751F3" w:rsidP="006751F3">
            <w:pPr>
              <w:pStyle w:val="Tabletext"/>
              <w:keepNext/>
              <w:rPr>
                <w:lang w:val="ru-RU"/>
              </w:rPr>
            </w:pPr>
            <w:r w:rsidRPr="006C65B4">
              <w:rPr>
                <w:lang w:val="ru-RU"/>
              </w:rPr>
              <w:t>См. показатель 1.</w:t>
            </w:r>
          </w:p>
        </w:tc>
      </w:tr>
      <w:tr w:rsidR="006751F3" w:rsidRPr="008A45F9" w14:paraId="7F530A43" w14:textId="77777777" w:rsidTr="00780F31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14:paraId="08C81232" w14:textId="77777777" w:rsidR="006751F3" w:rsidRPr="006C65B4" w:rsidRDefault="006751F3" w:rsidP="006751F3">
            <w:pPr>
              <w:pStyle w:val="Tabletext"/>
              <w:keepNext/>
              <w:rPr>
                <w:lang w:val="ru-RU"/>
              </w:rPr>
            </w:pPr>
          </w:p>
        </w:tc>
        <w:tc>
          <w:tcPr>
            <w:tcW w:w="3989" w:type="dxa"/>
            <w:shd w:val="clear" w:color="auto" w:fill="FFFFFF" w:themeFill="background1"/>
          </w:tcPr>
          <w:p w14:paraId="7E6ECF0B" w14:textId="77777777" w:rsidR="006751F3" w:rsidRPr="006C65B4" w:rsidRDefault="006751F3" w:rsidP="006751F3">
            <w:pPr>
              <w:pStyle w:val="Tabletext"/>
              <w:keepNext/>
              <w:rPr>
                <w:lang w:val="ru-RU"/>
              </w:rPr>
            </w:pPr>
            <w:r w:rsidRPr="006C65B4">
              <w:rPr>
                <w:lang w:val="ru-RU"/>
              </w:rPr>
              <w:t>Делегирование полномочий встроено в существующие системы ERP</w:t>
            </w:r>
          </w:p>
        </w:tc>
        <w:tc>
          <w:tcPr>
            <w:tcW w:w="1683" w:type="dxa"/>
            <w:shd w:val="clear" w:color="auto" w:fill="auto"/>
          </w:tcPr>
          <w:p w14:paraId="7C09D2C0" w14:textId="4A809372" w:rsidR="006751F3" w:rsidRPr="006C65B4" w:rsidRDefault="002D5503" w:rsidP="006751F3">
            <w:pPr>
              <w:pStyle w:val="Tabletext"/>
              <w:keepNext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t>В стадии реализации</w:t>
            </w:r>
          </w:p>
        </w:tc>
        <w:tc>
          <w:tcPr>
            <w:tcW w:w="5344" w:type="dxa"/>
            <w:shd w:val="clear" w:color="auto" w:fill="auto"/>
          </w:tcPr>
          <w:p w14:paraId="1FE71666" w14:textId="19CB31FE" w:rsidR="006751F3" w:rsidRPr="006C65B4" w:rsidRDefault="006751F3" w:rsidP="006751F3">
            <w:pPr>
              <w:pStyle w:val="Tabletext"/>
              <w:keepNext/>
              <w:rPr>
                <w:lang w:val="ru-RU"/>
              </w:rPr>
            </w:pPr>
            <w:r w:rsidRPr="006C65B4">
              <w:rPr>
                <w:lang w:val="ru-RU"/>
              </w:rPr>
              <w:t>Доступ к системе ERP основан на разграничении обязанностей.</w:t>
            </w:r>
          </w:p>
        </w:tc>
      </w:tr>
      <w:tr w:rsidR="006751F3" w:rsidRPr="008A45F9" w14:paraId="617CA743" w14:textId="77777777" w:rsidTr="00780F31">
        <w:trPr>
          <w:cantSplit/>
        </w:trPr>
        <w:tc>
          <w:tcPr>
            <w:tcW w:w="3542" w:type="dxa"/>
            <w:vMerge w:val="restart"/>
            <w:shd w:val="clear" w:color="auto" w:fill="FFFFFF" w:themeFill="background1"/>
          </w:tcPr>
          <w:p w14:paraId="2FBDA9EC" w14:textId="77777777" w:rsidR="006751F3" w:rsidRPr="006C65B4" w:rsidRDefault="006751F3" w:rsidP="006751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rPr>
                <w:lang w:val="ru-RU"/>
              </w:rPr>
            </w:pPr>
            <w:r w:rsidRPr="006C65B4">
              <w:rPr>
                <w:lang w:val="ru-RU"/>
              </w:rPr>
              <w:t>11</w:t>
            </w:r>
            <w:r w:rsidRPr="006C65B4">
              <w:rPr>
                <w:lang w:val="ru-RU"/>
              </w:rPr>
              <w:tab/>
            </w:r>
            <w:r w:rsidRPr="006C65B4">
              <w:rPr>
                <w:color w:val="000000"/>
                <w:lang w:val="ru-RU"/>
              </w:rPr>
              <w:t>Финансовый регламент и Финансовые правила</w:t>
            </w:r>
            <w:r w:rsidRPr="006C65B4">
              <w:rPr>
                <w:lang w:val="ru-RU"/>
              </w:rPr>
              <w:t xml:space="preserve"> (FRR) в организациях системы Организации </w:t>
            </w:r>
            <w:r w:rsidRPr="006C65B4">
              <w:rPr>
                <w:lang w:val="ru-RU"/>
              </w:rPr>
              <w:lastRenderedPageBreak/>
              <w:t>Объединенных Наций должен содержать положения, касающиеся борьбы с мошенничеством и финансовыми злоупотреблениями, которые должны применяться на практике</w:t>
            </w:r>
          </w:p>
        </w:tc>
        <w:tc>
          <w:tcPr>
            <w:tcW w:w="3989" w:type="dxa"/>
            <w:shd w:val="clear" w:color="auto" w:fill="FFFFFF" w:themeFill="background1"/>
          </w:tcPr>
          <w:p w14:paraId="1A2C86B2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lastRenderedPageBreak/>
              <w:t>FRR</w:t>
            </w:r>
          </w:p>
        </w:tc>
        <w:tc>
          <w:tcPr>
            <w:tcW w:w="1683" w:type="dxa"/>
            <w:shd w:val="clear" w:color="auto" w:fill="auto"/>
          </w:tcPr>
          <w:p w14:paraId="39382AD7" w14:textId="77777777" w:rsidR="006751F3" w:rsidRPr="006C65B4" w:rsidRDefault="006751F3" w:rsidP="006751F3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44" w:type="dxa"/>
            <w:shd w:val="clear" w:color="auto" w:fill="auto"/>
          </w:tcPr>
          <w:p w14:paraId="3AD03B38" w14:textId="5C90D6B6" w:rsidR="006751F3" w:rsidRPr="006C65B4" w:rsidRDefault="008A45F9" w:rsidP="006751F3">
            <w:pPr>
              <w:pStyle w:val="Tabletext"/>
              <w:rPr>
                <w:lang w:val="ru-RU"/>
              </w:rPr>
            </w:pPr>
            <w:hyperlink r:id="rId19" w:history="1">
              <w:r w:rsidR="003832DF">
                <w:rPr>
                  <w:rStyle w:val="Hyperlink"/>
                  <w:lang w:val="ru-RU"/>
                </w:rPr>
                <w:t>https://www.itu.int/en/council/Documents/Financial-Regulations/S-GEN-REG_RGTFIN-2018-PDF-R.pdf</w:t>
              </w:r>
            </w:hyperlink>
            <w:r w:rsidR="006751F3" w:rsidRPr="006C65B4">
              <w:rPr>
                <w:lang w:val="ru-RU"/>
              </w:rPr>
              <w:t xml:space="preserve"> </w:t>
            </w:r>
          </w:p>
        </w:tc>
      </w:tr>
      <w:tr w:rsidR="006751F3" w:rsidRPr="008A45F9" w14:paraId="7A5A27E8" w14:textId="77777777" w:rsidTr="00780F31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14:paraId="06299FF7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</w:p>
        </w:tc>
        <w:tc>
          <w:tcPr>
            <w:tcW w:w="3989" w:type="dxa"/>
            <w:shd w:val="clear" w:color="auto" w:fill="FFFFFF" w:themeFill="background1"/>
          </w:tcPr>
          <w:p w14:paraId="05EA8C6B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Заявления о конфликте интересов</w:t>
            </w:r>
          </w:p>
        </w:tc>
        <w:tc>
          <w:tcPr>
            <w:tcW w:w="1683" w:type="dxa"/>
            <w:shd w:val="clear" w:color="auto" w:fill="FFFFFF" w:themeFill="background1"/>
          </w:tcPr>
          <w:p w14:paraId="12199581" w14:textId="77777777" w:rsidR="006751F3" w:rsidRPr="006C65B4" w:rsidRDefault="006751F3" w:rsidP="006751F3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44" w:type="dxa"/>
            <w:vMerge w:val="restart"/>
            <w:shd w:val="clear" w:color="auto" w:fill="FFFFFF" w:themeFill="background1"/>
          </w:tcPr>
          <w:p w14:paraId="7A8924EA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МСЭ ведет ежегодное заявление о потенциальном конфликте интересов, касающееся финансовых вопросов и вопросов закупок, согласно нормам этики.</w:t>
            </w:r>
          </w:p>
        </w:tc>
      </w:tr>
      <w:tr w:rsidR="006751F3" w:rsidRPr="006C65B4" w14:paraId="7D6D0A16" w14:textId="77777777" w:rsidTr="00780F31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14:paraId="6FB9D5B5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</w:p>
        </w:tc>
        <w:tc>
          <w:tcPr>
            <w:tcW w:w="3989" w:type="dxa"/>
            <w:shd w:val="clear" w:color="auto" w:fill="FFFFFF" w:themeFill="background1"/>
          </w:tcPr>
          <w:p w14:paraId="47486648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color w:val="000000"/>
                <w:lang w:val="ru-RU"/>
              </w:rPr>
              <w:t>Заявления о раскрытии финансовой информации</w:t>
            </w:r>
          </w:p>
        </w:tc>
        <w:tc>
          <w:tcPr>
            <w:tcW w:w="1683" w:type="dxa"/>
            <w:shd w:val="clear" w:color="auto" w:fill="FFFFFF" w:themeFill="background1"/>
          </w:tcPr>
          <w:p w14:paraId="3F88B6CB" w14:textId="77777777" w:rsidR="006751F3" w:rsidRPr="006C65B4" w:rsidRDefault="006751F3" w:rsidP="006751F3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44" w:type="dxa"/>
            <w:vMerge/>
            <w:shd w:val="clear" w:color="auto" w:fill="FFFFFF" w:themeFill="background1"/>
          </w:tcPr>
          <w:p w14:paraId="7AD94D07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</w:p>
        </w:tc>
      </w:tr>
      <w:tr w:rsidR="006751F3" w:rsidRPr="008A45F9" w14:paraId="636CDAF9" w14:textId="77777777" w:rsidTr="00780F31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14:paraId="5B28FAA2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</w:p>
        </w:tc>
        <w:tc>
          <w:tcPr>
            <w:tcW w:w="3989" w:type="dxa"/>
            <w:shd w:val="clear" w:color="auto" w:fill="FFFFFF" w:themeFill="background1"/>
          </w:tcPr>
          <w:p w14:paraId="4E23F071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 xml:space="preserve">Политика противодействия </w:t>
            </w:r>
            <w:r w:rsidRPr="006C65B4">
              <w:rPr>
                <w:color w:val="000000"/>
                <w:lang w:val="ru-RU"/>
              </w:rPr>
              <w:t>мошенничеству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14:paraId="53CC05DA" w14:textId="06B10F8B" w:rsidR="006751F3" w:rsidRPr="006C65B4" w:rsidRDefault="002D5503" w:rsidP="006751F3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44" w:type="dxa"/>
            <w:tcBorders>
              <w:bottom w:val="single" w:sz="4" w:space="0" w:color="auto"/>
            </w:tcBorders>
            <w:shd w:val="clear" w:color="auto" w:fill="auto"/>
          </w:tcPr>
          <w:p w14:paraId="55095E20" w14:textId="6F531EB7" w:rsidR="006751F3" w:rsidRPr="006C65B4" w:rsidRDefault="008A45F9" w:rsidP="006751F3">
            <w:pPr>
              <w:pStyle w:val="Tabletext"/>
              <w:rPr>
                <w:lang w:val="ru-RU"/>
              </w:rPr>
            </w:pPr>
            <w:hyperlink r:id="rId20" w:history="1">
              <w:r w:rsidR="006751F3" w:rsidRPr="006C65B4">
                <w:rPr>
                  <w:rStyle w:val="Hyperlink"/>
                  <w:lang w:val="ru-RU"/>
                </w:rPr>
                <w:t>https://www.itu.int/en/ethics/Documents/SO-2019-009-en.pdf</w:t>
              </w:r>
            </w:hyperlink>
            <w:r w:rsidR="006751F3" w:rsidRPr="006C65B4">
              <w:rPr>
                <w:lang w:val="ru-RU"/>
              </w:rPr>
              <w:t xml:space="preserve"> </w:t>
            </w:r>
          </w:p>
        </w:tc>
      </w:tr>
      <w:tr w:rsidR="006751F3" w:rsidRPr="008A45F9" w14:paraId="5B11CFCE" w14:textId="77777777" w:rsidTr="00780F31">
        <w:trPr>
          <w:cantSplit/>
        </w:trPr>
        <w:tc>
          <w:tcPr>
            <w:tcW w:w="3542" w:type="dxa"/>
            <w:shd w:val="clear" w:color="auto" w:fill="FFFFFF" w:themeFill="background1"/>
          </w:tcPr>
          <w:p w14:paraId="62196B21" w14:textId="77777777" w:rsidR="006751F3" w:rsidRPr="006C65B4" w:rsidRDefault="006751F3" w:rsidP="006751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rPr>
                <w:lang w:val="ru-RU"/>
              </w:rPr>
            </w:pPr>
            <w:r w:rsidRPr="006C65B4">
              <w:rPr>
                <w:lang w:val="ru-RU"/>
              </w:rPr>
              <w:t>12</w:t>
            </w:r>
            <w:r w:rsidRPr="006C65B4">
              <w:rPr>
                <w:lang w:val="ru-RU"/>
              </w:rPr>
              <w:tab/>
              <w:t>Руководители подтверждают соблюдение требований внутреннего контроля в контексте делегирования им полномочий</w:t>
            </w:r>
          </w:p>
        </w:tc>
        <w:tc>
          <w:tcPr>
            <w:tcW w:w="3989" w:type="dxa"/>
            <w:shd w:val="clear" w:color="auto" w:fill="FFFFFF" w:themeFill="background1"/>
          </w:tcPr>
          <w:p w14:paraId="042FC7AE" w14:textId="3BA89FE1" w:rsidR="006751F3" w:rsidRPr="006C65B4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Письмо/форма-подтверждение/</w:t>
            </w:r>
            <w:r w:rsidRPr="006C65B4">
              <w:rPr>
                <w:lang w:val="ru-RU"/>
              </w:rPr>
              <w:br/>
              <w:t>гарантийное письмо/свидетельство, предоставляемое ежегодно руководителям</w:t>
            </w:r>
          </w:p>
        </w:tc>
        <w:tc>
          <w:tcPr>
            <w:tcW w:w="1683" w:type="dxa"/>
            <w:shd w:val="clear" w:color="auto" w:fill="FFFFFF" w:themeFill="background1"/>
          </w:tcPr>
          <w:p w14:paraId="380C06E6" w14:textId="3577983D" w:rsidR="006751F3" w:rsidRPr="006C65B4" w:rsidRDefault="002D5503" w:rsidP="006751F3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t>Работа ведется на постоянной основе</w:t>
            </w:r>
          </w:p>
        </w:tc>
        <w:tc>
          <w:tcPr>
            <w:tcW w:w="5344" w:type="dxa"/>
            <w:shd w:val="clear" w:color="auto" w:fill="FFFFFF" w:themeFill="background1"/>
          </w:tcPr>
          <w:p w14:paraId="4071713C" w14:textId="61D85DFE" w:rsidR="006751F3" w:rsidRPr="00855448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color w:val="000000"/>
                <w:lang w:val="ru-RU"/>
              </w:rPr>
              <w:t xml:space="preserve">Каждое избираемое </w:t>
            </w:r>
            <w:r w:rsidRPr="002B788D">
              <w:rPr>
                <w:color w:val="000000"/>
                <w:lang w:val="ru-RU"/>
              </w:rPr>
              <w:t>должностное лицо</w:t>
            </w:r>
            <w:r w:rsidRPr="002B788D">
              <w:rPr>
                <w:lang w:val="ru-RU"/>
              </w:rPr>
              <w:t xml:space="preserve">, </w:t>
            </w:r>
            <w:r w:rsidR="00E51D67" w:rsidRPr="002B788D">
              <w:rPr>
                <w:lang w:val="ru-RU"/>
              </w:rPr>
              <w:t>заместители директоров Бюро</w:t>
            </w:r>
            <w:r w:rsidRPr="002B788D">
              <w:rPr>
                <w:lang w:val="ru-RU"/>
              </w:rPr>
              <w:t>, руководители</w:t>
            </w:r>
            <w:r w:rsidRPr="006C65B4">
              <w:rPr>
                <w:lang w:val="ru-RU"/>
              </w:rPr>
              <w:t xml:space="preserve"> Департаментов и руководители подразделений ГС обязаны представить внутреннее письмо-подтверждение, являющееся письменным подтверждением того, что они надлежащим образом осуществляли делегированные им финансовые полномочия и обязанности. </w:t>
            </w:r>
            <w:r w:rsidR="00F8165C">
              <w:rPr>
                <w:lang w:val="ru-RU"/>
              </w:rPr>
              <w:t>В</w:t>
            </w:r>
            <w:r w:rsidR="00F8165C" w:rsidRPr="00F8165C">
              <w:rPr>
                <w:lang w:val="ru-RU"/>
              </w:rPr>
              <w:t xml:space="preserve"> </w:t>
            </w:r>
            <w:r w:rsidR="00F8165C">
              <w:rPr>
                <w:lang w:val="ru-RU"/>
              </w:rPr>
              <w:t>ходе</w:t>
            </w:r>
            <w:r w:rsidR="00F8165C" w:rsidRPr="00F8165C">
              <w:rPr>
                <w:lang w:val="ru-RU"/>
              </w:rPr>
              <w:t xml:space="preserve"> </w:t>
            </w:r>
            <w:r w:rsidR="00F8165C">
              <w:rPr>
                <w:lang w:val="ru-RU"/>
              </w:rPr>
              <w:t>этого</w:t>
            </w:r>
            <w:r w:rsidR="00F8165C" w:rsidRPr="00F8165C">
              <w:rPr>
                <w:lang w:val="ru-RU"/>
              </w:rPr>
              <w:t xml:space="preserve"> </w:t>
            </w:r>
            <w:r w:rsidR="00F8165C">
              <w:rPr>
                <w:lang w:val="ru-RU"/>
              </w:rPr>
              <w:t>процесса</w:t>
            </w:r>
            <w:r w:rsidR="00F8165C" w:rsidRPr="00F8165C">
              <w:rPr>
                <w:lang w:val="ru-RU"/>
              </w:rPr>
              <w:t xml:space="preserve"> </w:t>
            </w:r>
            <w:r w:rsidR="00F8165C">
              <w:rPr>
                <w:lang w:val="ru-RU"/>
              </w:rPr>
              <w:t>будут</w:t>
            </w:r>
            <w:r w:rsidR="00F8165C" w:rsidRPr="00F8165C">
              <w:rPr>
                <w:lang w:val="ru-RU"/>
              </w:rPr>
              <w:t xml:space="preserve"> </w:t>
            </w:r>
            <w:r w:rsidR="00F8165C">
              <w:rPr>
                <w:lang w:val="ru-RU"/>
              </w:rPr>
              <w:t>рассмотрены</w:t>
            </w:r>
            <w:r w:rsidR="00F8165C" w:rsidRPr="00F8165C">
              <w:rPr>
                <w:lang w:val="ru-RU"/>
              </w:rPr>
              <w:t xml:space="preserve"> </w:t>
            </w:r>
            <w:r w:rsidR="00F8165C">
              <w:rPr>
                <w:lang w:val="ru-RU"/>
              </w:rPr>
              <w:t>возможные</w:t>
            </w:r>
            <w:r w:rsidR="00F8165C" w:rsidRPr="00F8165C">
              <w:rPr>
                <w:lang w:val="ru-RU"/>
              </w:rPr>
              <w:t xml:space="preserve"> </w:t>
            </w:r>
            <w:r w:rsidR="00F8165C">
              <w:rPr>
                <w:lang w:val="ru-RU"/>
              </w:rPr>
              <w:t>дополнительные</w:t>
            </w:r>
            <w:r w:rsidR="00F8165C" w:rsidRPr="00F8165C">
              <w:rPr>
                <w:lang w:val="ru-RU"/>
              </w:rPr>
              <w:t xml:space="preserve"> </w:t>
            </w:r>
            <w:r w:rsidR="00F8165C">
              <w:rPr>
                <w:lang w:val="ru-RU"/>
              </w:rPr>
              <w:t>улучшения</w:t>
            </w:r>
            <w:r w:rsidR="00F8165C" w:rsidRPr="00F8165C">
              <w:rPr>
                <w:lang w:val="ru-RU"/>
              </w:rPr>
              <w:t xml:space="preserve">, </w:t>
            </w:r>
            <w:r w:rsidR="00F8165C">
              <w:rPr>
                <w:lang w:val="ru-RU"/>
              </w:rPr>
              <w:t>проведена</w:t>
            </w:r>
            <w:r w:rsidR="00F8165C" w:rsidRPr="00F8165C">
              <w:rPr>
                <w:lang w:val="ru-RU"/>
              </w:rPr>
              <w:t xml:space="preserve"> </w:t>
            </w:r>
            <w:r w:rsidR="00F8165C">
              <w:rPr>
                <w:lang w:val="ru-RU"/>
              </w:rPr>
              <w:t>оценка</w:t>
            </w:r>
            <w:r w:rsidR="00F8165C" w:rsidRPr="00F8165C">
              <w:rPr>
                <w:lang w:val="ru-RU"/>
              </w:rPr>
              <w:t xml:space="preserve"> </w:t>
            </w:r>
            <w:r w:rsidR="00F8165C">
              <w:rPr>
                <w:lang w:val="ru-RU"/>
              </w:rPr>
              <w:t>эффективности</w:t>
            </w:r>
            <w:r w:rsidR="00F8165C" w:rsidRPr="00F8165C">
              <w:rPr>
                <w:lang w:val="ru-RU"/>
              </w:rPr>
              <w:t xml:space="preserve"> </w:t>
            </w:r>
            <w:r w:rsidR="00F8165C">
              <w:rPr>
                <w:lang w:val="ru-RU"/>
              </w:rPr>
              <w:t>этого</w:t>
            </w:r>
            <w:r w:rsidR="00F8165C" w:rsidRPr="00F8165C">
              <w:rPr>
                <w:lang w:val="ru-RU"/>
              </w:rPr>
              <w:t xml:space="preserve"> </w:t>
            </w:r>
            <w:r w:rsidR="00F8165C">
              <w:rPr>
                <w:lang w:val="ru-RU"/>
              </w:rPr>
              <w:t>инструмента</w:t>
            </w:r>
            <w:r w:rsidR="00F8165C" w:rsidRPr="00F8165C">
              <w:rPr>
                <w:lang w:val="ru-RU"/>
              </w:rPr>
              <w:t xml:space="preserve"> </w:t>
            </w:r>
            <w:r w:rsidR="00F8165C">
              <w:rPr>
                <w:lang w:val="ru-RU"/>
              </w:rPr>
              <w:t>и</w:t>
            </w:r>
            <w:r w:rsidR="00F8165C" w:rsidRPr="00F8165C">
              <w:rPr>
                <w:lang w:val="ru-RU"/>
              </w:rPr>
              <w:t xml:space="preserve"> </w:t>
            </w:r>
            <w:r w:rsidR="00F8165C">
              <w:rPr>
                <w:lang w:val="ru-RU"/>
              </w:rPr>
              <w:t>способ</w:t>
            </w:r>
            <w:r w:rsidR="002B788D">
              <w:rPr>
                <w:lang w:val="ru-RU"/>
              </w:rPr>
              <w:t>ов</w:t>
            </w:r>
            <w:r w:rsidR="00F8165C" w:rsidRPr="00F8165C">
              <w:rPr>
                <w:lang w:val="ru-RU"/>
              </w:rPr>
              <w:t xml:space="preserve"> </w:t>
            </w:r>
            <w:r w:rsidR="00F8165C">
              <w:rPr>
                <w:lang w:val="ru-RU"/>
              </w:rPr>
              <w:t>дальнейшего</w:t>
            </w:r>
            <w:r w:rsidR="00F8165C" w:rsidRPr="00F8165C">
              <w:rPr>
                <w:lang w:val="ru-RU"/>
              </w:rPr>
              <w:t xml:space="preserve"> </w:t>
            </w:r>
            <w:r w:rsidR="00F8165C">
              <w:rPr>
                <w:lang w:val="ru-RU"/>
              </w:rPr>
              <w:t>усовершенствования процедур внутреннего контроля.</w:t>
            </w:r>
            <w:r w:rsidR="00F8165C" w:rsidRPr="00F8165C">
              <w:rPr>
                <w:lang w:val="ru-RU"/>
              </w:rPr>
              <w:t xml:space="preserve"> </w:t>
            </w:r>
          </w:p>
        </w:tc>
      </w:tr>
      <w:tr w:rsidR="006751F3" w:rsidRPr="008A45F9" w14:paraId="7B91ABEA" w14:textId="77777777" w:rsidTr="00780F31">
        <w:trPr>
          <w:cantSplit/>
        </w:trPr>
        <w:tc>
          <w:tcPr>
            <w:tcW w:w="3542" w:type="dxa"/>
            <w:vMerge w:val="restart"/>
            <w:shd w:val="clear" w:color="auto" w:fill="FFFFFF" w:themeFill="background1"/>
          </w:tcPr>
          <w:p w14:paraId="555DF6D7" w14:textId="77777777" w:rsidR="006751F3" w:rsidRPr="006C65B4" w:rsidRDefault="006751F3" w:rsidP="006751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rPr>
                <w:lang w:val="ru-RU"/>
              </w:rPr>
            </w:pPr>
            <w:r w:rsidRPr="006C65B4">
              <w:rPr>
                <w:lang w:val="ru-RU"/>
              </w:rPr>
              <w:t>13</w:t>
            </w:r>
            <w:r w:rsidRPr="006C65B4">
              <w:rPr>
                <w:lang w:val="ru-RU"/>
              </w:rPr>
              <w:tab/>
              <w:t>Сотрудники на всех уровнях имеют доступ к соответствующей достоверной информации, которая помогает им принимать решения в соответствии с делегированными им полномочиями, а организация имеет систему внутренней и внешней связи</w:t>
            </w:r>
          </w:p>
        </w:tc>
        <w:tc>
          <w:tcPr>
            <w:tcW w:w="3989" w:type="dxa"/>
            <w:shd w:val="clear" w:color="auto" w:fill="FFFFFF" w:themeFill="background1"/>
          </w:tcPr>
          <w:p w14:paraId="10D36A41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 xml:space="preserve">Существует система ERP или аналогичная система, предназначенная для сбора и </w:t>
            </w:r>
            <w:r w:rsidRPr="006C65B4">
              <w:rPr>
                <w:color w:val="000000"/>
                <w:lang w:val="ru-RU"/>
              </w:rPr>
              <w:t xml:space="preserve">документирования соответствующей информации </w:t>
            </w:r>
          </w:p>
        </w:tc>
        <w:tc>
          <w:tcPr>
            <w:tcW w:w="1683" w:type="dxa"/>
            <w:shd w:val="clear" w:color="auto" w:fill="auto"/>
          </w:tcPr>
          <w:p w14:paraId="199FF26B" w14:textId="603639B3" w:rsidR="006751F3" w:rsidRPr="006C65B4" w:rsidRDefault="002D5503" w:rsidP="006751F3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t>Работа ведется на постоянной основе</w:t>
            </w:r>
          </w:p>
        </w:tc>
        <w:tc>
          <w:tcPr>
            <w:tcW w:w="5344" w:type="dxa"/>
            <w:vMerge w:val="restart"/>
            <w:shd w:val="clear" w:color="auto" w:fill="auto"/>
          </w:tcPr>
          <w:p w14:paraId="2823AC31" w14:textId="18369C18" w:rsidR="006751F3" w:rsidRPr="00855448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 xml:space="preserve">МСЭ управляет информацией и знаниями через стандартизированное управление информацией, т. e. используя систему ERP, SharePoint, хранилища файлов, инструменты бизнес-аналитики (BI), которое обеспечивает сотрудникам доступ к информации с учетом их роли и функций. </w:t>
            </w:r>
            <w:r w:rsidR="00E51D67">
              <w:rPr>
                <w:lang w:val="ru-RU"/>
              </w:rPr>
              <w:t>Буд</w:t>
            </w:r>
            <w:r w:rsidR="002B788D">
              <w:rPr>
                <w:lang w:val="ru-RU"/>
              </w:rPr>
              <w:t>ут рассмотрены вопросы, касающиеся</w:t>
            </w:r>
            <w:r w:rsidR="00E51D67" w:rsidRPr="00E51D67">
              <w:rPr>
                <w:lang w:val="ru-RU"/>
              </w:rPr>
              <w:t xml:space="preserve"> </w:t>
            </w:r>
            <w:r w:rsidR="002B788D" w:rsidRPr="006C65B4">
              <w:rPr>
                <w:lang w:val="ru-RU"/>
              </w:rPr>
              <w:t>соответствующей достоверной информации</w:t>
            </w:r>
            <w:r w:rsidR="00E51D67" w:rsidRPr="00E51D67">
              <w:rPr>
                <w:lang w:val="ru-RU"/>
              </w:rPr>
              <w:t xml:space="preserve">, </w:t>
            </w:r>
            <w:r w:rsidR="00E51D67">
              <w:rPr>
                <w:lang w:val="ru-RU"/>
              </w:rPr>
              <w:t>которая требуется</w:t>
            </w:r>
            <w:r w:rsidR="00E51D67" w:rsidRPr="00E51D67">
              <w:rPr>
                <w:lang w:val="ru-RU"/>
              </w:rPr>
              <w:t xml:space="preserve"> </w:t>
            </w:r>
            <w:r w:rsidR="00E51D67">
              <w:rPr>
                <w:lang w:val="ru-RU"/>
              </w:rPr>
              <w:t>для</w:t>
            </w:r>
            <w:r w:rsidR="00E51D67" w:rsidRPr="00E51D67">
              <w:rPr>
                <w:lang w:val="ru-RU"/>
              </w:rPr>
              <w:t xml:space="preserve"> </w:t>
            </w:r>
            <w:r w:rsidR="00E51D67">
              <w:rPr>
                <w:lang w:val="ru-RU"/>
              </w:rPr>
              <w:t>принятия</w:t>
            </w:r>
            <w:r w:rsidR="00E51D67" w:rsidRPr="00E51D67">
              <w:rPr>
                <w:lang w:val="ru-RU"/>
              </w:rPr>
              <w:t xml:space="preserve"> </w:t>
            </w:r>
            <w:r w:rsidR="00E51D67">
              <w:rPr>
                <w:lang w:val="ru-RU"/>
              </w:rPr>
              <w:t>обоснованных</w:t>
            </w:r>
            <w:r w:rsidR="00E51D67" w:rsidRPr="00E51D67">
              <w:rPr>
                <w:lang w:val="ru-RU"/>
              </w:rPr>
              <w:t xml:space="preserve"> </w:t>
            </w:r>
            <w:r w:rsidR="00E51D67">
              <w:rPr>
                <w:lang w:val="ru-RU"/>
              </w:rPr>
              <w:t>решений, а также улучшения, необходимые в этой области.</w:t>
            </w:r>
          </w:p>
        </w:tc>
      </w:tr>
      <w:tr w:rsidR="006751F3" w:rsidRPr="008A45F9" w14:paraId="6A52732F" w14:textId="77777777" w:rsidTr="00780F31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14:paraId="1E7D213A" w14:textId="77777777" w:rsidR="006751F3" w:rsidRPr="00855448" w:rsidRDefault="006751F3" w:rsidP="006751F3">
            <w:pPr>
              <w:pStyle w:val="Tabletext"/>
              <w:rPr>
                <w:lang w:val="ru-RU"/>
              </w:rPr>
            </w:pPr>
          </w:p>
        </w:tc>
        <w:tc>
          <w:tcPr>
            <w:tcW w:w="3989" w:type="dxa"/>
            <w:shd w:val="clear" w:color="auto" w:fill="FFFFFF" w:themeFill="background1"/>
          </w:tcPr>
          <w:p w14:paraId="4170733B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Каналы внутренней связи в полной мере используются</w:t>
            </w:r>
          </w:p>
        </w:tc>
        <w:tc>
          <w:tcPr>
            <w:tcW w:w="1683" w:type="dxa"/>
            <w:shd w:val="clear" w:color="auto" w:fill="auto"/>
          </w:tcPr>
          <w:p w14:paraId="12016B03" w14:textId="7AF477B3" w:rsidR="006751F3" w:rsidRPr="006C65B4" w:rsidRDefault="002D5503" w:rsidP="006751F3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t>Работа ведется на постоянной основе</w:t>
            </w:r>
          </w:p>
        </w:tc>
        <w:tc>
          <w:tcPr>
            <w:tcW w:w="5344" w:type="dxa"/>
            <w:vMerge/>
            <w:shd w:val="clear" w:color="auto" w:fill="FFFF00"/>
          </w:tcPr>
          <w:p w14:paraId="5B731DFE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</w:p>
        </w:tc>
      </w:tr>
      <w:tr w:rsidR="006751F3" w:rsidRPr="008A45F9" w14:paraId="17E2E98B" w14:textId="77777777" w:rsidTr="00780F31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14:paraId="7819D113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</w:p>
        </w:tc>
        <w:tc>
          <w:tcPr>
            <w:tcW w:w="3989" w:type="dxa"/>
            <w:shd w:val="clear" w:color="auto" w:fill="FFFFFF" w:themeFill="background1"/>
          </w:tcPr>
          <w:p w14:paraId="1176C18A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Политика раскрытия информации существует</w:t>
            </w:r>
          </w:p>
        </w:tc>
        <w:tc>
          <w:tcPr>
            <w:tcW w:w="1683" w:type="dxa"/>
            <w:shd w:val="clear" w:color="auto" w:fill="auto"/>
          </w:tcPr>
          <w:p w14:paraId="13EB7386" w14:textId="2D9B0290" w:rsidR="006751F3" w:rsidRPr="006C65B4" w:rsidRDefault="002D5503" w:rsidP="006751F3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t>Работа ведется на постоянной основе</w:t>
            </w:r>
          </w:p>
        </w:tc>
        <w:tc>
          <w:tcPr>
            <w:tcW w:w="5344" w:type="dxa"/>
            <w:vMerge/>
            <w:shd w:val="clear" w:color="auto" w:fill="FFFF00"/>
          </w:tcPr>
          <w:p w14:paraId="4ABB8B7C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</w:p>
        </w:tc>
      </w:tr>
      <w:tr w:rsidR="006751F3" w:rsidRPr="008A45F9" w14:paraId="7B8A2579" w14:textId="77777777" w:rsidTr="00780F31">
        <w:trPr>
          <w:cantSplit/>
        </w:trPr>
        <w:tc>
          <w:tcPr>
            <w:tcW w:w="3542" w:type="dxa"/>
            <w:vMerge w:val="restart"/>
            <w:shd w:val="clear" w:color="auto" w:fill="FFFFFF" w:themeFill="background1"/>
          </w:tcPr>
          <w:p w14:paraId="772636A2" w14:textId="77777777" w:rsidR="006751F3" w:rsidRPr="006C65B4" w:rsidRDefault="006751F3" w:rsidP="006751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rPr>
                <w:lang w:val="ru-RU"/>
              </w:rPr>
            </w:pPr>
            <w:r w:rsidRPr="006C65B4">
              <w:rPr>
                <w:lang w:val="ru-RU"/>
              </w:rPr>
              <w:t>14</w:t>
            </w:r>
            <w:r w:rsidRPr="006C65B4">
              <w:rPr>
                <w:lang w:val="ru-RU"/>
              </w:rPr>
              <w:tab/>
              <w:t xml:space="preserve">За результатами деятельности административных руководителей, старших руководителей и сотрудников осуществляется </w:t>
            </w:r>
            <w:r w:rsidRPr="006C65B4">
              <w:rPr>
                <w:lang w:val="ru-RU"/>
              </w:rPr>
              <w:lastRenderedPageBreak/>
              <w:t>контроль, и в случае необходимости принимаются корректирующие меры</w:t>
            </w:r>
          </w:p>
        </w:tc>
        <w:tc>
          <w:tcPr>
            <w:tcW w:w="3989" w:type="dxa"/>
            <w:shd w:val="clear" w:color="auto" w:fill="FFFFFF" w:themeFill="background1"/>
          </w:tcPr>
          <w:p w14:paraId="100AED73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lastRenderedPageBreak/>
              <w:t>Оценка результатов деятельности сотрудников на всех уровнях, включая оценку по методу 360 градусов</w:t>
            </w:r>
          </w:p>
        </w:tc>
        <w:tc>
          <w:tcPr>
            <w:tcW w:w="1683" w:type="dxa"/>
            <w:shd w:val="clear" w:color="auto" w:fill="FFFFFF" w:themeFill="background1"/>
          </w:tcPr>
          <w:p w14:paraId="0E440D5A" w14:textId="455A90D7" w:rsidR="006751F3" w:rsidRPr="006C65B4" w:rsidRDefault="002D5503" w:rsidP="006751F3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t>Не применимо</w:t>
            </w:r>
          </w:p>
        </w:tc>
        <w:tc>
          <w:tcPr>
            <w:tcW w:w="5344" w:type="dxa"/>
            <w:shd w:val="clear" w:color="auto" w:fill="auto"/>
          </w:tcPr>
          <w:p w14:paraId="63C0EE7D" w14:textId="09E136F6" w:rsidR="006751F3" w:rsidRPr="00855448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 xml:space="preserve">Новая система оценки не включает оценку по методу 360 градусов. </w:t>
            </w:r>
            <w:r w:rsidR="003A5A62">
              <w:rPr>
                <w:lang w:val="ru-RU"/>
              </w:rPr>
              <w:t>Будет</w:t>
            </w:r>
            <w:r w:rsidR="003A5A62" w:rsidRPr="009132A9">
              <w:rPr>
                <w:lang w:val="ru-RU"/>
              </w:rPr>
              <w:t xml:space="preserve"> </w:t>
            </w:r>
            <w:r w:rsidR="003A5A62">
              <w:rPr>
                <w:lang w:val="ru-RU"/>
              </w:rPr>
              <w:t>рассмотрено</w:t>
            </w:r>
            <w:r w:rsidR="003A5A62" w:rsidRPr="009132A9">
              <w:rPr>
                <w:lang w:val="ru-RU"/>
              </w:rPr>
              <w:t xml:space="preserve"> </w:t>
            </w:r>
            <w:r w:rsidR="003A5A62">
              <w:rPr>
                <w:lang w:val="ru-RU"/>
              </w:rPr>
              <w:t>и</w:t>
            </w:r>
            <w:r w:rsidR="003A5A62" w:rsidRPr="009132A9">
              <w:rPr>
                <w:lang w:val="ru-RU"/>
              </w:rPr>
              <w:t xml:space="preserve"> </w:t>
            </w:r>
            <w:r w:rsidR="003A5A62">
              <w:rPr>
                <w:lang w:val="ru-RU"/>
              </w:rPr>
              <w:t>проанализировано</w:t>
            </w:r>
            <w:r w:rsidR="003A5A62" w:rsidRPr="009132A9">
              <w:rPr>
                <w:lang w:val="ru-RU"/>
              </w:rPr>
              <w:t xml:space="preserve"> </w:t>
            </w:r>
            <w:r w:rsidR="009132A9">
              <w:rPr>
                <w:lang w:val="ru-RU"/>
              </w:rPr>
              <w:t>внедрение</w:t>
            </w:r>
            <w:r w:rsidR="009132A9" w:rsidRPr="009132A9">
              <w:rPr>
                <w:lang w:val="ru-RU"/>
              </w:rPr>
              <w:t xml:space="preserve"> </w:t>
            </w:r>
            <w:r w:rsidR="009132A9">
              <w:rPr>
                <w:lang w:val="ru-RU"/>
              </w:rPr>
              <w:t>пилотного</w:t>
            </w:r>
            <w:r w:rsidR="009132A9" w:rsidRPr="009132A9">
              <w:rPr>
                <w:lang w:val="ru-RU"/>
              </w:rPr>
              <w:t xml:space="preserve"> </w:t>
            </w:r>
            <w:r w:rsidR="009132A9">
              <w:rPr>
                <w:lang w:val="ru-RU"/>
              </w:rPr>
              <w:t>проекта</w:t>
            </w:r>
            <w:r w:rsidR="009132A9" w:rsidRPr="009132A9">
              <w:rPr>
                <w:lang w:val="ru-RU"/>
              </w:rPr>
              <w:t xml:space="preserve"> </w:t>
            </w:r>
            <w:r w:rsidR="009132A9">
              <w:rPr>
                <w:lang w:val="ru-RU"/>
              </w:rPr>
              <w:t>для</w:t>
            </w:r>
            <w:r w:rsidR="009132A9" w:rsidRPr="009132A9">
              <w:rPr>
                <w:lang w:val="ru-RU"/>
              </w:rPr>
              <w:t xml:space="preserve"> </w:t>
            </w:r>
            <w:r w:rsidR="009132A9">
              <w:rPr>
                <w:lang w:val="ru-RU"/>
              </w:rPr>
              <w:t>изучения</w:t>
            </w:r>
            <w:r w:rsidR="009132A9" w:rsidRPr="009132A9">
              <w:rPr>
                <w:lang w:val="ru-RU"/>
              </w:rPr>
              <w:t xml:space="preserve"> </w:t>
            </w:r>
            <w:r w:rsidR="009132A9">
              <w:rPr>
                <w:lang w:val="ru-RU"/>
              </w:rPr>
              <w:t>преимуществ</w:t>
            </w:r>
            <w:r w:rsidR="009132A9" w:rsidRPr="009132A9">
              <w:rPr>
                <w:lang w:val="ru-RU"/>
              </w:rPr>
              <w:t xml:space="preserve"> </w:t>
            </w:r>
            <w:r w:rsidR="008E77F9">
              <w:rPr>
                <w:lang w:val="ru-RU"/>
              </w:rPr>
              <w:t>такого</w:t>
            </w:r>
            <w:r w:rsidR="009132A9" w:rsidRPr="009132A9">
              <w:rPr>
                <w:lang w:val="ru-RU"/>
              </w:rPr>
              <w:t xml:space="preserve"> </w:t>
            </w:r>
            <w:r w:rsidR="009132A9">
              <w:rPr>
                <w:lang w:val="ru-RU"/>
              </w:rPr>
              <w:t>механизма.</w:t>
            </w:r>
          </w:p>
        </w:tc>
      </w:tr>
      <w:tr w:rsidR="006751F3" w:rsidRPr="00611060" w14:paraId="6C014266" w14:textId="77777777" w:rsidTr="00780F31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14:paraId="7DCC7AA8" w14:textId="77777777" w:rsidR="006751F3" w:rsidRPr="00855448" w:rsidRDefault="006751F3" w:rsidP="006751F3">
            <w:pPr>
              <w:pStyle w:val="Tabletext"/>
              <w:rPr>
                <w:lang w:val="ru-RU"/>
              </w:rPr>
            </w:pPr>
          </w:p>
        </w:tc>
        <w:tc>
          <w:tcPr>
            <w:tcW w:w="3989" w:type="dxa"/>
            <w:shd w:val="clear" w:color="auto" w:fill="FFFFFF" w:themeFill="background1"/>
          </w:tcPr>
          <w:p w14:paraId="288A67DC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Контракты с руководителями высшего звена или инструменты оценки показателей работы</w:t>
            </w:r>
          </w:p>
        </w:tc>
        <w:tc>
          <w:tcPr>
            <w:tcW w:w="1683" w:type="dxa"/>
            <w:shd w:val="clear" w:color="auto" w:fill="auto"/>
          </w:tcPr>
          <w:p w14:paraId="60BF1AE4" w14:textId="3E7369F6" w:rsidR="006751F3" w:rsidRPr="006C65B4" w:rsidRDefault="002D5503" w:rsidP="006751F3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t>Работа ведется на постоянной основе</w:t>
            </w:r>
          </w:p>
        </w:tc>
        <w:tc>
          <w:tcPr>
            <w:tcW w:w="5344" w:type="dxa"/>
            <w:shd w:val="clear" w:color="auto" w:fill="auto"/>
          </w:tcPr>
          <w:p w14:paraId="1E7790F8" w14:textId="284B65A0" w:rsidR="006751F3" w:rsidRPr="006C65B4" w:rsidRDefault="007513A4" w:rsidP="006751F3">
            <w:pPr>
              <w:pStyle w:val="Tabletext"/>
              <w:rPr>
                <w:lang w:val="ru-RU"/>
              </w:rPr>
            </w:pPr>
            <w:r w:rsidRPr="007513A4">
              <w:rPr>
                <w:lang w:val="ru-RU"/>
              </w:rPr>
              <w:t>Разрабатывается таблиц</w:t>
            </w:r>
            <w:r>
              <w:rPr>
                <w:lang w:val="ru-RU"/>
              </w:rPr>
              <w:t>а</w:t>
            </w:r>
            <w:r w:rsidRPr="007513A4">
              <w:rPr>
                <w:lang w:val="ru-RU"/>
              </w:rPr>
              <w:t xml:space="preserve"> </w:t>
            </w:r>
            <w:r w:rsidRPr="004505BE">
              <w:rPr>
                <w:lang w:val="ru-RU"/>
              </w:rPr>
              <w:t>показателей.</w:t>
            </w:r>
          </w:p>
        </w:tc>
      </w:tr>
      <w:tr w:rsidR="006751F3" w:rsidRPr="008A45F9" w14:paraId="62330528" w14:textId="77777777" w:rsidTr="00780F31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14:paraId="075D27C3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</w:p>
        </w:tc>
        <w:tc>
          <w:tcPr>
            <w:tcW w:w="3989" w:type="dxa"/>
            <w:shd w:val="clear" w:color="auto" w:fill="FFFFFF" w:themeFill="background1"/>
          </w:tcPr>
          <w:p w14:paraId="1BCB1C1D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Корректирующие меры в отношении неработающих активов</w:t>
            </w:r>
          </w:p>
        </w:tc>
        <w:tc>
          <w:tcPr>
            <w:tcW w:w="1683" w:type="dxa"/>
            <w:shd w:val="clear" w:color="auto" w:fill="auto"/>
          </w:tcPr>
          <w:p w14:paraId="5A0247D2" w14:textId="77777777" w:rsidR="006751F3" w:rsidRPr="006C65B4" w:rsidRDefault="006751F3" w:rsidP="006751F3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44" w:type="dxa"/>
            <w:shd w:val="clear" w:color="auto" w:fill="auto"/>
          </w:tcPr>
          <w:p w14:paraId="248A217A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 xml:space="preserve">Сотрудникам предложено действовать через создание программ по профессиональной подготовке для исправления ситуации в сотрудничестве со своими руководителями. </w:t>
            </w:r>
          </w:p>
        </w:tc>
      </w:tr>
      <w:tr w:rsidR="006751F3" w:rsidRPr="008A45F9" w14:paraId="45D3396D" w14:textId="77777777" w:rsidTr="00780F31">
        <w:trPr>
          <w:cantSplit/>
        </w:trPr>
        <w:tc>
          <w:tcPr>
            <w:tcW w:w="3542" w:type="dxa"/>
            <w:vMerge w:val="restart"/>
            <w:shd w:val="clear" w:color="auto" w:fill="FFFFFF" w:themeFill="background1"/>
          </w:tcPr>
          <w:p w14:paraId="5A59C671" w14:textId="77777777" w:rsidR="006751F3" w:rsidRPr="006C65B4" w:rsidRDefault="006751F3" w:rsidP="006751F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rPr>
                <w:lang w:val="ru-RU"/>
              </w:rPr>
            </w:pPr>
            <w:r w:rsidRPr="006C65B4">
              <w:rPr>
                <w:lang w:val="ru-RU"/>
              </w:rPr>
              <w:t>15</w:t>
            </w:r>
            <w:r w:rsidRPr="006C65B4">
              <w:rPr>
                <w:lang w:val="ru-RU"/>
              </w:rPr>
              <w:tab/>
              <w:t>Рекомендации органов по надзору/внутреннего аудита и оценки учитываются и реализуются; в противном случае должны быть предоставлены четкие обоснования</w:t>
            </w:r>
          </w:p>
        </w:tc>
        <w:tc>
          <w:tcPr>
            <w:tcW w:w="3989" w:type="dxa"/>
            <w:shd w:val="clear" w:color="auto" w:fill="FFFFFF" w:themeFill="background1"/>
          </w:tcPr>
          <w:p w14:paraId="411EC101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Политика раскрытия информации</w:t>
            </w:r>
          </w:p>
        </w:tc>
        <w:tc>
          <w:tcPr>
            <w:tcW w:w="1683" w:type="dxa"/>
            <w:shd w:val="clear" w:color="auto" w:fill="auto"/>
          </w:tcPr>
          <w:p w14:paraId="53DF290A" w14:textId="3569A7D4" w:rsidR="006751F3" w:rsidRPr="006C65B4" w:rsidRDefault="002D5503" w:rsidP="006751F3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44" w:type="dxa"/>
            <w:shd w:val="clear" w:color="auto" w:fill="auto"/>
          </w:tcPr>
          <w:p w14:paraId="33365121" w14:textId="14D8482C" w:rsidR="006751F3" w:rsidRPr="006C65B4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П</w:t>
            </w:r>
            <w:r w:rsidRPr="006C65B4">
              <w:rPr>
                <w:color w:val="000000"/>
                <w:lang w:val="ru-RU"/>
              </w:rPr>
              <w:t>олитика обеспечения доступа к информации/документам МСЭ</w:t>
            </w:r>
            <w:r w:rsidRPr="006C65B4">
              <w:rPr>
                <w:rFonts w:eastAsia="Times New Roman"/>
                <w:lang w:val="ru-RU"/>
              </w:rPr>
              <w:t xml:space="preserve"> </w:t>
            </w:r>
            <w:r w:rsidRPr="006C65B4">
              <w:rPr>
                <w:color w:val="000000"/>
                <w:lang w:val="ru-RU"/>
              </w:rPr>
              <w:t>вступила в силу 1 января 2017 года</w:t>
            </w:r>
            <w:r w:rsidRPr="006C65B4">
              <w:rPr>
                <w:rFonts w:eastAsia="Times New Roman"/>
                <w:lang w:val="ru-RU"/>
              </w:rPr>
              <w:t>.</w:t>
            </w:r>
          </w:p>
        </w:tc>
      </w:tr>
      <w:tr w:rsidR="006751F3" w:rsidRPr="008A45F9" w14:paraId="56ED5885" w14:textId="77777777" w:rsidTr="00780F31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14:paraId="534EEDA7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</w:p>
        </w:tc>
        <w:tc>
          <w:tcPr>
            <w:tcW w:w="3989" w:type="dxa"/>
            <w:shd w:val="clear" w:color="auto" w:fill="FFFFFF" w:themeFill="background1"/>
          </w:tcPr>
          <w:p w14:paraId="15FFFE75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Отчеты о выполнении рекомендаций органов внутреннего и внешнего надзора</w:t>
            </w:r>
          </w:p>
        </w:tc>
        <w:tc>
          <w:tcPr>
            <w:tcW w:w="1683" w:type="dxa"/>
            <w:shd w:val="clear" w:color="auto" w:fill="auto"/>
          </w:tcPr>
          <w:p w14:paraId="18D1795E" w14:textId="77777777" w:rsidR="006751F3" w:rsidRPr="006C65B4" w:rsidRDefault="006751F3" w:rsidP="006751F3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44" w:type="dxa"/>
            <w:shd w:val="clear" w:color="auto" w:fill="auto"/>
          </w:tcPr>
          <w:p w14:paraId="3729BABB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ГК и IMAC регулярно получают последнюю информацию о выполнении рекомендаций внутреннего и внешнего аудита.</w:t>
            </w:r>
          </w:p>
        </w:tc>
      </w:tr>
      <w:tr w:rsidR="006751F3" w:rsidRPr="008A45F9" w14:paraId="02B47DB7" w14:textId="77777777" w:rsidTr="00780F31">
        <w:trPr>
          <w:cantSplit/>
        </w:trPr>
        <w:tc>
          <w:tcPr>
            <w:tcW w:w="3542" w:type="dxa"/>
            <w:vMerge/>
            <w:shd w:val="clear" w:color="auto" w:fill="FFFFFF" w:themeFill="background1"/>
          </w:tcPr>
          <w:p w14:paraId="6A69D62F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</w:p>
        </w:tc>
        <w:tc>
          <w:tcPr>
            <w:tcW w:w="3989" w:type="dxa"/>
            <w:shd w:val="clear" w:color="auto" w:fill="FFFFFF" w:themeFill="background1"/>
          </w:tcPr>
          <w:p w14:paraId="794AAA2E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 xml:space="preserve">Контроль за выполнением рекомендаций органов внутреннего и внешнего аудита и надзора, а также рекомендаций, сформулированных по результатам внутренней, независимой и </w:t>
            </w:r>
            <w:r w:rsidRPr="006C65B4">
              <w:rPr>
                <w:color w:val="000000"/>
                <w:lang w:val="ru-RU"/>
              </w:rPr>
              <w:t>самостоятельной оценки</w:t>
            </w:r>
          </w:p>
        </w:tc>
        <w:tc>
          <w:tcPr>
            <w:tcW w:w="1683" w:type="dxa"/>
            <w:shd w:val="clear" w:color="auto" w:fill="auto"/>
          </w:tcPr>
          <w:p w14:paraId="406F9023" w14:textId="77777777" w:rsidR="006751F3" w:rsidRPr="006C65B4" w:rsidRDefault="006751F3" w:rsidP="006751F3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44" w:type="dxa"/>
            <w:shd w:val="clear" w:color="auto" w:fill="auto"/>
          </w:tcPr>
          <w:p w14:paraId="12F95813" w14:textId="77777777" w:rsidR="006751F3" w:rsidRPr="006C65B4" w:rsidRDefault="006751F3" w:rsidP="006751F3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РГС-ФЛР внимательно следит и осуществляет надзор за выполнением всех рекомендаций внешних аудиторов и IMAC. Рекомендации IMAC отслеживаются и выполняются, подробные отчеты о результатах представляются РГС-ФЛР и Совету</w:t>
            </w:r>
          </w:p>
        </w:tc>
      </w:tr>
    </w:tbl>
    <w:p w14:paraId="61477A6B" w14:textId="77777777" w:rsidR="00780F31" w:rsidRPr="006C65B4" w:rsidRDefault="00780F31" w:rsidP="00780F31">
      <w:pPr>
        <w:pStyle w:val="Headingb"/>
        <w:spacing w:after="120"/>
        <w:rPr>
          <w:lang w:val="ru-RU"/>
        </w:rPr>
      </w:pPr>
      <w:r w:rsidRPr="006C65B4">
        <w:rPr>
          <w:lang w:val="ru-RU"/>
        </w:rPr>
        <w:t>Принцип 3</w:t>
      </w:r>
    </w:p>
    <w:tbl>
      <w:tblPr>
        <w:tblStyle w:val="TableGrid"/>
        <w:tblW w:w="14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3987"/>
        <w:gridCol w:w="1680"/>
        <w:gridCol w:w="5361"/>
      </w:tblGrid>
      <w:tr w:rsidR="00780F31" w:rsidRPr="006C65B4" w14:paraId="57B80617" w14:textId="77777777" w:rsidTr="000076FA">
        <w:trPr>
          <w:cantSplit/>
          <w:tblHeader/>
        </w:trPr>
        <w:tc>
          <w:tcPr>
            <w:tcW w:w="3544" w:type="dxa"/>
            <w:shd w:val="clear" w:color="auto" w:fill="B8CCE4" w:themeFill="accent1" w:themeFillTint="66"/>
          </w:tcPr>
          <w:p w14:paraId="0E3049C5" w14:textId="77777777" w:rsidR="00780F31" w:rsidRPr="006C65B4" w:rsidRDefault="00780F31" w:rsidP="000076FA">
            <w:pPr>
              <w:pStyle w:val="Tablehead"/>
              <w:rPr>
                <w:lang w:val="ru-RU"/>
              </w:rPr>
            </w:pPr>
            <w:r w:rsidRPr="006C65B4">
              <w:rPr>
                <w:lang w:val="ru-RU"/>
              </w:rPr>
              <w:t>Показатель</w:t>
            </w:r>
          </w:p>
        </w:tc>
        <w:tc>
          <w:tcPr>
            <w:tcW w:w="3987" w:type="dxa"/>
            <w:shd w:val="clear" w:color="auto" w:fill="B8CCE4" w:themeFill="accent1" w:themeFillTint="66"/>
          </w:tcPr>
          <w:p w14:paraId="6D8ACE73" w14:textId="77777777" w:rsidR="00780F31" w:rsidRPr="006C65B4" w:rsidRDefault="00780F31" w:rsidP="000076FA">
            <w:pPr>
              <w:pStyle w:val="Tablehead"/>
              <w:rPr>
                <w:lang w:val="ru-RU"/>
              </w:rPr>
            </w:pPr>
            <w:r w:rsidRPr="006C65B4">
              <w:rPr>
                <w:lang w:val="ru-RU"/>
              </w:rPr>
              <w:t>Инструменты</w:t>
            </w:r>
          </w:p>
        </w:tc>
        <w:tc>
          <w:tcPr>
            <w:tcW w:w="1680" w:type="dxa"/>
            <w:shd w:val="clear" w:color="auto" w:fill="B8CCE4" w:themeFill="accent1" w:themeFillTint="66"/>
          </w:tcPr>
          <w:p w14:paraId="011F015A" w14:textId="77777777" w:rsidR="00780F31" w:rsidRPr="006C65B4" w:rsidRDefault="00780F31" w:rsidP="000076FA">
            <w:pPr>
              <w:pStyle w:val="Tablehead"/>
              <w:rPr>
                <w:lang w:val="ru-RU"/>
              </w:rPr>
            </w:pPr>
            <w:r w:rsidRPr="006C65B4">
              <w:rPr>
                <w:lang w:val="ru-RU"/>
              </w:rPr>
              <w:t>Состояние</w:t>
            </w:r>
          </w:p>
        </w:tc>
        <w:tc>
          <w:tcPr>
            <w:tcW w:w="5361" w:type="dxa"/>
            <w:shd w:val="clear" w:color="auto" w:fill="B8CCE4" w:themeFill="accent1" w:themeFillTint="66"/>
          </w:tcPr>
          <w:p w14:paraId="1D8378A5" w14:textId="77777777" w:rsidR="00780F31" w:rsidRPr="006C65B4" w:rsidRDefault="00780F31" w:rsidP="000076FA">
            <w:pPr>
              <w:pStyle w:val="Tablehead"/>
              <w:rPr>
                <w:lang w:val="ru-RU"/>
              </w:rPr>
            </w:pPr>
            <w:r w:rsidRPr="006C65B4">
              <w:rPr>
                <w:lang w:val="ru-RU"/>
              </w:rPr>
              <w:t>Комментарий</w:t>
            </w:r>
          </w:p>
        </w:tc>
      </w:tr>
      <w:tr w:rsidR="00780F31" w:rsidRPr="008A45F9" w14:paraId="571D3276" w14:textId="77777777" w:rsidTr="007A1FD6">
        <w:trPr>
          <w:cantSplit/>
        </w:trPr>
        <w:tc>
          <w:tcPr>
            <w:tcW w:w="3544" w:type="dxa"/>
            <w:vMerge w:val="restart"/>
            <w:shd w:val="clear" w:color="auto" w:fill="FFFFFF" w:themeFill="background1"/>
          </w:tcPr>
          <w:p w14:paraId="49CE95E1" w14:textId="77777777" w:rsidR="00780F31" w:rsidRPr="006C65B4" w:rsidRDefault="00780F31" w:rsidP="007A1FD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rPr>
                <w:lang w:val="ru-RU"/>
              </w:rPr>
            </w:pPr>
            <w:r w:rsidRPr="006C65B4">
              <w:rPr>
                <w:lang w:val="ru-RU"/>
              </w:rPr>
              <w:t>16</w:t>
            </w:r>
            <w:r w:rsidRPr="006C65B4">
              <w:rPr>
                <w:lang w:val="ru-RU"/>
              </w:rPr>
              <w:tab/>
              <w:t>Сотрудники имеют доступ к неофициальным механизмам подачи жалоб</w:t>
            </w:r>
          </w:p>
        </w:tc>
        <w:tc>
          <w:tcPr>
            <w:tcW w:w="3987" w:type="dxa"/>
            <w:shd w:val="clear" w:color="auto" w:fill="FFFFFF" w:themeFill="background1"/>
          </w:tcPr>
          <w:p w14:paraId="1558C217" w14:textId="77777777" w:rsidR="00780F31" w:rsidRPr="006C65B4" w:rsidRDefault="00780F31" w:rsidP="007A1FD6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Неофициальные процедуры подачи жалоб/оспаривания изложены в документе о политике и/или в справочнике</w:t>
            </w:r>
          </w:p>
        </w:tc>
        <w:tc>
          <w:tcPr>
            <w:tcW w:w="1680" w:type="dxa"/>
            <w:shd w:val="clear" w:color="auto" w:fill="auto"/>
          </w:tcPr>
          <w:p w14:paraId="091AAEAC" w14:textId="77777777" w:rsidR="00780F31" w:rsidRPr="006C65B4" w:rsidRDefault="00780F31" w:rsidP="007A1FD6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t>Не применимо</w:t>
            </w:r>
          </w:p>
        </w:tc>
        <w:tc>
          <w:tcPr>
            <w:tcW w:w="5361" w:type="dxa"/>
            <w:shd w:val="clear" w:color="auto" w:fill="auto"/>
          </w:tcPr>
          <w:p w14:paraId="5FABA671" w14:textId="77777777" w:rsidR="00780F31" w:rsidRPr="006C65B4" w:rsidRDefault="00780F31" w:rsidP="007A1FD6">
            <w:pPr>
              <w:pStyle w:val="Tabletext"/>
              <w:rPr>
                <w:b/>
                <w:bCs/>
                <w:lang w:val="ru-RU"/>
              </w:rPr>
            </w:pPr>
            <w:r w:rsidRPr="006C65B4">
              <w:rPr>
                <w:lang w:val="ru-RU"/>
              </w:rPr>
              <w:t>Каждая процедура включена в соответствующий служебный приказ.</w:t>
            </w:r>
          </w:p>
        </w:tc>
      </w:tr>
      <w:tr w:rsidR="00780F31" w:rsidRPr="006C65B4" w14:paraId="6611C3A7" w14:textId="77777777" w:rsidTr="007A1FD6">
        <w:trPr>
          <w:cantSplit/>
        </w:trPr>
        <w:tc>
          <w:tcPr>
            <w:tcW w:w="3544" w:type="dxa"/>
            <w:vMerge/>
            <w:shd w:val="clear" w:color="auto" w:fill="FFFFFF" w:themeFill="background1"/>
          </w:tcPr>
          <w:p w14:paraId="1625CAE9" w14:textId="77777777" w:rsidR="00780F31" w:rsidRPr="006C65B4" w:rsidRDefault="00780F31" w:rsidP="007A1FD6">
            <w:pPr>
              <w:pStyle w:val="Tabletext"/>
              <w:rPr>
                <w:lang w:val="ru-RU"/>
              </w:rPr>
            </w:pPr>
          </w:p>
        </w:tc>
        <w:tc>
          <w:tcPr>
            <w:tcW w:w="3987" w:type="dxa"/>
            <w:shd w:val="clear" w:color="auto" w:fill="FFFFFF" w:themeFill="background1"/>
          </w:tcPr>
          <w:p w14:paraId="42E611A7" w14:textId="77777777" w:rsidR="00780F31" w:rsidRPr="006C65B4" w:rsidRDefault="00780F31" w:rsidP="007A1FD6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 xml:space="preserve">Существует функция посредника или медиатора </w:t>
            </w:r>
          </w:p>
        </w:tc>
        <w:tc>
          <w:tcPr>
            <w:tcW w:w="1680" w:type="dxa"/>
            <w:shd w:val="clear" w:color="auto" w:fill="auto"/>
          </w:tcPr>
          <w:p w14:paraId="0F4018AD" w14:textId="77777777" w:rsidR="00780F31" w:rsidRPr="006C65B4" w:rsidRDefault="00780F31" w:rsidP="007A1FD6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61" w:type="dxa"/>
            <w:shd w:val="clear" w:color="auto" w:fill="auto"/>
          </w:tcPr>
          <w:p w14:paraId="28FF52A1" w14:textId="77777777" w:rsidR="00780F31" w:rsidRPr="006C65B4" w:rsidRDefault="00780F31" w:rsidP="007A1FD6">
            <w:pPr>
              <w:pStyle w:val="Tabletext"/>
              <w:rPr>
                <w:lang w:val="ru-RU"/>
              </w:rPr>
            </w:pPr>
          </w:p>
        </w:tc>
      </w:tr>
      <w:tr w:rsidR="00780F31" w:rsidRPr="008A45F9" w14:paraId="217C0C9D" w14:textId="77777777" w:rsidTr="007A1FD6">
        <w:trPr>
          <w:cantSplit/>
        </w:trPr>
        <w:tc>
          <w:tcPr>
            <w:tcW w:w="3544" w:type="dxa"/>
            <w:vMerge w:val="restart"/>
            <w:shd w:val="clear" w:color="auto" w:fill="FFFFFF" w:themeFill="background1"/>
          </w:tcPr>
          <w:p w14:paraId="528BBD5A" w14:textId="579D22A2" w:rsidR="00780F31" w:rsidRPr="006C65B4" w:rsidRDefault="00780F31" w:rsidP="007A1FD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4"/>
              </w:tabs>
              <w:rPr>
                <w:lang w:val="ru-RU"/>
              </w:rPr>
            </w:pPr>
            <w:r w:rsidRPr="006C65B4">
              <w:rPr>
                <w:lang w:val="ru-RU"/>
              </w:rPr>
              <w:t>17</w:t>
            </w:r>
            <w:r w:rsidRPr="006C65B4">
              <w:rPr>
                <w:lang w:val="ru-RU"/>
              </w:rPr>
              <w:tab/>
              <w:t>Сотрудники, консультанты, внештатные работники</w:t>
            </w:r>
            <w:r w:rsidR="007A1FD6" w:rsidRPr="006C65B4">
              <w:rPr>
                <w:lang w:val="ru-RU"/>
              </w:rPr>
              <w:t xml:space="preserve"> и</w:t>
            </w:r>
            <w:r w:rsidRPr="006C65B4">
              <w:rPr>
                <w:lang w:val="ru-RU"/>
              </w:rPr>
              <w:t xml:space="preserve"> заинтересованные стороны/бенефициары имеют доступ к официальным механизмам подачи </w:t>
            </w:r>
            <w:r w:rsidRPr="006C65B4">
              <w:rPr>
                <w:lang w:val="ru-RU"/>
              </w:rPr>
              <w:lastRenderedPageBreak/>
              <w:t>жалоб, а организации имеют механизмы реагирования на эти жалобы</w:t>
            </w:r>
          </w:p>
        </w:tc>
        <w:tc>
          <w:tcPr>
            <w:tcW w:w="3987" w:type="dxa"/>
            <w:shd w:val="clear" w:color="auto" w:fill="FFFFFF" w:themeFill="background1"/>
          </w:tcPr>
          <w:p w14:paraId="55EBFDCF" w14:textId="77777777" w:rsidR="00780F31" w:rsidRPr="006C65B4" w:rsidRDefault="00780F31" w:rsidP="007A1FD6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lastRenderedPageBreak/>
              <w:t>Функция расследования, телефон экстренной связи, формуляры жалоб и т. д. для персонала и внешних сотрудников</w:t>
            </w:r>
          </w:p>
        </w:tc>
        <w:tc>
          <w:tcPr>
            <w:tcW w:w="1680" w:type="dxa"/>
            <w:shd w:val="clear" w:color="auto" w:fill="auto"/>
          </w:tcPr>
          <w:p w14:paraId="5974DF6A" w14:textId="77777777" w:rsidR="00780F31" w:rsidRPr="006C65B4" w:rsidRDefault="00780F31" w:rsidP="007A1FD6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61" w:type="dxa"/>
            <w:shd w:val="clear" w:color="auto" w:fill="auto"/>
          </w:tcPr>
          <w:p w14:paraId="73ABD0F4" w14:textId="032D4FC2" w:rsidR="00780F31" w:rsidRPr="006C65B4" w:rsidRDefault="00780F31" w:rsidP="007A1FD6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 xml:space="preserve">Консультанты и внештатные работники имеют доступ к Административному трибуналу МОТ и </w:t>
            </w:r>
            <w:r w:rsidRPr="006C65B4">
              <w:rPr>
                <w:color w:val="000000"/>
                <w:lang w:val="ru-RU"/>
              </w:rPr>
              <w:t>Апелляционному трибуналу ООН</w:t>
            </w:r>
            <w:r w:rsidRPr="006C65B4">
              <w:rPr>
                <w:lang w:val="ru-RU"/>
              </w:rPr>
              <w:t xml:space="preserve">. Контракты SSA содержат положение, касающееся </w:t>
            </w:r>
            <w:r w:rsidR="00710A50">
              <w:rPr>
                <w:lang w:val="ru-RU"/>
              </w:rPr>
              <w:t>неофициального урегулирования конфликтов</w:t>
            </w:r>
            <w:r w:rsidRPr="006C65B4">
              <w:rPr>
                <w:lang w:val="ru-RU"/>
              </w:rPr>
              <w:t xml:space="preserve"> и обращения в арбитраж.</w:t>
            </w:r>
          </w:p>
        </w:tc>
      </w:tr>
      <w:tr w:rsidR="007A1FD6" w:rsidRPr="008A45F9" w14:paraId="5AFB439A" w14:textId="77777777" w:rsidTr="007A1FD6">
        <w:trPr>
          <w:cantSplit/>
          <w:trHeight w:val="836"/>
        </w:trPr>
        <w:tc>
          <w:tcPr>
            <w:tcW w:w="3544" w:type="dxa"/>
            <w:vMerge/>
            <w:shd w:val="clear" w:color="auto" w:fill="FFFFFF" w:themeFill="background1"/>
          </w:tcPr>
          <w:p w14:paraId="2EFCB323" w14:textId="77777777" w:rsidR="007A1FD6" w:rsidRPr="006C65B4" w:rsidRDefault="007A1FD6" w:rsidP="007A1FD6">
            <w:pPr>
              <w:pStyle w:val="Tabletext"/>
              <w:rPr>
                <w:lang w:val="ru-RU"/>
              </w:rPr>
            </w:pPr>
          </w:p>
        </w:tc>
        <w:tc>
          <w:tcPr>
            <w:tcW w:w="3987" w:type="dxa"/>
            <w:shd w:val="clear" w:color="auto" w:fill="FFFFFF" w:themeFill="background1"/>
          </w:tcPr>
          <w:p w14:paraId="2F70FFDC" w14:textId="77777777" w:rsidR="007A1FD6" w:rsidRPr="006C65B4" w:rsidRDefault="007A1FD6" w:rsidP="007A1FD6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>Механизмы подачи жалоб: рассмотрение споров в Административных трибуналах Организации Объединенных Наций и МОТ</w:t>
            </w:r>
          </w:p>
        </w:tc>
        <w:tc>
          <w:tcPr>
            <w:tcW w:w="1680" w:type="dxa"/>
            <w:shd w:val="clear" w:color="auto" w:fill="FFFFFF" w:themeFill="background1"/>
          </w:tcPr>
          <w:p w14:paraId="1D1472F7" w14:textId="77777777" w:rsidR="007A1FD6" w:rsidRPr="006C65B4" w:rsidRDefault="007A1FD6" w:rsidP="007A1FD6">
            <w:pPr>
              <w:pStyle w:val="Tabletext"/>
              <w:jc w:val="center"/>
              <w:rPr>
                <w:lang w:val="ru-RU"/>
              </w:rPr>
            </w:pPr>
            <w:r w:rsidRPr="006C65B4">
              <w:rPr>
                <w:lang w:val="ru-RU"/>
              </w:rPr>
              <w:sym w:font="Wingdings" w:char="F0FC"/>
            </w:r>
          </w:p>
        </w:tc>
        <w:tc>
          <w:tcPr>
            <w:tcW w:w="5361" w:type="dxa"/>
            <w:shd w:val="clear" w:color="auto" w:fill="auto"/>
          </w:tcPr>
          <w:p w14:paraId="348B319E" w14:textId="77777777" w:rsidR="007A1FD6" w:rsidRPr="006C65B4" w:rsidRDefault="007A1FD6" w:rsidP="007A1FD6">
            <w:pPr>
              <w:pStyle w:val="Tabletext"/>
              <w:rPr>
                <w:lang w:val="ru-RU"/>
              </w:rPr>
            </w:pPr>
            <w:r w:rsidRPr="006C65B4">
              <w:rPr>
                <w:lang w:val="ru-RU"/>
              </w:rPr>
              <w:t xml:space="preserve">Доступны для штатных сотрудников и сотрудников, </w:t>
            </w:r>
            <w:r w:rsidRPr="006C65B4">
              <w:rPr>
                <w:color w:val="000000"/>
                <w:lang w:val="ru-RU"/>
              </w:rPr>
              <w:t>работающих по краткосрочным контрактам</w:t>
            </w:r>
            <w:r w:rsidRPr="006C65B4">
              <w:rPr>
                <w:lang w:val="ru-RU"/>
              </w:rPr>
              <w:t>, а арбитраж − для консультантов и внештатных работников.</w:t>
            </w:r>
          </w:p>
        </w:tc>
      </w:tr>
    </w:tbl>
    <w:p w14:paraId="53C464E5" w14:textId="77777777" w:rsidR="00780F31" w:rsidRPr="006C65B4" w:rsidRDefault="00780F31" w:rsidP="00780F31">
      <w:pPr>
        <w:spacing w:before="480"/>
        <w:jc w:val="center"/>
        <w:rPr>
          <w:lang w:val="ru-RU"/>
        </w:rPr>
      </w:pPr>
      <w:r w:rsidRPr="006C65B4">
        <w:rPr>
          <w:lang w:val="ru-RU"/>
        </w:rPr>
        <w:t>______________</w:t>
      </w:r>
    </w:p>
    <w:sectPr w:rsidR="00780F31" w:rsidRPr="006C65B4" w:rsidSect="00780F31">
      <w:headerReference w:type="default" r:id="rId21"/>
      <w:footerReference w:type="default" r:id="rId22"/>
      <w:headerReference w:type="first" r:id="rId23"/>
      <w:footerReference w:type="first" r:id="rId24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9B5C2" w14:textId="77777777" w:rsidR="00071325" w:rsidRDefault="00071325">
      <w:r>
        <w:separator/>
      </w:r>
    </w:p>
  </w:endnote>
  <w:endnote w:type="continuationSeparator" w:id="0">
    <w:p w14:paraId="48607A20" w14:textId="77777777" w:rsidR="00071325" w:rsidRDefault="0007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21726065" w:rsidR="009C0812" w:rsidRPr="008A45F9" w:rsidRDefault="009C0812" w:rsidP="009B0BAE">
    <w:pPr>
      <w:pStyle w:val="Footer"/>
      <w:rPr>
        <w:color w:val="D9D9D9" w:themeColor="background1" w:themeShade="D9"/>
        <w:sz w:val="18"/>
        <w:szCs w:val="18"/>
      </w:rPr>
    </w:pPr>
    <w:r w:rsidRPr="008A45F9">
      <w:rPr>
        <w:color w:val="D9D9D9" w:themeColor="background1" w:themeShade="D9"/>
      </w:rPr>
      <w:fldChar w:fldCharType="begin"/>
    </w:r>
    <w:r w:rsidRPr="008A45F9">
      <w:rPr>
        <w:color w:val="D9D9D9" w:themeColor="background1" w:themeShade="D9"/>
      </w:rPr>
      <w:instrText xml:space="preserve"> FILENAME \p  \* MERGEFORMAT </w:instrText>
    </w:r>
    <w:r w:rsidRPr="008A45F9">
      <w:rPr>
        <w:color w:val="D9D9D9" w:themeColor="background1" w:themeShade="D9"/>
      </w:rPr>
      <w:fldChar w:fldCharType="separate"/>
    </w:r>
    <w:r w:rsidR="00855448" w:rsidRPr="008A45F9">
      <w:rPr>
        <w:color w:val="D9D9D9" w:themeColor="background1" w:themeShade="D9"/>
      </w:rPr>
      <w:t>P:\RUS\SG\CONSEIL\C20\000\043R.docx</w:t>
    </w:r>
    <w:r w:rsidRPr="008A45F9">
      <w:rPr>
        <w:color w:val="D9D9D9" w:themeColor="background1" w:themeShade="D9"/>
        <w:lang w:val="en-US"/>
      </w:rPr>
      <w:fldChar w:fldCharType="end"/>
    </w:r>
    <w:r w:rsidRPr="008A45F9">
      <w:rPr>
        <w:color w:val="D9D9D9" w:themeColor="background1" w:themeShade="D9"/>
      </w:rPr>
      <w:t xml:space="preserve"> (467352)</w:t>
    </w:r>
    <w:r w:rsidRPr="008A45F9">
      <w:rPr>
        <w:color w:val="D9D9D9" w:themeColor="background1" w:themeShade="D9"/>
      </w:rPr>
      <w:tab/>
    </w:r>
    <w:r w:rsidRPr="008A45F9">
      <w:rPr>
        <w:color w:val="D9D9D9" w:themeColor="background1" w:themeShade="D9"/>
      </w:rPr>
      <w:fldChar w:fldCharType="begin"/>
    </w:r>
    <w:r w:rsidRPr="008A45F9">
      <w:rPr>
        <w:color w:val="D9D9D9" w:themeColor="background1" w:themeShade="D9"/>
      </w:rPr>
      <w:instrText xml:space="preserve"> SAVEDATE \@ DD.MM.YY </w:instrText>
    </w:r>
    <w:r w:rsidRPr="008A45F9">
      <w:rPr>
        <w:color w:val="D9D9D9" w:themeColor="background1" w:themeShade="D9"/>
      </w:rPr>
      <w:fldChar w:fldCharType="separate"/>
    </w:r>
    <w:r w:rsidR="008A45F9" w:rsidRPr="008A45F9">
      <w:rPr>
        <w:color w:val="D9D9D9" w:themeColor="background1" w:themeShade="D9"/>
      </w:rPr>
      <w:t>22.05.20</w:t>
    </w:r>
    <w:r w:rsidRPr="008A45F9">
      <w:rPr>
        <w:color w:val="D9D9D9" w:themeColor="background1" w:themeShade="D9"/>
      </w:rPr>
      <w:fldChar w:fldCharType="end"/>
    </w:r>
    <w:r w:rsidRPr="008A45F9">
      <w:rPr>
        <w:color w:val="D9D9D9" w:themeColor="background1" w:themeShade="D9"/>
      </w:rPr>
      <w:tab/>
    </w:r>
    <w:r w:rsidRPr="008A45F9">
      <w:rPr>
        <w:color w:val="D9D9D9" w:themeColor="background1" w:themeShade="D9"/>
      </w:rPr>
      <w:fldChar w:fldCharType="begin"/>
    </w:r>
    <w:r w:rsidRPr="008A45F9">
      <w:rPr>
        <w:color w:val="D9D9D9" w:themeColor="background1" w:themeShade="D9"/>
      </w:rPr>
      <w:instrText xml:space="preserve"> PRINTDATE \@ DD.MM.YY </w:instrText>
    </w:r>
    <w:r w:rsidRPr="008A45F9">
      <w:rPr>
        <w:color w:val="D9D9D9" w:themeColor="background1" w:themeShade="D9"/>
      </w:rPr>
      <w:fldChar w:fldCharType="separate"/>
    </w:r>
    <w:r w:rsidR="00855448" w:rsidRPr="008A45F9">
      <w:rPr>
        <w:color w:val="D9D9D9" w:themeColor="background1" w:themeShade="D9"/>
      </w:rPr>
      <w:t>28.03.06</w:t>
    </w:r>
    <w:r w:rsidRPr="008A45F9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0D364DFB" w:rsidR="009C0812" w:rsidRPr="00855448" w:rsidRDefault="009C0812" w:rsidP="008A45F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DD29A" w14:textId="1CEFB585" w:rsidR="009C0812" w:rsidRPr="008A45F9" w:rsidRDefault="009C0812" w:rsidP="007A1FD6">
    <w:pPr>
      <w:pStyle w:val="Footer"/>
      <w:tabs>
        <w:tab w:val="clear" w:pos="5954"/>
        <w:tab w:val="clear" w:pos="9639"/>
        <w:tab w:val="left" w:pos="7088"/>
        <w:tab w:val="right" w:pos="13998"/>
      </w:tabs>
      <w:rPr>
        <w:color w:val="D9D9D9" w:themeColor="background1" w:themeShade="D9"/>
        <w:sz w:val="18"/>
        <w:szCs w:val="18"/>
      </w:rPr>
    </w:pPr>
    <w:r w:rsidRPr="008A45F9">
      <w:rPr>
        <w:color w:val="D9D9D9" w:themeColor="background1" w:themeShade="D9"/>
      </w:rPr>
      <w:fldChar w:fldCharType="begin"/>
    </w:r>
    <w:r w:rsidRPr="008A45F9">
      <w:rPr>
        <w:color w:val="D9D9D9" w:themeColor="background1" w:themeShade="D9"/>
      </w:rPr>
      <w:instrText xml:space="preserve"> FILENAME \p  \* MERGEFORMAT </w:instrText>
    </w:r>
    <w:r w:rsidRPr="008A45F9">
      <w:rPr>
        <w:color w:val="D9D9D9" w:themeColor="background1" w:themeShade="D9"/>
      </w:rPr>
      <w:fldChar w:fldCharType="separate"/>
    </w:r>
    <w:r w:rsidR="00855448" w:rsidRPr="008A45F9">
      <w:rPr>
        <w:color w:val="D9D9D9" w:themeColor="background1" w:themeShade="D9"/>
      </w:rPr>
      <w:t>P:\RUS\SG\CONSEIL\C20\000\043R.docx</w:t>
    </w:r>
    <w:r w:rsidRPr="008A45F9">
      <w:rPr>
        <w:color w:val="D9D9D9" w:themeColor="background1" w:themeShade="D9"/>
        <w:lang w:val="en-US"/>
      </w:rPr>
      <w:fldChar w:fldCharType="end"/>
    </w:r>
    <w:r w:rsidRPr="008A45F9">
      <w:rPr>
        <w:color w:val="D9D9D9" w:themeColor="background1" w:themeShade="D9"/>
      </w:rPr>
      <w:t xml:space="preserve"> (467352)</w:t>
    </w:r>
    <w:r w:rsidRPr="008A45F9">
      <w:rPr>
        <w:color w:val="D9D9D9" w:themeColor="background1" w:themeShade="D9"/>
      </w:rPr>
      <w:tab/>
    </w:r>
    <w:r w:rsidRPr="008A45F9">
      <w:rPr>
        <w:color w:val="D9D9D9" w:themeColor="background1" w:themeShade="D9"/>
      </w:rPr>
      <w:fldChar w:fldCharType="begin"/>
    </w:r>
    <w:r w:rsidRPr="008A45F9">
      <w:rPr>
        <w:color w:val="D9D9D9" w:themeColor="background1" w:themeShade="D9"/>
      </w:rPr>
      <w:instrText xml:space="preserve"> SAVEDATE \@ DD.MM.YY </w:instrText>
    </w:r>
    <w:r w:rsidRPr="008A45F9">
      <w:rPr>
        <w:color w:val="D9D9D9" w:themeColor="background1" w:themeShade="D9"/>
      </w:rPr>
      <w:fldChar w:fldCharType="separate"/>
    </w:r>
    <w:r w:rsidR="008A45F9" w:rsidRPr="008A45F9">
      <w:rPr>
        <w:color w:val="D9D9D9" w:themeColor="background1" w:themeShade="D9"/>
      </w:rPr>
      <w:t>22.05.20</w:t>
    </w:r>
    <w:r w:rsidRPr="008A45F9">
      <w:rPr>
        <w:color w:val="D9D9D9" w:themeColor="background1" w:themeShade="D9"/>
      </w:rPr>
      <w:fldChar w:fldCharType="end"/>
    </w:r>
    <w:r w:rsidRPr="008A45F9">
      <w:rPr>
        <w:color w:val="D9D9D9" w:themeColor="background1" w:themeShade="D9"/>
      </w:rPr>
      <w:tab/>
    </w:r>
    <w:r w:rsidRPr="008A45F9">
      <w:rPr>
        <w:color w:val="D9D9D9" w:themeColor="background1" w:themeShade="D9"/>
      </w:rPr>
      <w:fldChar w:fldCharType="begin"/>
    </w:r>
    <w:r w:rsidRPr="008A45F9">
      <w:rPr>
        <w:color w:val="D9D9D9" w:themeColor="background1" w:themeShade="D9"/>
      </w:rPr>
      <w:instrText xml:space="preserve"> PRINTDATE \@ DD.MM.YY </w:instrText>
    </w:r>
    <w:r w:rsidRPr="008A45F9">
      <w:rPr>
        <w:color w:val="D9D9D9" w:themeColor="background1" w:themeShade="D9"/>
      </w:rPr>
      <w:fldChar w:fldCharType="separate"/>
    </w:r>
    <w:r w:rsidR="00855448" w:rsidRPr="008A45F9">
      <w:rPr>
        <w:color w:val="D9D9D9" w:themeColor="background1" w:themeShade="D9"/>
      </w:rPr>
      <w:t>28.03.06</w:t>
    </w:r>
    <w:r w:rsidRPr="008A45F9">
      <w:rPr>
        <w:color w:val="D9D9D9" w:themeColor="background1" w:themeShade="D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E667" w14:textId="40667D86" w:rsidR="009C0812" w:rsidRPr="008A45F9" w:rsidRDefault="009C0812" w:rsidP="007A1FD6">
    <w:pPr>
      <w:pStyle w:val="Footer"/>
      <w:tabs>
        <w:tab w:val="clear" w:pos="5954"/>
        <w:tab w:val="clear" w:pos="9639"/>
        <w:tab w:val="left" w:pos="7088"/>
        <w:tab w:val="right" w:pos="13998"/>
      </w:tabs>
      <w:rPr>
        <w:color w:val="D9D9D9" w:themeColor="background1" w:themeShade="D9"/>
      </w:rPr>
    </w:pPr>
    <w:r w:rsidRPr="008A45F9">
      <w:rPr>
        <w:color w:val="D9D9D9" w:themeColor="background1" w:themeShade="D9"/>
        <w:lang w:val="en-US"/>
      </w:rPr>
      <w:fldChar w:fldCharType="begin"/>
    </w:r>
    <w:r w:rsidRPr="008A45F9">
      <w:rPr>
        <w:color w:val="D9D9D9" w:themeColor="background1" w:themeShade="D9"/>
      </w:rPr>
      <w:instrText xml:space="preserve"> FILENAME \p  \* MERGEFORMAT </w:instrText>
    </w:r>
    <w:r w:rsidRPr="008A45F9">
      <w:rPr>
        <w:color w:val="D9D9D9" w:themeColor="background1" w:themeShade="D9"/>
        <w:lang w:val="en-US"/>
      </w:rPr>
      <w:fldChar w:fldCharType="separate"/>
    </w:r>
    <w:r w:rsidR="00855448" w:rsidRPr="008A45F9">
      <w:rPr>
        <w:color w:val="D9D9D9" w:themeColor="background1" w:themeShade="D9"/>
      </w:rPr>
      <w:t>P:\RUS\SG\CONSEIL\C20\000\043R.docx</w:t>
    </w:r>
    <w:r w:rsidRPr="008A45F9">
      <w:rPr>
        <w:color w:val="D9D9D9" w:themeColor="background1" w:themeShade="D9"/>
        <w:lang w:val="en-US"/>
      </w:rPr>
      <w:fldChar w:fldCharType="end"/>
    </w:r>
    <w:r w:rsidRPr="008A45F9">
      <w:rPr>
        <w:color w:val="D9D9D9" w:themeColor="background1" w:themeShade="D9"/>
      </w:rPr>
      <w:t xml:space="preserve"> (467352)</w:t>
    </w:r>
    <w:r w:rsidRPr="008A45F9">
      <w:rPr>
        <w:color w:val="D9D9D9" w:themeColor="background1" w:themeShade="D9"/>
      </w:rPr>
      <w:tab/>
    </w:r>
    <w:r w:rsidRPr="008A45F9">
      <w:rPr>
        <w:color w:val="D9D9D9" w:themeColor="background1" w:themeShade="D9"/>
      </w:rPr>
      <w:fldChar w:fldCharType="begin"/>
    </w:r>
    <w:r w:rsidRPr="008A45F9">
      <w:rPr>
        <w:color w:val="D9D9D9" w:themeColor="background1" w:themeShade="D9"/>
      </w:rPr>
      <w:instrText xml:space="preserve"> SAVEDATE \@ DD.MM.YY </w:instrText>
    </w:r>
    <w:r w:rsidRPr="008A45F9">
      <w:rPr>
        <w:color w:val="D9D9D9" w:themeColor="background1" w:themeShade="D9"/>
      </w:rPr>
      <w:fldChar w:fldCharType="separate"/>
    </w:r>
    <w:r w:rsidR="008A45F9" w:rsidRPr="008A45F9">
      <w:rPr>
        <w:color w:val="D9D9D9" w:themeColor="background1" w:themeShade="D9"/>
      </w:rPr>
      <w:t>22.05.20</w:t>
    </w:r>
    <w:r w:rsidRPr="008A45F9">
      <w:rPr>
        <w:color w:val="D9D9D9" w:themeColor="background1" w:themeShade="D9"/>
      </w:rPr>
      <w:fldChar w:fldCharType="end"/>
    </w:r>
    <w:r w:rsidRPr="008A45F9">
      <w:rPr>
        <w:color w:val="D9D9D9" w:themeColor="background1" w:themeShade="D9"/>
      </w:rPr>
      <w:tab/>
    </w:r>
    <w:r w:rsidRPr="008A45F9">
      <w:rPr>
        <w:color w:val="D9D9D9" w:themeColor="background1" w:themeShade="D9"/>
      </w:rPr>
      <w:fldChar w:fldCharType="begin"/>
    </w:r>
    <w:r w:rsidRPr="008A45F9">
      <w:rPr>
        <w:color w:val="D9D9D9" w:themeColor="background1" w:themeShade="D9"/>
      </w:rPr>
      <w:instrText xml:space="preserve"> PRINTDATE \@ DD.MM.YY </w:instrText>
    </w:r>
    <w:r w:rsidRPr="008A45F9">
      <w:rPr>
        <w:color w:val="D9D9D9" w:themeColor="background1" w:themeShade="D9"/>
      </w:rPr>
      <w:fldChar w:fldCharType="separate"/>
    </w:r>
    <w:r w:rsidR="00855448" w:rsidRPr="008A45F9">
      <w:rPr>
        <w:color w:val="D9D9D9" w:themeColor="background1" w:themeShade="D9"/>
      </w:rPr>
      <w:t>28.03.06</w:t>
    </w:r>
    <w:r w:rsidRPr="008A45F9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01176" w14:textId="77777777" w:rsidR="00071325" w:rsidRDefault="00071325">
      <w:r>
        <w:t>____________________</w:t>
      </w:r>
    </w:p>
  </w:footnote>
  <w:footnote w:type="continuationSeparator" w:id="0">
    <w:p w14:paraId="32B0ED75" w14:textId="77777777" w:rsidR="00071325" w:rsidRDefault="0007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77777777" w:rsidR="009C0812" w:rsidRDefault="009C0812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71A9E69" w14:textId="1F166B5C" w:rsidR="009C0812" w:rsidRDefault="009C0812" w:rsidP="005B3DEC">
    <w:pPr>
      <w:pStyle w:val="Header"/>
      <w:spacing w:after="480"/>
    </w:pPr>
    <w:r>
      <w:t>C20/</w:t>
    </w:r>
    <w:r>
      <w:rPr>
        <w:lang w:val="ru-RU"/>
      </w:rPr>
      <w:t>43</w:t>
    </w:r>
    <w: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FEB47" w14:textId="77777777" w:rsidR="009C0812" w:rsidRDefault="009C0812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401D2E4" w14:textId="77777777" w:rsidR="009C0812" w:rsidRDefault="009C0812" w:rsidP="005B3DEC">
    <w:pPr>
      <w:pStyle w:val="Header"/>
      <w:spacing w:after="480"/>
    </w:pPr>
    <w:r>
      <w:t>C20/</w:t>
    </w:r>
    <w:r>
      <w:rPr>
        <w:lang w:val="ru-RU"/>
      </w:rPr>
      <w:t>43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264A8" w14:textId="77777777" w:rsidR="009C0812" w:rsidRDefault="009C0812" w:rsidP="00780F31">
    <w:pPr>
      <w:pStyle w:val="Header"/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</w:p>
  <w:p w14:paraId="0B3C5D6C" w14:textId="77777777" w:rsidR="009C0812" w:rsidRDefault="009C0812" w:rsidP="00780F31">
    <w:pPr>
      <w:pStyle w:val="Header"/>
      <w:spacing w:after="480"/>
    </w:pPr>
    <w:r>
      <w:t>C20/</w:t>
    </w:r>
    <w:r>
      <w:rPr>
        <w:lang w:val="ru-RU"/>
      </w:rPr>
      <w:t>43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2E"/>
    <w:rsid w:val="000076FA"/>
    <w:rsid w:val="000154B2"/>
    <w:rsid w:val="00021080"/>
    <w:rsid w:val="0002183E"/>
    <w:rsid w:val="000569B4"/>
    <w:rsid w:val="00071325"/>
    <w:rsid w:val="00080E82"/>
    <w:rsid w:val="000E568E"/>
    <w:rsid w:val="0014734F"/>
    <w:rsid w:val="0015710D"/>
    <w:rsid w:val="00163A32"/>
    <w:rsid w:val="00192B41"/>
    <w:rsid w:val="001A3B2F"/>
    <w:rsid w:val="001B7B09"/>
    <w:rsid w:val="001C7C3C"/>
    <w:rsid w:val="001E2F02"/>
    <w:rsid w:val="001E6719"/>
    <w:rsid w:val="001F780E"/>
    <w:rsid w:val="00223329"/>
    <w:rsid w:val="00225368"/>
    <w:rsid w:val="00227FF0"/>
    <w:rsid w:val="00291EB6"/>
    <w:rsid w:val="002A0075"/>
    <w:rsid w:val="002B788D"/>
    <w:rsid w:val="002D2F57"/>
    <w:rsid w:val="002D48C5"/>
    <w:rsid w:val="002D5503"/>
    <w:rsid w:val="003832DF"/>
    <w:rsid w:val="003A5A62"/>
    <w:rsid w:val="003F099E"/>
    <w:rsid w:val="003F235E"/>
    <w:rsid w:val="003F3012"/>
    <w:rsid w:val="004023E0"/>
    <w:rsid w:val="00403DD8"/>
    <w:rsid w:val="00442515"/>
    <w:rsid w:val="004505BE"/>
    <w:rsid w:val="0045300B"/>
    <w:rsid w:val="0045686C"/>
    <w:rsid w:val="004918C4"/>
    <w:rsid w:val="00497703"/>
    <w:rsid w:val="004A0374"/>
    <w:rsid w:val="004A45B5"/>
    <w:rsid w:val="004D0129"/>
    <w:rsid w:val="005218A2"/>
    <w:rsid w:val="005336AE"/>
    <w:rsid w:val="005A64D5"/>
    <w:rsid w:val="005B3DEC"/>
    <w:rsid w:val="005D7BC5"/>
    <w:rsid w:val="00601994"/>
    <w:rsid w:val="00611060"/>
    <w:rsid w:val="006751F3"/>
    <w:rsid w:val="00684622"/>
    <w:rsid w:val="006B4CC1"/>
    <w:rsid w:val="006C65B4"/>
    <w:rsid w:val="006E2D42"/>
    <w:rsid w:val="00703676"/>
    <w:rsid w:val="00707304"/>
    <w:rsid w:val="00710A50"/>
    <w:rsid w:val="00732269"/>
    <w:rsid w:val="00732FD7"/>
    <w:rsid w:val="007513A4"/>
    <w:rsid w:val="00780F31"/>
    <w:rsid w:val="00785ABD"/>
    <w:rsid w:val="007954A9"/>
    <w:rsid w:val="007A1FD6"/>
    <w:rsid w:val="007A2DD4"/>
    <w:rsid w:val="007D38B5"/>
    <w:rsid w:val="007E3573"/>
    <w:rsid w:val="007E7EA0"/>
    <w:rsid w:val="007F1AD6"/>
    <w:rsid w:val="00807255"/>
    <w:rsid w:val="0081023E"/>
    <w:rsid w:val="008173AA"/>
    <w:rsid w:val="00840A14"/>
    <w:rsid w:val="00855448"/>
    <w:rsid w:val="008A45F9"/>
    <w:rsid w:val="008B62B4"/>
    <w:rsid w:val="008D2D7B"/>
    <w:rsid w:val="008E0737"/>
    <w:rsid w:val="008E77F9"/>
    <w:rsid w:val="008F7C2C"/>
    <w:rsid w:val="009132A9"/>
    <w:rsid w:val="00940E96"/>
    <w:rsid w:val="00996DDB"/>
    <w:rsid w:val="009B0BAE"/>
    <w:rsid w:val="009C0812"/>
    <w:rsid w:val="009C1C89"/>
    <w:rsid w:val="009E1A71"/>
    <w:rsid w:val="009F3448"/>
    <w:rsid w:val="009F69EC"/>
    <w:rsid w:val="00A01CF9"/>
    <w:rsid w:val="00A14629"/>
    <w:rsid w:val="00A71773"/>
    <w:rsid w:val="00A8780D"/>
    <w:rsid w:val="00A87CDF"/>
    <w:rsid w:val="00A90A2E"/>
    <w:rsid w:val="00A96ADA"/>
    <w:rsid w:val="00AB5FCD"/>
    <w:rsid w:val="00AC5741"/>
    <w:rsid w:val="00AD23C2"/>
    <w:rsid w:val="00AE2C85"/>
    <w:rsid w:val="00B03124"/>
    <w:rsid w:val="00B12A37"/>
    <w:rsid w:val="00B63EF2"/>
    <w:rsid w:val="00BA7D89"/>
    <w:rsid w:val="00BC0D39"/>
    <w:rsid w:val="00BC7BC0"/>
    <w:rsid w:val="00BD57B7"/>
    <w:rsid w:val="00BE63E2"/>
    <w:rsid w:val="00C5515E"/>
    <w:rsid w:val="00C946C3"/>
    <w:rsid w:val="00CB7A3B"/>
    <w:rsid w:val="00CD2009"/>
    <w:rsid w:val="00CF629C"/>
    <w:rsid w:val="00D92EEA"/>
    <w:rsid w:val="00DA43C5"/>
    <w:rsid w:val="00DA5D4E"/>
    <w:rsid w:val="00DC29EC"/>
    <w:rsid w:val="00DC6B5C"/>
    <w:rsid w:val="00E176BA"/>
    <w:rsid w:val="00E21F89"/>
    <w:rsid w:val="00E423EC"/>
    <w:rsid w:val="00E51D67"/>
    <w:rsid w:val="00E55121"/>
    <w:rsid w:val="00EB4FCB"/>
    <w:rsid w:val="00EC6BC5"/>
    <w:rsid w:val="00EF3650"/>
    <w:rsid w:val="00F35898"/>
    <w:rsid w:val="00F5225B"/>
    <w:rsid w:val="00F8165C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7954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0F3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C65B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C65B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jiu.org/sites/www.unjiu.org/files/jiu_rep_2011_5_russian.pdf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7-CL-C-0064/en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itu.int/en/ethics/Documents/SO-2019-009-en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jiu.org/sites/www.unjiu.org/files/jiu_rep_2016_1_russian.pdf" TargetMode="External"/><Relationship Id="rId24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hyperlink" Target="https://www.un.org/en/ga/search/view_doc.asp?symbol=A/RES/64/259&amp;Lang=R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yperlink" Target="https://www.itu.int/en/council/Documents/Financial-Regulations/S-GEN-REG_RGTFIN-2018-PDF-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njiu.org/sites/www.unjiu.org/files/jiu_rep_2016_1_russian.pdf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51205-F96B-47A6-9EE6-BC72ADB52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26401-C266-4406-B729-8448CC0E2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ACE0F-69E2-4CEE-A162-9A596DAE01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9</Pages>
  <Words>1979</Words>
  <Characters>14997</Characters>
  <Application>Microsoft Office Word</Application>
  <DocSecurity>4</DocSecurity>
  <Lines>124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16943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Accountability and transparency framework</dc:title>
  <dc:subject>Council 2020</dc:subject>
  <dc:creator>Russian</dc:creator>
  <cp:keywords>C2020, C20</cp:keywords>
  <dc:description/>
  <cp:lastModifiedBy>Brouard, Ricarda</cp:lastModifiedBy>
  <cp:revision>2</cp:revision>
  <cp:lastPrinted>2006-03-28T16:12:00Z</cp:lastPrinted>
  <dcterms:created xsi:type="dcterms:W3CDTF">2020-05-22T09:22:00Z</dcterms:created>
  <dcterms:modified xsi:type="dcterms:W3CDTF">2020-05-22T09:22:00Z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