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BBDD941" w14:textId="77777777" w:rsidTr="006C7CC0">
        <w:trPr>
          <w:cantSplit/>
          <w:trHeight w:val="20"/>
        </w:trPr>
        <w:tc>
          <w:tcPr>
            <w:tcW w:w="6620" w:type="dxa"/>
          </w:tcPr>
          <w:p w14:paraId="376C50E6" w14:textId="77777777" w:rsidR="00290728" w:rsidRPr="00290728" w:rsidRDefault="00290728" w:rsidP="0026373E">
            <w:pPr>
              <w:spacing w:before="240"/>
              <w:jc w:val="left"/>
              <w:rPr>
                <w:b/>
                <w:bCs/>
                <w:rtl/>
                <w:lang w:bidi="ar-EG"/>
              </w:rPr>
            </w:pPr>
            <w:r w:rsidRPr="006A793B">
              <w:rPr>
                <w:rFonts w:hint="cs"/>
                <w:b/>
                <w:bCs/>
                <w:w w:val="110"/>
                <w:sz w:val="30"/>
                <w:szCs w:val="30"/>
                <w:rtl/>
                <w:lang w:bidi="ar-EG"/>
              </w:rPr>
              <w:t xml:space="preserve">ال‍مجلس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51685CD3"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0D44B9B0" wp14:editId="20943F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88823A5" w14:textId="77777777" w:rsidTr="009F66A8">
        <w:trPr>
          <w:cantSplit/>
          <w:trHeight w:val="20"/>
        </w:trPr>
        <w:tc>
          <w:tcPr>
            <w:tcW w:w="6620" w:type="dxa"/>
            <w:tcBorders>
              <w:bottom w:val="single" w:sz="12" w:space="0" w:color="auto"/>
            </w:tcBorders>
          </w:tcPr>
          <w:p w14:paraId="2D445AD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25DEE35" w14:textId="77777777" w:rsidR="00290728" w:rsidRPr="006A793B" w:rsidRDefault="00290728" w:rsidP="006A793B">
            <w:pPr>
              <w:spacing w:before="0" w:line="120" w:lineRule="auto"/>
              <w:rPr>
                <w:lang w:bidi="ar-EG"/>
              </w:rPr>
            </w:pPr>
          </w:p>
        </w:tc>
      </w:tr>
      <w:tr w:rsidR="00290728" w:rsidRPr="00290728" w14:paraId="3A522162" w14:textId="77777777" w:rsidTr="009F66A8">
        <w:trPr>
          <w:cantSplit/>
          <w:trHeight w:val="20"/>
        </w:trPr>
        <w:tc>
          <w:tcPr>
            <w:tcW w:w="6620" w:type="dxa"/>
            <w:tcBorders>
              <w:top w:val="single" w:sz="12" w:space="0" w:color="auto"/>
            </w:tcBorders>
          </w:tcPr>
          <w:p w14:paraId="79CC5A36"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FADD1B0" w14:textId="77777777" w:rsidR="00290728" w:rsidRPr="00290728" w:rsidRDefault="00290728" w:rsidP="00290728">
            <w:pPr>
              <w:spacing w:before="60" w:after="60" w:line="260" w:lineRule="exact"/>
              <w:rPr>
                <w:b/>
                <w:bCs/>
                <w:lang w:bidi="ar-SY"/>
              </w:rPr>
            </w:pPr>
          </w:p>
        </w:tc>
      </w:tr>
      <w:tr w:rsidR="00290728" w:rsidRPr="00290728" w14:paraId="04A1E6F7" w14:textId="77777777" w:rsidTr="009F66A8">
        <w:trPr>
          <w:cantSplit/>
        </w:trPr>
        <w:tc>
          <w:tcPr>
            <w:tcW w:w="6620" w:type="dxa"/>
          </w:tcPr>
          <w:p w14:paraId="7BD77B46" w14:textId="60A70750" w:rsidR="00290728" w:rsidRPr="002F71D8" w:rsidRDefault="00F9353A" w:rsidP="003C6B4F">
            <w:pPr>
              <w:spacing w:before="20" w:after="20" w:line="300" w:lineRule="exact"/>
              <w:rPr>
                <w:b/>
                <w:bCs/>
                <w:lang w:bidi="ar-EG"/>
              </w:rPr>
            </w:pPr>
            <w:r>
              <w:rPr>
                <w:rFonts w:hint="cs"/>
                <w:b/>
                <w:bCs/>
                <w:rtl/>
                <w:lang w:bidi="ar-EG"/>
              </w:rPr>
              <w:t xml:space="preserve">بند جدول الأعمال: </w:t>
            </w:r>
            <w:r>
              <w:rPr>
                <w:b/>
              </w:rPr>
              <w:t>ADM 22</w:t>
            </w:r>
          </w:p>
        </w:tc>
        <w:tc>
          <w:tcPr>
            <w:tcW w:w="3052" w:type="dxa"/>
            <w:vAlign w:val="center"/>
          </w:tcPr>
          <w:p w14:paraId="14A121FF" w14:textId="7CC9513E"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F9353A">
              <w:rPr>
                <w:b/>
                <w:bCs/>
                <w:lang w:bidi="ar-SY"/>
              </w:rPr>
              <w:t>43</w:t>
            </w:r>
            <w:r w:rsidRPr="002F71D8">
              <w:rPr>
                <w:b/>
                <w:bCs/>
                <w:lang w:bidi="ar-SY"/>
              </w:rPr>
              <w:t>-A</w:t>
            </w:r>
          </w:p>
        </w:tc>
      </w:tr>
      <w:tr w:rsidR="00290728" w:rsidRPr="00290728" w14:paraId="3C33C6C3" w14:textId="77777777" w:rsidTr="009F66A8">
        <w:trPr>
          <w:cantSplit/>
        </w:trPr>
        <w:tc>
          <w:tcPr>
            <w:tcW w:w="6620" w:type="dxa"/>
          </w:tcPr>
          <w:p w14:paraId="52265577" w14:textId="77777777" w:rsidR="00290728" w:rsidRPr="002F71D8" w:rsidRDefault="00290728" w:rsidP="003C6B4F">
            <w:pPr>
              <w:spacing w:before="20" w:after="20" w:line="300" w:lineRule="exact"/>
              <w:rPr>
                <w:b/>
                <w:bCs/>
                <w:lang w:bidi="ar-SY"/>
              </w:rPr>
            </w:pPr>
          </w:p>
        </w:tc>
        <w:tc>
          <w:tcPr>
            <w:tcW w:w="3052" w:type="dxa"/>
            <w:vAlign w:val="center"/>
          </w:tcPr>
          <w:p w14:paraId="23A997DD" w14:textId="6DB979B9" w:rsidR="00290728" w:rsidRPr="002F71D8" w:rsidRDefault="00F9353A" w:rsidP="003C6B4F">
            <w:pPr>
              <w:spacing w:before="20" w:after="20" w:line="300" w:lineRule="exact"/>
              <w:rPr>
                <w:b/>
                <w:bCs/>
                <w:rtl/>
                <w:lang w:bidi="ar-EG"/>
              </w:rPr>
            </w:pPr>
            <w:r>
              <w:rPr>
                <w:b/>
                <w:bCs/>
                <w:lang w:bidi="ar-SY"/>
              </w:rPr>
              <w:t>29</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351A9C4" w14:textId="77777777" w:rsidTr="009F66A8">
        <w:trPr>
          <w:cantSplit/>
        </w:trPr>
        <w:tc>
          <w:tcPr>
            <w:tcW w:w="6620" w:type="dxa"/>
          </w:tcPr>
          <w:p w14:paraId="295CF9A3" w14:textId="77777777" w:rsidR="00290728" w:rsidRPr="002F71D8" w:rsidRDefault="00290728" w:rsidP="003C6B4F">
            <w:pPr>
              <w:spacing w:before="20" w:after="20" w:line="300" w:lineRule="exact"/>
              <w:rPr>
                <w:b/>
                <w:bCs/>
                <w:lang w:bidi="ar-EG"/>
              </w:rPr>
            </w:pPr>
          </w:p>
        </w:tc>
        <w:tc>
          <w:tcPr>
            <w:tcW w:w="3052" w:type="dxa"/>
            <w:vAlign w:val="center"/>
          </w:tcPr>
          <w:p w14:paraId="6EE1B109" w14:textId="77777777" w:rsidR="00290728" w:rsidRPr="00F9353A" w:rsidRDefault="00290728" w:rsidP="003C6B4F">
            <w:pPr>
              <w:spacing w:before="20" w:after="20" w:line="300" w:lineRule="exact"/>
              <w:rPr>
                <w:b/>
                <w:bCs/>
                <w:lang w:bidi="ar-SY"/>
              </w:rPr>
            </w:pPr>
            <w:r w:rsidRPr="00F9353A">
              <w:rPr>
                <w:b/>
                <w:bCs/>
                <w:rtl/>
                <w:lang w:bidi="ar-EG"/>
              </w:rPr>
              <w:t xml:space="preserve">الأصل: </w:t>
            </w:r>
            <w:r w:rsidR="006A793B" w:rsidRPr="00F9353A">
              <w:rPr>
                <w:rFonts w:hint="cs"/>
                <w:b/>
                <w:bCs/>
                <w:rtl/>
                <w:lang w:bidi="ar-EG"/>
              </w:rPr>
              <w:t>بالإنكليزية</w:t>
            </w:r>
          </w:p>
        </w:tc>
      </w:tr>
      <w:tr w:rsidR="00290728" w:rsidRPr="00290728" w14:paraId="1E3BA9F1" w14:textId="77777777" w:rsidTr="009F66A8">
        <w:trPr>
          <w:cantSplit/>
        </w:trPr>
        <w:tc>
          <w:tcPr>
            <w:tcW w:w="9672" w:type="dxa"/>
            <w:gridSpan w:val="2"/>
          </w:tcPr>
          <w:p w14:paraId="4EEABC03" w14:textId="5A7973A2" w:rsidR="00290728" w:rsidRPr="00290728" w:rsidRDefault="00F9353A" w:rsidP="00290728">
            <w:pPr>
              <w:pStyle w:val="Source"/>
              <w:rPr>
                <w:rtl/>
                <w:lang w:bidi="ar-EG"/>
              </w:rPr>
            </w:pPr>
            <w:r>
              <w:rPr>
                <w:rtl/>
                <w:lang w:bidi="ar-SY"/>
              </w:rPr>
              <w:t>تقرير من الأمين العام</w:t>
            </w:r>
          </w:p>
        </w:tc>
      </w:tr>
      <w:tr w:rsidR="00290728" w:rsidRPr="00290728" w14:paraId="1A893AED" w14:textId="77777777" w:rsidTr="009F66A8">
        <w:trPr>
          <w:cantSplit/>
        </w:trPr>
        <w:tc>
          <w:tcPr>
            <w:tcW w:w="9672" w:type="dxa"/>
            <w:gridSpan w:val="2"/>
          </w:tcPr>
          <w:p w14:paraId="71F336C6" w14:textId="777DFD88" w:rsidR="00290728" w:rsidRPr="00383829" w:rsidRDefault="00F9353A" w:rsidP="007C3BCD">
            <w:pPr>
              <w:pStyle w:val="Title1"/>
              <w:rPr>
                <w:rtl/>
              </w:rPr>
            </w:pPr>
            <w:r>
              <w:rPr>
                <w:rtl/>
              </w:rPr>
              <w:t>إطار المساءلة والشفافية</w:t>
            </w:r>
            <w:r w:rsidR="00953826">
              <w:br/>
            </w:r>
            <w:r w:rsidR="00953826">
              <w:rPr>
                <w:rtl/>
              </w:rPr>
              <w:t>الاتحاد الدولي للاتصالات</w:t>
            </w:r>
          </w:p>
        </w:tc>
      </w:tr>
      <w:tr w:rsidR="00DC5FB0" w:rsidRPr="00290728" w14:paraId="0EE2E3C5" w14:textId="77777777" w:rsidTr="009F66A8">
        <w:trPr>
          <w:cantSplit/>
        </w:trPr>
        <w:tc>
          <w:tcPr>
            <w:tcW w:w="9672" w:type="dxa"/>
            <w:gridSpan w:val="2"/>
          </w:tcPr>
          <w:p w14:paraId="1DA64647" w14:textId="444A58F8" w:rsidR="00DC5FB0" w:rsidRPr="00383829" w:rsidRDefault="00DC5FB0" w:rsidP="006A793B">
            <w:pPr>
              <w:rPr>
                <w:rtl/>
              </w:rPr>
            </w:pPr>
          </w:p>
        </w:tc>
      </w:tr>
    </w:tbl>
    <w:p w14:paraId="3148A51B"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522B4DB" w14:textId="77777777" w:rsidTr="00952F86">
        <w:trPr>
          <w:jc w:val="center"/>
        </w:trPr>
        <w:tc>
          <w:tcPr>
            <w:tcW w:w="8080" w:type="dxa"/>
          </w:tcPr>
          <w:p w14:paraId="4AF2BA8D" w14:textId="77777777" w:rsidR="00290728" w:rsidRPr="00290728" w:rsidRDefault="00290728" w:rsidP="00706D7A">
            <w:pPr>
              <w:rPr>
                <w:b/>
                <w:bCs/>
                <w:rtl/>
                <w:lang w:bidi="ar-SY"/>
              </w:rPr>
            </w:pPr>
            <w:r w:rsidRPr="00290728">
              <w:rPr>
                <w:rFonts w:hint="cs"/>
                <w:b/>
                <w:bCs/>
                <w:rtl/>
                <w:lang w:bidi="ar-SY"/>
              </w:rPr>
              <w:t>ملخص</w:t>
            </w:r>
          </w:p>
          <w:p w14:paraId="6BC83653" w14:textId="77777777" w:rsidR="00F9353A" w:rsidRDefault="00F9353A" w:rsidP="00F9353A">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hAnsi="Calibri" w:cs="Traditional Arabic"/>
                <w:lang w:bidi="ar-EG"/>
              </w:rPr>
            </w:pPr>
            <w:r>
              <w:rPr>
                <w:rtl/>
              </w:rPr>
              <w:t xml:space="preserve">وفقاً للاستعراض الذي أجرته وحدة </w:t>
            </w:r>
            <w:r>
              <w:rPr>
                <w:rtl/>
                <w:lang w:bidi="ar-EG"/>
              </w:rPr>
              <w:t>التفتيش المشتركة لإدارة الاتحاد الدولي للاتصالات في عام </w:t>
            </w:r>
            <w:r>
              <w:rPr>
                <w:lang w:val="en-CA" w:bidi="ar-EG"/>
              </w:rPr>
              <w:t>2015</w:t>
            </w:r>
            <w:r>
              <w:rPr>
                <w:rtl/>
                <w:lang w:bidi="ar-EG"/>
              </w:rPr>
              <w:t xml:space="preserve"> (الوثيقة </w:t>
            </w:r>
            <w:hyperlink r:id="rId9" w:history="1">
              <w:r>
                <w:rPr>
                  <w:rStyle w:val="Hyperlink"/>
                  <w:lang w:bidi="ar-EG"/>
                </w:rPr>
                <w:t>JIU/REP/2016/1</w:t>
              </w:r>
            </w:hyperlink>
            <w:r>
              <w:rPr>
                <w:rtl/>
                <w:lang w:bidi="ar-EG"/>
              </w:rPr>
              <w:t xml:space="preserve">)، عرض الأمين العام للاتحاد على المجلس في دورته لعام </w:t>
            </w:r>
            <w:r>
              <w:rPr>
                <w:lang w:val="en-CA" w:bidi="ar-EG"/>
              </w:rPr>
              <w:t>2017</w:t>
            </w:r>
            <w:r>
              <w:rPr>
                <w:rtl/>
                <w:lang w:val="en-CA" w:bidi="ar-EG"/>
              </w:rPr>
              <w:t xml:space="preserve"> </w:t>
            </w:r>
            <w:r>
              <w:rPr>
                <w:rtl/>
                <w:lang w:bidi="ar-EG"/>
              </w:rPr>
              <w:t>إطاراً مستقلاً للمساءلة في الاتحاد يجمع العناصر الأساسية للمساءلة حول ثلاث دعائم رئيسية وما يتصل بها من معايير.</w:t>
            </w:r>
          </w:p>
          <w:p w14:paraId="7AD901D7" w14:textId="7B5391CC" w:rsidR="00F9353A" w:rsidRDefault="00F9353A" w:rsidP="00F9353A">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tl/>
                <w:lang w:bidi="ar-EG"/>
              </w:rPr>
              <w:t>ويقدم هذا التقرير معلومات محد</w:t>
            </w:r>
            <w:r w:rsidR="00B76777">
              <w:rPr>
                <w:rFonts w:hint="cs"/>
                <w:rtl/>
                <w:lang w:bidi="ar-EG"/>
              </w:rPr>
              <w:t>ّ</w:t>
            </w:r>
            <w:r>
              <w:rPr>
                <w:rtl/>
                <w:lang w:bidi="ar-EG"/>
              </w:rPr>
              <w:t xml:space="preserve">ثة عن التقدم المحرز في تنفيذ المعايير المرجعية التي وضعتها وحدة التفتيش المشتركة لإطار المساءلة. </w:t>
            </w:r>
          </w:p>
          <w:p w14:paraId="78DED450" w14:textId="51CD0A7A" w:rsidR="0048036A" w:rsidRPr="0048036A" w:rsidRDefault="0048036A" w:rsidP="0048036A">
            <w:pPr>
              <w:rPr>
                <w:lang w:val="fr-FR" w:bidi="ar-EG"/>
              </w:rPr>
            </w:pPr>
            <w:r>
              <w:rPr>
                <w:rFonts w:hint="cs"/>
                <w:rtl/>
                <w:lang w:bidi="ar-EG"/>
              </w:rPr>
              <w:t xml:space="preserve">ويعتبر </w:t>
            </w:r>
            <w:r w:rsidR="00F37B01">
              <w:rPr>
                <w:rFonts w:hint="cs"/>
                <w:rtl/>
                <w:lang w:bidi="ar"/>
              </w:rPr>
              <w:t>الملحق</w:t>
            </w:r>
            <w:r w:rsidRPr="0048036A">
              <w:rPr>
                <w:rFonts w:hint="cs"/>
                <w:rtl/>
                <w:lang w:bidi="ar"/>
              </w:rPr>
              <w:t xml:space="preserve"> بمثابة قائمة مرجعية للمساءلة. </w:t>
            </w:r>
            <w:r w:rsidR="00F37B01">
              <w:rPr>
                <w:rFonts w:hint="cs"/>
                <w:rtl/>
                <w:lang w:bidi="ar"/>
              </w:rPr>
              <w:t>وسيُعدّ</w:t>
            </w:r>
            <w:r w:rsidRPr="0048036A">
              <w:rPr>
                <w:rFonts w:hint="cs"/>
                <w:rtl/>
                <w:lang w:bidi="ar"/>
              </w:rPr>
              <w:t xml:space="preserve"> إطار </w:t>
            </w:r>
            <w:r>
              <w:rPr>
                <w:rFonts w:hint="cs"/>
                <w:rtl/>
                <w:lang w:bidi="ar"/>
              </w:rPr>
              <w:t>مراج</w:t>
            </w:r>
            <w:r w:rsidR="00B76777">
              <w:rPr>
                <w:rFonts w:hint="cs"/>
                <w:rtl/>
                <w:lang w:bidi="ar"/>
              </w:rPr>
              <w:t>َ</w:t>
            </w:r>
            <w:r>
              <w:rPr>
                <w:rFonts w:hint="cs"/>
                <w:rtl/>
                <w:lang w:bidi="ar"/>
              </w:rPr>
              <w:t>ع</w:t>
            </w:r>
            <w:r w:rsidRPr="0048036A">
              <w:rPr>
                <w:rFonts w:hint="cs"/>
                <w:rtl/>
                <w:lang w:bidi="ar"/>
              </w:rPr>
              <w:t xml:space="preserve"> لمراعاة المبادرات </w:t>
            </w:r>
            <w:r w:rsidR="00A0737C">
              <w:rPr>
                <w:rFonts w:hint="cs"/>
                <w:rtl/>
                <w:lang w:bidi="ar"/>
              </w:rPr>
              <w:t>الأخرى</w:t>
            </w:r>
            <w:r w:rsidR="00EF3F18">
              <w:rPr>
                <w:rFonts w:hint="cs"/>
                <w:rtl/>
                <w:lang w:bidi="ar-EG"/>
              </w:rPr>
              <w:t xml:space="preserve"> </w:t>
            </w:r>
            <w:r w:rsidRPr="0048036A">
              <w:rPr>
                <w:rFonts w:hint="cs"/>
                <w:rtl/>
                <w:lang w:bidi="ar"/>
              </w:rPr>
              <w:t xml:space="preserve">الجارية </w:t>
            </w:r>
            <w:r w:rsidR="00A0737C">
              <w:rPr>
                <w:rFonts w:hint="cs"/>
                <w:rtl/>
                <w:lang w:bidi="ar"/>
              </w:rPr>
              <w:t>بالتوازي</w:t>
            </w:r>
            <w:r w:rsidR="00A0737C" w:rsidRPr="0048036A">
              <w:rPr>
                <w:rFonts w:hint="cs"/>
                <w:rtl/>
                <w:lang w:bidi="ar"/>
              </w:rPr>
              <w:t xml:space="preserve"> </w:t>
            </w:r>
            <w:r w:rsidRPr="0048036A">
              <w:rPr>
                <w:rFonts w:hint="cs"/>
                <w:rtl/>
                <w:lang w:bidi="ar"/>
              </w:rPr>
              <w:t>التي تساهم جميعها في تحسين المساءلة.</w:t>
            </w:r>
          </w:p>
          <w:p w14:paraId="51AC8636" w14:textId="77777777" w:rsidR="00290728" w:rsidRPr="00290728" w:rsidRDefault="00290728" w:rsidP="00706D7A">
            <w:pPr>
              <w:rPr>
                <w:b/>
                <w:bCs/>
                <w:rtl/>
                <w:lang w:bidi="ar-SY"/>
              </w:rPr>
            </w:pPr>
            <w:r w:rsidRPr="00290728">
              <w:rPr>
                <w:rFonts w:hint="cs"/>
                <w:b/>
                <w:bCs/>
                <w:rtl/>
                <w:lang w:bidi="ar-SY"/>
              </w:rPr>
              <w:t>الإجراء المطلوب</w:t>
            </w:r>
          </w:p>
          <w:p w14:paraId="362DAE7B" w14:textId="77777777" w:rsidR="00F9353A" w:rsidRDefault="00F9353A" w:rsidP="00F9353A">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hAnsi="Calibri" w:cs="Traditional Arabic"/>
                <w:lang w:bidi="ar-SY"/>
              </w:rPr>
            </w:pPr>
            <w:r>
              <w:rPr>
                <w:rtl/>
              </w:rPr>
              <w:t xml:space="preserve">يدعى المجلس إلى </w:t>
            </w:r>
            <w:r>
              <w:rPr>
                <w:b/>
                <w:bCs/>
                <w:rtl/>
              </w:rPr>
              <w:t xml:space="preserve">الإحاطة علماً </w:t>
            </w:r>
            <w:r>
              <w:rPr>
                <w:rtl/>
              </w:rPr>
              <w:t>بهذا التقرير.</w:t>
            </w:r>
          </w:p>
          <w:p w14:paraId="0716DADA"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2D692C6" w14:textId="77777777" w:rsidR="00290728" w:rsidRPr="00290728" w:rsidRDefault="00290728" w:rsidP="00290728">
            <w:pPr>
              <w:rPr>
                <w:b/>
                <w:bCs/>
                <w:rtl/>
                <w:lang w:bidi="ar-SY"/>
              </w:rPr>
            </w:pPr>
            <w:r w:rsidRPr="00290728">
              <w:rPr>
                <w:rFonts w:hint="cs"/>
                <w:b/>
                <w:bCs/>
                <w:rtl/>
                <w:lang w:bidi="ar-SY"/>
              </w:rPr>
              <w:t>المراجع</w:t>
            </w:r>
          </w:p>
          <w:p w14:paraId="4CC96489" w14:textId="1711DC55" w:rsidR="00290728" w:rsidRPr="00EC2A73" w:rsidRDefault="00F9353A" w:rsidP="00EC2A73">
            <w:pPr>
              <w:spacing w:after="120"/>
              <w:rPr>
                <w:i/>
                <w:iCs/>
                <w:spacing w:val="-8"/>
                <w:rtl/>
                <w:lang w:bidi="ar-SY"/>
              </w:rPr>
            </w:pPr>
            <w:r w:rsidRPr="00EC2A73">
              <w:rPr>
                <w:spacing w:val="-8"/>
                <w:rtl/>
                <w:lang w:bidi="ar-EG"/>
              </w:rPr>
              <w:t xml:space="preserve">الوثائق </w:t>
            </w:r>
            <w:hyperlink r:id="rId10" w:history="1">
              <w:r w:rsidRPr="00EC2A73">
                <w:rPr>
                  <w:rStyle w:val="Hyperlink"/>
                  <w:spacing w:val="-8"/>
                  <w:lang w:bidi="ar-EG"/>
                </w:rPr>
                <w:t>C17/64</w:t>
              </w:r>
            </w:hyperlink>
            <w:r w:rsidRPr="00EC2A73">
              <w:rPr>
                <w:spacing w:val="-8"/>
                <w:rtl/>
                <w:lang w:bidi="ar-EG"/>
              </w:rPr>
              <w:t xml:space="preserve"> و</w:t>
            </w:r>
            <w:hyperlink r:id="rId11" w:history="1">
              <w:r w:rsidRPr="00EC2A73">
                <w:rPr>
                  <w:rStyle w:val="Hyperlink"/>
                  <w:spacing w:val="-8"/>
                  <w:lang w:bidi="ar-SY"/>
                </w:rPr>
                <w:t>JIU/REP/2011/5</w:t>
              </w:r>
            </w:hyperlink>
            <w:r w:rsidRPr="00EC2A73">
              <w:rPr>
                <w:spacing w:val="-8"/>
                <w:rtl/>
              </w:rPr>
              <w:t xml:space="preserve"> و</w:t>
            </w:r>
            <w:hyperlink r:id="rId12" w:history="1">
              <w:r w:rsidRPr="00EC2A73">
                <w:rPr>
                  <w:rStyle w:val="Hyperlink"/>
                  <w:spacing w:val="-8"/>
                  <w:lang w:bidi="ar-SY"/>
                </w:rPr>
                <w:t>JIU/REP/2016/1</w:t>
              </w:r>
            </w:hyperlink>
            <w:r w:rsidRPr="00EC2A73">
              <w:rPr>
                <w:spacing w:val="-8"/>
                <w:rtl/>
              </w:rPr>
              <w:t xml:space="preserve"> </w:t>
            </w:r>
            <w:hyperlink r:id="rId13" w:history="1">
              <w:r w:rsidRPr="00EC2A73">
                <w:rPr>
                  <w:rStyle w:val="Hyperlink"/>
                  <w:spacing w:val="-8"/>
                  <w:rtl/>
                  <w:lang w:bidi="ar-SY"/>
                </w:rPr>
                <w:t xml:space="preserve">والقرار </w:t>
              </w:r>
              <w:r w:rsidRPr="00EC2A73">
                <w:rPr>
                  <w:rStyle w:val="Hyperlink"/>
                  <w:spacing w:val="-8"/>
                  <w:lang w:bidi="ar-SY"/>
                </w:rPr>
                <w:t>64/259</w:t>
              </w:r>
            </w:hyperlink>
            <w:r w:rsidRPr="00EC2A73">
              <w:rPr>
                <w:rStyle w:val="Hyperlink"/>
                <w:spacing w:val="-8"/>
                <w:rtl/>
                <w:lang w:bidi="ar-SY"/>
              </w:rPr>
              <w:t xml:space="preserve"> للجمعية العامة للأمم المتحدة</w:t>
            </w:r>
          </w:p>
        </w:tc>
      </w:tr>
    </w:tbl>
    <w:p w14:paraId="7F8134A2" w14:textId="6FE9601F" w:rsidR="004E11DC" w:rsidRDefault="004E11DC" w:rsidP="0026373E">
      <w:pPr>
        <w:rPr>
          <w:rtl/>
        </w:rPr>
      </w:pPr>
    </w:p>
    <w:p w14:paraId="671989F5" w14:textId="59CE7037" w:rsidR="00953826" w:rsidRDefault="00953826" w:rsidP="0026373E">
      <w:pPr>
        <w:rPr>
          <w:rtl/>
        </w:rPr>
      </w:pPr>
    </w:p>
    <w:p w14:paraId="5FB3E39E" w14:textId="282159A6" w:rsidR="00953826" w:rsidRPr="00953826" w:rsidRDefault="00953826" w:rsidP="0026373E">
      <w:pPr>
        <w:rPr>
          <w:b/>
          <w:bCs/>
        </w:rPr>
      </w:pPr>
      <w:r w:rsidRPr="00953826">
        <w:rPr>
          <w:rFonts w:hint="cs"/>
          <w:b/>
          <w:bCs/>
          <w:rtl/>
        </w:rPr>
        <w:t xml:space="preserve">الملحقات: </w:t>
      </w:r>
      <w:r w:rsidRPr="00953826">
        <w:rPr>
          <w:b/>
          <w:bCs/>
        </w:rPr>
        <w:t>1</w:t>
      </w:r>
    </w:p>
    <w:p w14:paraId="1ACD2D74" w14:textId="77777777" w:rsidR="00290728" w:rsidRDefault="00290728" w:rsidP="00290728">
      <w:pPr>
        <w:rPr>
          <w:rtl/>
          <w:lang w:bidi="ar-EG"/>
        </w:rPr>
      </w:pPr>
      <w:r>
        <w:rPr>
          <w:rtl/>
          <w:lang w:bidi="ar-SY"/>
        </w:rPr>
        <w:br w:type="page"/>
      </w:r>
    </w:p>
    <w:p w14:paraId="6BDF05B8" w14:textId="77777777" w:rsidR="00F9353A" w:rsidRDefault="00F9353A" w:rsidP="00F9353A">
      <w:pPr>
        <w:rPr>
          <w:rFonts w:ascii="Calibri" w:hAnsi="Calibri" w:cs="Traditional Arabic"/>
          <w:lang w:bidi="ar-EG"/>
        </w:rPr>
      </w:pPr>
      <w:r>
        <w:rPr>
          <w:lang w:bidi="ar-SY"/>
        </w:rPr>
        <w:lastRenderedPageBreak/>
        <w:t>1</w:t>
      </w:r>
      <w:r>
        <w:rPr>
          <w:rtl/>
          <w:lang w:bidi="ar-EG"/>
        </w:rPr>
        <w:tab/>
        <w:t xml:space="preserve">الغرض من هذه الوثيقة تقديم معلومات محدثة عن التقدم المحرز في تنفيذ المعايير المرجعية التي وضعتها وحدة التفتيش المشتركة لإطار المساءلة </w:t>
      </w:r>
      <w:r>
        <w:rPr>
          <w:lang w:bidi="ar-EG"/>
        </w:rPr>
        <w:t>(</w:t>
      </w:r>
      <w:r>
        <w:rPr>
          <w:spacing w:val="-4"/>
          <w:lang w:bidi="ar-EG"/>
        </w:rPr>
        <w:t>AF</w:t>
      </w:r>
      <w:r>
        <w:rPr>
          <w:lang w:bidi="ar-EG"/>
        </w:rPr>
        <w:t>)</w:t>
      </w:r>
      <w:r>
        <w:rPr>
          <w:rtl/>
          <w:lang w:bidi="ar-EG"/>
        </w:rPr>
        <w:t>.</w:t>
      </w:r>
    </w:p>
    <w:p w14:paraId="65EB422D" w14:textId="7B1EBD8D" w:rsidR="00F9353A" w:rsidRDefault="00F9353A" w:rsidP="00F9353A">
      <w:pPr>
        <w:spacing w:after="120"/>
        <w:rPr>
          <w:rtl/>
          <w:lang w:bidi="ar"/>
        </w:rPr>
      </w:pPr>
      <w:r>
        <w:rPr>
          <w:lang w:bidi="ar-EG"/>
        </w:rPr>
        <w:t>2</w:t>
      </w:r>
      <w:r>
        <w:rPr>
          <w:rtl/>
          <w:lang w:bidi="ar-EG"/>
        </w:rPr>
        <w:tab/>
      </w:r>
      <w:r w:rsidR="00B56821">
        <w:rPr>
          <w:rFonts w:hint="cs"/>
          <w:rtl/>
          <w:lang w:bidi="ar-EG"/>
        </w:rPr>
        <w:t>وعلى النحو المشار إليه في الملحق</w:t>
      </w:r>
      <w:r w:rsidR="00953826">
        <w:rPr>
          <w:rFonts w:hint="cs"/>
          <w:rtl/>
          <w:lang w:bidi="ar-EG"/>
        </w:rPr>
        <w:t xml:space="preserve">، </w:t>
      </w:r>
      <w:r>
        <w:rPr>
          <w:rtl/>
          <w:lang w:bidi="ar"/>
        </w:rPr>
        <w:t xml:space="preserve">يستند إطار المساءلة </w:t>
      </w:r>
      <w:r w:rsidR="00B56821">
        <w:rPr>
          <w:rFonts w:hint="cs"/>
          <w:rtl/>
          <w:lang w:bidi="ar"/>
        </w:rPr>
        <w:t>الحالي</w:t>
      </w:r>
      <w:r w:rsidR="00953826">
        <w:rPr>
          <w:rFonts w:hint="cs"/>
          <w:rtl/>
          <w:lang w:bidi="ar"/>
        </w:rPr>
        <w:t xml:space="preserve"> </w:t>
      </w:r>
      <w:r>
        <w:rPr>
          <w:rtl/>
          <w:lang w:bidi="ar"/>
        </w:rPr>
        <w:t>في الاتحاد إلى الدعائم الرئيسية الثلاث القائمة على هيكل وارد في تقرير وحدة التفتيش المشتركة على النحو المبين أدناه.</w:t>
      </w:r>
    </w:p>
    <w:tbl>
      <w:tblPr>
        <w:tblStyle w:val="TableGrid"/>
        <w:bidiVisual/>
        <w:tblW w:w="0" w:type="auto"/>
        <w:jc w:val="center"/>
        <w:tblLook w:val="04A0" w:firstRow="1" w:lastRow="0" w:firstColumn="1" w:lastColumn="0" w:noHBand="0" w:noVBand="1"/>
      </w:tblPr>
      <w:tblGrid>
        <w:gridCol w:w="3116"/>
        <w:gridCol w:w="3117"/>
        <w:gridCol w:w="3117"/>
      </w:tblGrid>
      <w:tr w:rsidR="00F9353A" w:rsidRPr="00953826" w14:paraId="3F8690C4" w14:textId="77777777" w:rsidTr="007C0B26">
        <w:trPr>
          <w:jc w:val="center"/>
        </w:trPr>
        <w:tc>
          <w:tcPr>
            <w:tcW w:w="3116"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D56AC91" w14:textId="77777777" w:rsidR="00F9353A" w:rsidRPr="00953826" w:rsidRDefault="00F9353A" w:rsidP="0013186E">
            <w:pPr>
              <w:pStyle w:val="Tablehead0"/>
              <w:bidi/>
              <w:spacing w:before="60" w:after="60" w:line="260" w:lineRule="exact"/>
              <w:rPr>
                <w:rFonts w:eastAsiaTheme="minorEastAsia"/>
                <w:color w:val="FFFFFF" w:themeColor="background1"/>
                <w:position w:val="2"/>
                <w:sz w:val="20"/>
                <w:szCs w:val="20"/>
                <w:rtl/>
                <w:lang w:eastAsia="zh-CN" w:bidi="ar-EG"/>
              </w:rPr>
            </w:pPr>
            <w:r w:rsidRPr="00953826">
              <w:rPr>
                <w:rFonts w:eastAsiaTheme="minorEastAsia"/>
                <w:color w:val="FFFFFF" w:themeColor="background1"/>
                <w:position w:val="2"/>
                <w:sz w:val="20"/>
                <w:szCs w:val="20"/>
                <w:rtl/>
                <w:lang w:eastAsia="zh-CN"/>
              </w:rPr>
              <w:t xml:space="preserve">الدعامة </w:t>
            </w:r>
            <w:r w:rsidRPr="00953826">
              <w:rPr>
                <w:rFonts w:eastAsiaTheme="minorEastAsia"/>
                <w:color w:val="FFFFFF" w:themeColor="background1"/>
                <w:position w:val="2"/>
                <w:sz w:val="20"/>
                <w:szCs w:val="20"/>
                <w:lang w:val="en-CA" w:eastAsia="zh-CN" w:bidi="ar-SY"/>
              </w:rPr>
              <w:t>1</w:t>
            </w:r>
          </w:p>
          <w:p w14:paraId="5126DF96" w14:textId="77777777" w:rsidR="00F9353A" w:rsidRPr="00953826" w:rsidRDefault="00F9353A" w:rsidP="0013186E">
            <w:pPr>
              <w:pStyle w:val="Tablehead0"/>
              <w:bidi/>
              <w:spacing w:before="60" w:after="60" w:line="260" w:lineRule="exact"/>
              <w:rPr>
                <w:rFonts w:eastAsiaTheme="minorEastAsia"/>
                <w:color w:val="FFFFFF" w:themeColor="background1"/>
                <w:position w:val="2"/>
                <w:sz w:val="20"/>
                <w:szCs w:val="20"/>
                <w:rtl/>
                <w:lang w:eastAsia="zh-CN" w:bidi="ar-SY"/>
              </w:rPr>
            </w:pPr>
            <w:r w:rsidRPr="00953826">
              <w:rPr>
                <w:rFonts w:eastAsiaTheme="minorEastAsia"/>
                <w:color w:val="FFFFFF" w:themeColor="background1"/>
                <w:position w:val="2"/>
                <w:sz w:val="20"/>
                <w:szCs w:val="20"/>
                <w:rtl/>
                <w:lang w:eastAsia="zh-CN"/>
              </w:rPr>
              <w:t>إبرام عهد مع الدول الأعضاء وأعضاء القطاعات والمنتسبين والهيئات الأكاديمية ومستعملي خدمات الاتحاد</w:t>
            </w:r>
          </w:p>
        </w:tc>
        <w:tc>
          <w:tcPr>
            <w:tcW w:w="3117"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B5C5E13" w14:textId="77777777" w:rsidR="00F9353A" w:rsidRPr="00953826" w:rsidRDefault="00F9353A" w:rsidP="0013186E">
            <w:pPr>
              <w:pStyle w:val="Tablehead0"/>
              <w:bidi/>
              <w:spacing w:before="60" w:after="60" w:line="260" w:lineRule="exact"/>
              <w:rPr>
                <w:rFonts w:eastAsiaTheme="minorEastAsia"/>
                <w:color w:val="FFFFFF" w:themeColor="background1"/>
                <w:position w:val="2"/>
                <w:sz w:val="20"/>
                <w:szCs w:val="20"/>
                <w:lang w:eastAsia="zh-CN" w:bidi="ar-EG"/>
              </w:rPr>
            </w:pPr>
            <w:r w:rsidRPr="00953826">
              <w:rPr>
                <w:rFonts w:eastAsiaTheme="minorEastAsia"/>
                <w:color w:val="FFFFFF" w:themeColor="background1"/>
                <w:position w:val="2"/>
                <w:sz w:val="20"/>
                <w:szCs w:val="20"/>
                <w:rtl/>
                <w:lang w:eastAsia="zh-CN"/>
              </w:rPr>
              <w:t xml:space="preserve">الدعامة </w:t>
            </w:r>
            <w:r w:rsidRPr="00953826">
              <w:rPr>
                <w:rFonts w:eastAsiaTheme="minorEastAsia"/>
                <w:color w:val="FFFFFF" w:themeColor="background1"/>
                <w:position w:val="2"/>
                <w:sz w:val="20"/>
                <w:szCs w:val="20"/>
                <w:lang w:val="en-CA" w:eastAsia="zh-CN" w:bidi="ar-SY"/>
              </w:rPr>
              <w:t>2</w:t>
            </w:r>
          </w:p>
          <w:p w14:paraId="0191DDEA" w14:textId="77777777" w:rsidR="00F9353A" w:rsidRPr="00953826" w:rsidRDefault="00F9353A" w:rsidP="0013186E">
            <w:pPr>
              <w:pStyle w:val="Tablehead0"/>
              <w:bidi/>
              <w:spacing w:before="60" w:after="60" w:line="260" w:lineRule="exact"/>
              <w:rPr>
                <w:rFonts w:eastAsiaTheme="minorEastAsia"/>
                <w:color w:val="FFFFFF" w:themeColor="background1"/>
                <w:position w:val="2"/>
                <w:sz w:val="20"/>
                <w:szCs w:val="20"/>
                <w:rtl/>
                <w:lang w:eastAsia="zh-CN"/>
              </w:rPr>
            </w:pPr>
            <w:r w:rsidRPr="00953826">
              <w:rPr>
                <w:rFonts w:eastAsiaTheme="minorEastAsia"/>
                <w:color w:val="FFFFFF" w:themeColor="background1"/>
                <w:position w:val="2"/>
                <w:sz w:val="20"/>
                <w:szCs w:val="20"/>
                <w:rtl/>
                <w:lang w:eastAsia="zh-CN"/>
              </w:rPr>
              <w:t>ضوابط داخلية وإدارة المخاطر</w:t>
            </w:r>
          </w:p>
        </w:tc>
        <w:tc>
          <w:tcPr>
            <w:tcW w:w="3117"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3FB19C5" w14:textId="77777777" w:rsidR="00F9353A" w:rsidRPr="00953826" w:rsidRDefault="00F9353A" w:rsidP="0013186E">
            <w:pPr>
              <w:pStyle w:val="Tablehead0"/>
              <w:bidi/>
              <w:spacing w:before="60" w:after="60" w:line="260" w:lineRule="exact"/>
              <w:rPr>
                <w:rFonts w:eastAsiaTheme="minorEastAsia"/>
                <w:color w:val="FFFFFF" w:themeColor="background1"/>
                <w:position w:val="2"/>
                <w:sz w:val="20"/>
                <w:szCs w:val="20"/>
                <w:rtl/>
                <w:lang w:eastAsia="zh-CN"/>
              </w:rPr>
            </w:pPr>
            <w:r w:rsidRPr="00953826">
              <w:rPr>
                <w:rFonts w:eastAsiaTheme="minorEastAsia"/>
                <w:color w:val="FFFFFF" w:themeColor="background1"/>
                <w:position w:val="2"/>
                <w:sz w:val="20"/>
                <w:szCs w:val="20"/>
                <w:rtl/>
                <w:lang w:eastAsia="zh-CN"/>
              </w:rPr>
              <w:t xml:space="preserve">الدعامة </w:t>
            </w:r>
            <w:r w:rsidRPr="00953826">
              <w:rPr>
                <w:rFonts w:eastAsiaTheme="minorEastAsia"/>
                <w:color w:val="FFFFFF" w:themeColor="background1"/>
                <w:position w:val="2"/>
                <w:sz w:val="20"/>
                <w:szCs w:val="20"/>
                <w:lang w:val="en-CA" w:eastAsia="zh-CN" w:bidi="ar-SY"/>
              </w:rPr>
              <w:t>3</w:t>
            </w:r>
          </w:p>
          <w:p w14:paraId="63188A82" w14:textId="77777777" w:rsidR="00F9353A" w:rsidRPr="00953826" w:rsidRDefault="00F9353A" w:rsidP="0013186E">
            <w:pPr>
              <w:pStyle w:val="Tablehead0"/>
              <w:bidi/>
              <w:spacing w:before="60" w:after="60" w:line="260" w:lineRule="exact"/>
              <w:rPr>
                <w:rFonts w:eastAsiaTheme="minorEastAsia"/>
                <w:color w:val="FFFFFF" w:themeColor="background1"/>
                <w:position w:val="2"/>
                <w:sz w:val="20"/>
                <w:szCs w:val="20"/>
                <w:rtl/>
                <w:lang w:eastAsia="zh-CN" w:bidi="ar-SY"/>
              </w:rPr>
            </w:pPr>
            <w:r w:rsidRPr="00953826">
              <w:rPr>
                <w:rFonts w:eastAsiaTheme="minorEastAsia"/>
                <w:color w:val="FFFFFF" w:themeColor="background1"/>
                <w:position w:val="2"/>
                <w:sz w:val="20"/>
                <w:szCs w:val="20"/>
                <w:rtl/>
                <w:lang w:eastAsia="zh-CN"/>
              </w:rPr>
              <w:t>آلية الشكاوى والاستجابة</w:t>
            </w:r>
          </w:p>
        </w:tc>
      </w:tr>
      <w:tr w:rsidR="00F9353A" w:rsidRPr="00953826" w14:paraId="60ADB5E1" w14:textId="77777777" w:rsidTr="00F9353A">
        <w:trPr>
          <w:jc w:val="center"/>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6C8C7E" w14:textId="77777777" w:rsidR="00F9353A" w:rsidRPr="00953826" w:rsidRDefault="00F9353A" w:rsidP="0013186E">
            <w:pPr>
              <w:tabs>
                <w:tab w:val="left" w:pos="311"/>
              </w:tabs>
              <w:spacing w:before="60" w:after="60" w:line="260" w:lineRule="exact"/>
              <w:ind w:left="311" w:hanging="311"/>
              <w:jc w:val="left"/>
              <w:rPr>
                <w:position w:val="2"/>
                <w:sz w:val="20"/>
                <w:szCs w:val="20"/>
                <w:lang w:bidi="ar-SY"/>
              </w:rPr>
            </w:pPr>
            <w:r w:rsidRPr="00953826">
              <w:rPr>
                <w:position w:val="2"/>
                <w:sz w:val="20"/>
                <w:szCs w:val="20"/>
                <w:rtl/>
              </w:rPr>
              <w:t>-</w:t>
            </w:r>
            <w:r w:rsidRPr="00953826">
              <w:rPr>
                <w:position w:val="2"/>
                <w:sz w:val="20"/>
                <w:szCs w:val="20"/>
                <w:rtl/>
              </w:rPr>
              <w:tab/>
              <w:t>الصكوك الأساسية والاتفاقات والمعاهدات ذات الصلة في الاتحاد</w:t>
            </w:r>
          </w:p>
          <w:p w14:paraId="675676B8" w14:textId="77777777" w:rsidR="00F9353A" w:rsidRPr="00953826" w:rsidRDefault="00F9353A" w:rsidP="0013186E">
            <w:pPr>
              <w:tabs>
                <w:tab w:val="left" w:pos="311"/>
              </w:tabs>
              <w:spacing w:before="60" w:after="60" w:line="260" w:lineRule="exact"/>
              <w:ind w:left="311" w:hanging="311"/>
              <w:jc w:val="left"/>
              <w:rPr>
                <w:position w:val="2"/>
                <w:sz w:val="20"/>
                <w:szCs w:val="20"/>
                <w:lang w:bidi="ar-SY"/>
              </w:rPr>
            </w:pPr>
            <w:r w:rsidRPr="00953826">
              <w:rPr>
                <w:position w:val="2"/>
                <w:sz w:val="20"/>
                <w:szCs w:val="20"/>
                <w:rtl/>
              </w:rPr>
              <w:t>-</w:t>
            </w:r>
            <w:r w:rsidRPr="00953826">
              <w:rPr>
                <w:position w:val="2"/>
                <w:sz w:val="20"/>
                <w:szCs w:val="20"/>
                <w:rtl/>
              </w:rPr>
              <w:tab/>
              <w:t>إطار النتائج في الاتحاد</w:t>
            </w:r>
          </w:p>
        </w:tc>
        <w:tc>
          <w:tcPr>
            <w:tcW w:w="311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154C7A" w14:textId="77777777" w:rsidR="00F9353A" w:rsidRPr="00953826" w:rsidRDefault="00F9353A" w:rsidP="0013186E">
            <w:pPr>
              <w:tabs>
                <w:tab w:val="left" w:pos="314"/>
              </w:tabs>
              <w:spacing w:before="60" w:after="60" w:line="260" w:lineRule="exact"/>
              <w:ind w:left="314" w:hanging="314"/>
              <w:jc w:val="left"/>
              <w:rPr>
                <w:position w:val="2"/>
                <w:sz w:val="20"/>
                <w:szCs w:val="20"/>
                <w:lang w:bidi="ar-SY"/>
              </w:rPr>
            </w:pPr>
            <w:r w:rsidRPr="00953826">
              <w:rPr>
                <w:position w:val="2"/>
                <w:sz w:val="20"/>
                <w:szCs w:val="20"/>
                <w:rtl/>
              </w:rPr>
              <w:t>-</w:t>
            </w:r>
            <w:r w:rsidRPr="00953826">
              <w:rPr>
                <w:position w:val="2"/>
                <w:sz w:val="20"/>
                <w:szCs w:val="20"/>
                <w:rtl/>
              </w:rPr>
              <w:tab/>
              <w:t>بيئة الرقابة</w:t>
            </w:r>
          </w:p>
          <w:p w14:paraId="7B23EA24" w14:textId="77777777" w:rsidR="00F9353A" w:rsidRPr="00953826" w:rsidRDefault="00F9353A" w:rsidP="0013186E">
            <w:pPr>
              <w:tabs>
                <w:tab w:val="left" w:pos="314"/>
              </w:tabs>
              <w:spacing w:before="60" w:after="60" w:line="260" w:lineRule="exact"/>
              <w:ind w:left="314" w:hanging="314"/>
              <w:jc w:val="left"/>
              <w:rPr>
                <w:position w:val="2"/>
                <w:sz w:val="20"/>
                <w:szCs w:val="20"/>
                <w:lang w:bidi="ar-SY"/>
              </w:rPr>
            </w:pPr>
            <w:r w:rsidRPr="00953826">
              <w:rPr>
                <w:position w:val="2"/>
                <w:sz w:val="20"/>
                <w:szCs w:val="20"/>
                <w:rtl/>
              </w:rPr>
              <w:t>-</w:t>
            </w:r>
            <w:r w:rsidRPr="00953826">
              <w:rPr>
                <w:position w:val="2"/>
                <w:sz w:val="20"/>
                <w:szCs w:val="20"/>
                <w:rtl/>
              </w:rPr>
              <w:tab/>
              <w:t>أنشطة الرقابة</w:t>
            </w:r>
          </w:p>
          <w:p w14:paraId="2BDA50CE" w14:textId="77777777" w:rsidR="00F9353A" w:rsidRPr="00953826" w:rsidRDefault="00F9353A" w:rsidP="0013186E">
            <w:pPr>
              <w:tabs>
                <w:tab w:val="left" w:pos="314"/>
              </w:tabs>
              <w:spacing w:before="60" w:after="60" w:line="260" w:lineRule="exact"/>
              <w:ind w:left="314" w:hanging="314"/>
              <w:jc w:val="left"/>
              <w:rPr>
                <w:position w:val="2"/>
                <w:sz w:val="20"/>
                <w:szCs w:val="20"/>
                <w:lang w:bidi="ar-SY"/>
              </w:rPr>
            </w:pPr>
            <w:r w:rsidRPr="00953826">
              <w:rPr>
                <w:position w:val="2"/>
                <w:sz w:val="20"/>
                <w:szCs w:val="20"/>
                <w:rtl/>
              </w:rPr>
              <w:t>-</w:t>
            </w:r>
            <w:r w:rsidRPr="00953826">
              <w:rPr>
                <w:position w:val="2"/>
                <w:sz w:val="20"/>
                <w:szCs w:val="20"/>
                <w:rtl/>
              </w:rPr>
              <w:tab/>
              <w:t>تقييم المخاطر</w:t>
            </w:r>
          </w:p>
          <w:p w14:paraId="3838CEEF" w14:textId="77777777" w:rsidR="00F9353A" w:rsidRDefault="00F9353A" w:rsidP="0013186E">
            <w:pPr>
              <w:tabs>
                <w:tab w:val="left" w:pos="314"/>
              </w:tabs>
              <w:spacing w:before="60" w:after="60" w:line="260" w:lineRule="exact"/>
              <w:ind w:left="314" w:hanging="314"/>
              <w:jc w:val="left"/>
              <w:rPr>
                <w:position w:val="2"/>
                <w:sz w:val="20"/>
                <w:szCs w:val="20"/>
                <w:rtl/>
                <w:lang w:bidi="ar-EG"/>
              </w:rPr>
            </w:pPr>
            <w:r w:rsidRPr="00953826">
              <w:rPr>
                <w:position w:val="2"/>
                <w:sz w:val="20"/>
                <w:szCs w:val="20"/>
                <w:rtl/>
              </w:rPr>
              <w:t>-</w:t>
            </w:r>
            <w:r w:rsidRPr="00953826">
              <w:rPr>
                <w:position w:val="2"/>
                <w:sz w:val="20"/>
                <w:szCs w:val="20"/>
                <w:rtl/>
              </w:rPr>
              <w:tab/>
              <w:t>الرصد</w:t>
            </w:r>
          </w:p>
          <w:p w14:paraId="715AADB3" w14:textId="06F566B2" w:rsidR="0013186E" w:rsidRPr="00953826" w:rsidRDefault="0013186E" w:rsidP="0013186E">
            <w:pPr>
              <w:tabs>
                <w:tab w:val="left" w:pos="314"/>
              </w:tabs>
              <w:spacing w:before="60" w:after="60" w:line="260" w:lineRule="exact"/>
              <w:ind w:left="314" w:hanging="314"/>
              <w:jc w:val="left"/>
              <w:rPr>
                <w:position w:val="2"/>
                <w:sz w:val="20"/>
                <w:szCs w:val="20"/>
                <w:lang w:bidi="ar-EG"/>
              </w:rPr>
            </w:pPr>
            <w:r>
              <w:rPr>
                <w:rFonts w:hint="cs"/>
                <w:position w:val="2"/>
                <w:sz w:val="20"/>
                <w:szCs w:val="20"/>
                <w:rtl/>
                <w:lang w:bidi="ar-EG"/>
              </w:rPr>
              <w:t>-</w:t>
            </w:r>
            <w:r>
              <w:rPr>
                <w:position w:val="2"/>
                <w:sz w:val="20"/>
                <w:szCs w:val="20"/>
                <w:rtl/>
                <w:lang w:bidi="ar-EG"/>
              </w:rPr>
              <w:tab/>
            </w:r>
            <w:r>
              <w:rPr>
                <w:rFonts w:hint="cs"/>
                <w:position w:val="2"/>
                <w:sz w:val="20"/>
                <w:szCs w:val="20"/>
                <w:rtl/>
                <w:lang w:bidi="ar-EG"/>
              </w:rPr>
              <w:t>المشتريات</w:t>
            </w:r>
          </w:p>
        </w:tc>
        <w:tc>
          <w:tcPr>
            <w:tcW w:w="311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51ED37" w14:textId="77777777" w:rsidR="00F9353A" w:rsidRPr="00953826" w:rsidRDefault="00F9353A" w:rsidP="0013186E">
            <w:pPr>
              <w:tabs>
                <w:tab w:val="left" w:pos="315"/>
              </w:tabs>
              <w:spacing w:before="60" w:after="60" w:line="260" w:lineRule="exact"/>
              <w:ind w:left="315" w:hanging="315"/>
              <w:jc w:val="left"/>
              <w:rPr>
                <w:position w:val="2"/>
                <w:sz w:val="20"/>
                <w:szCs w:val="20"/>
                <w:lang w:bidi="ar-SY"/>
              </w:rPr>
            </w:pPr>
            <w:r w:rsidRPr="00953826">
              <w:rPr>
                <w:position w:val="2"/>
                <w:sz w:val="20"/>
                <w:szCs w:val="20"/>
                <w:rtl/>
              </w:rPr>
              <w:t>-</w:t>
            </w:r>
            <w:r w:rsidRPr="00953826">
              <w:rPr>
                <w:position w:val="2"/>
                <w:sz w:val="20"/>
                <w:szCs w:val="20"/>
                <w:rtl/>
              </w:rPr>
              <w:tab/>
              <w:t>موظفو الاتحاد</w:t>
            </w:r>
          </w:p>
          <w:p w14:paraId="590645B9" w14:textId="77777777" w:rsidR="00F9353A" w:rsidRPr="00953826" w:rsidRDefault="00F9353A" w:rsidP="0013186E">
            <w:pPr>
              <w:tabs>
                <w:tab w:val="left" w:pos="315"/>
              </w:tabs>
              <w:spacing w:before="60" w:after="60" w:line="260" w:lineRule="exact"/>
              <w:ind w:left="315" w:hanging="315"/>
              <w:jc w:val="left"/>
              <w:rPr>
                <w:position w:val="2"/>
                <w:sz w:val="20"/>
                <w:szCs w:val="20"/>
                <w:lang w:bidi="ar-SY"/>
              </w:rPr>
            </w:pPr>
            <w:r w:rsidRPr="00953826">
              <w:rPr>
                <w:position w:val="2"/>
                <w:sz w:val="20"/>
                <w:szCs w:val="20"/>
                <w:rtl/>
              </w:rPr>
              <w:t>-</w:t>
            </w:r>
            <w:r w:rsidRPr="00953826">
              <w:rPr>
                <w:position w:val="2"/>
                <w:sz w:val="20"/>
                <w:szCs w:val="20"/>
                <w:rtl/>
              </w:rPr>
              <w:tab/>
            </w:r>
            <w:r w:rsidRPr="00953826">
              <w:rPr>
                <w:spacing w:val="2"/>
                <w:position w:val="2"/>
                <w:sz w:val="20"/>
                <w:szCs w:val="20"/>
                <w:rtl/>
              </w:rPr>
              <w:t>الأعضاء والمستعملون الآخرون لخدمات الاتحاد</w:t>
            </w:r>
          </w:p>
        </w:tc>
      </w:tr>
    </w:tbl>
    <w:p w14:paraId="03275341" w14:textId="2714B051" w:rsidR="00F9353A" w:rsidRDefault="00F9353A" w:rsidP="00736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ascii="Calibri" w:hAnsi="Calibri" w:cs="Traditional Arabic"/>
          <w:spacing w:val="-4"/>
          <w:szCs w:val="30"/>
          <w:lang w:bidi="ar-SY"/>
        </w:rPr>
      </w:pPr>
      <w:r>
        <w:rPr>
          <w:lang w:bidi="ar-SY"/>
        </w:rPr>
        <w:t>3</w:t>
      </w:r>
      <w:r>
        <w:rPr>
          <w:lang w:bidi="ar-SY"/>
        </w:rPr>
        <w:tab/>
      </w:r>
      <w:r>
        <w:rPr>
          <w:rtl/>
          <w:lang w:bidi="ar-SY"/>
        </w:rPr>
        <w:t xml:space="preserve">ويجري استعراض </w:t>
      </w:r>
      <w:r w:rsidR="009669EF">
        <w:rPr>
          <w:rFonts w:hint="cs"/>
          <w:rtl/>
          <w:lang w:bidi="ar-SY"/>
        </w:rPr>
        <w:t>كامل ل</w:t>
      </w:r>
      <w:r>
        <w:rPr>
          <w:rtl/>
          <w:lang w:bidi="ar-SY"/>
        </w:rPr>
        <w:t>إطار المساءلة في الاتحاد</w:t>
      </w:r>
      <w:r w:rsidR="00A44B4C">
        <w:rPr>
          <w:rFonts w:hint="cs"/>
          <w:rtl/>
          <w:lang w:bidi="ar-SY"/>
        </w:rPr>
        <w:t xml:space="preserve">، </w:t>
      </w:r>
      <w:r w:rsidR="00A44B4C">
        <w:rPr>
          <w:rFonts w:hint="cs"/>
          <w:rtl/>
          <w:lang w:bidi="ar"/>
        </w:rPr>
        <w:t>وسيُواء</w:t>
      </w:r>
      <w:r w:rsidR="005E466F">
        <w:rPr>
          <w:rFonts w:hint="cs"/>
          <w:rtl/>
          <w:lang w:bidi="ar"/>
        </w:rPr>
        <w:t>َ</w:t>
      </w:r>
      <w:r w:rsidR="00A44B4C">
        <w:rPr>
          <w:rFonts w:hint="cs"/>
          <w:rtl/>
          <w:lang w:bidi="ar"/>
        </w:rPr>
        <w:t>م</w:t>
      </w:r>
      <w:r w:rsidR="00A44B4C" w:rsidRPr="00A44B4C">
        <w:rPr>
          <w:rFonts w:hint="cs"/>
          <w:rtl/>
          <w:lang w:bidi="ar"/>
        </w:rPr>
        <w:t xml:space="preserve"> مع المبادرات</w:t>
      </w:r>
      <w:r w:rsidR="00A0737C">
        <w:rPr>
          <w:rFonts w:hint="cs"/>
          <w:rtl/>
        </w:rPr>
        <w:t xml:space="preserve"> الأخرى</w:t>
      </w:r>
      <w:r w:rsidR="00A44B4C" w:rsidRPr="00A44B4C">
        <w:rPr>
          <w:rFonts w:hint="cs"/>
          <w:rtl/>
          <w:lang w:bidi="ar"/>
        </w:rPr>
        <w:t xml:space="preserve"> الجارية </w:t>
      </w:r>
      <w:r w:rsidR="00A0737C">
        <w:rPr>
          <w:rFonts w:hint="cs"/>
          <w:rtl/>
          <w:lang w:bidi="ar"/>
        </w:rPr>
        <w:t>بالتوازي</w:t>
      </w:r>
      <w:r w:rsidR="00A0737C" w:rsidRPr="00A44B4C">
        <w:rPr>
          <w:rFonts w:hint="cs"/>
          <w:rtl/>
          <w:lang w:bidi="ar"/>
        </w:rPr>
        <w:t xml:space="preserve"> </w:t>
      </w:r>
      <w:r w:rsidR="00A44B4C" w:rsidRPr="00A44B4C">
        <w:rPr>
          <w:rFonts w:hint="cs"/>
          <w:rtl/>
          <w:lang w:bidi="ar"/>
        </w:rPr>
        <w:t xml:space="preserve">(الإدارة القائمة على النتائج، </w:t>
      </w:r>
      <w:r w:rsidR="00A44B4C">
        <w:rPr>
          <w:rFonts w:hint="cs"/>
          <w:rtl/>
          <w:lang w:bidi="ar"/>
        </w:rPr>
        <w:t>وضع</w:t>
      </w:r>
      <w:r w:rsidR="00A44B4C" w:rsidRPr="00A44B4C">
        <w:rPr>
          <w:rFonts w:hint="cs"/>
          <w:rtl/>
          <w:lang w:bidi="ar"/>
        </w:rPr>
        <w:t xml:space="preserve"> إطار </w:t>
      </w:r>
      <w:r w:rsidR="007367A2">
        <w:rPr>
          <w:rFonts w:hint="cs"/>
          <w:rtl/>
          <w:lang w:bidi="ar-EG"/>
        </w:rPr>
        <w:t xml:space="preserve">بشأن </w:t>
      </w:r>
      <w:r w:rsidR="00A44B4C" w:rsidRPr="00A44B4C">
        <w:rPr>
          <w:rFonts w:hint="cs"/>
          <w:rtl/>
          <w:lang w:bidi="ar"/>
        </w:rPr>
        <w:t>تفويض السلطة، إدارة المخاطر) والتي تساهم جميعها</w:t>
      </w:r>
      <w:r w:rsidR="007367A2">
        <w:rPr>
          <w:rFonts w:hint="cs"/>
          <w:rtl/>
          <w:lang w:bidi="ar"/>
        </w:rPr>
        <w:t xml:space="preserve"> في ضمان مساءلة </w:t>
      </w:r>
      <w:r w:rsidR="003C2116">
        <w:rPr>
          <w:rFonts w:hint="cs"/>
          <w:rtl/>
          <w:lang w:bidi="ar"/>
        </w:rPr>
        <w:t>أ</w:t>
      </w:r>
      <w:r w:rsidR="007367A2">
        <w:rPr>
          <w:rFonts w:hint="cs"/>
          <w:rtl/>
          <w:lang w:bidi="ar"/>
        </w:rPr>
        <w:t>فضل</w:t>
      </w:r>
      <w:r>
        <w:rPr>
          <w:rtl/>
          <w:lang w:bidi="ar-SY"/>
        </w:rPr>
        <w:t>. وسيتم تحديث الإطار لتنعكس فيه المتطلبات أو التحسينات الجديدة الناشئة عن المبادرات الجديدة أو الدروس المستفادة. وسيضمن الاتحاد أن يظل إطار المساءلة مناسباً لولاية الاتحاد وأهدافه. و</w:t>
      </w:r>
      <w:r>
        <w:rPr>
          <w:spacing w:val="-4"/>
          <w:rtl/>
          <w:lang w:bidi="ar-SY"/>
        </w:rPr>
        <w:t xml:space="preserve">سيواصل الاتحاد أيضاً ضمان أن يستجيب إطار المساءلة فيه للظروف المتطورة وأن يراعي أفضل الممارسات في منظومة الأمم المتحدة. </w:t>
      </w:r>
    </w:p>
    <w:p w14:paraId="16B1A847" w14:textId="5C9C24C5" w:rsidR="00F9353A" w:rsidRDefault="00F9353A" w:rsidP="00F9353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EG"/>
        </w:rPr>
      </w:pPr>
      <w:r>
        <w:rPr>
          <w:spacing w:val="-4"/>
          <w:lang w:bidi="ar-SY"/>
        </w:rPr>
        <w:t>4</w:t>
      </w:r>
      <w:r>
        <w:rPr>
          <w:spacing w:val="-4"/>
          <w:rtl/>
          <w:lang w:bidi="ar-EG"/>
        </w:rPr>
        <w:tab/>
        <w:t>ويقدم الجدول الوارد في الملحق معلومات محدثة عن التقدم المحرز في تنفيذ المعايير</w:t>
      </w:r>
      <w:r>
        <w:rPr>
          <w:rFonts w:hint="cs"/>
          <w:spacing w:val="-4"/>
          <w:lang w:bidi="ar-EG"/>
        </w:rPr>
        <w:t xml:space="preserve"> </w:t>
      </w:r>
      <w:r>
        <w:rPr>
          <w:spacing w:val="-4"/>
          <w:rtl/>
          <w:lang w:bidi="ar-EG"/>
        </w:rPr>
        <w:t xml:space="preserve">المرجعية التي وضعتها وحدة التفتيش المشتركة لإطار المساءلة </w:t>
      </w:r>
      <w:r>
        <w:rPr>
          <w:spacing w:val="-4"/>
          <w:lang w:bidi="ar-EG"/>
        </w:rPr>
        <w:t>(AF)</w:t>
      </w:r>
      <w:r>
        <w:rPr>
          <w:spacing w:val="-4"/>
          <w:rtl/>
          <w:lang w:bidi="ar-EG"/>
        </w:rPr>
        <w:t xml:space="preserve"> فيما يتعلق بالدعائم الرئيسية الثلاث الوارد وصفها أعلاه.</w:t>
      </w:r>
    </w:p>
    <w:p w14:paraId="4C5585B2" w14:textId="77777777" w:rsidR="00840B10" w:rsidRDefault="00840B10" w:rsidP="00840B10">
      <w:pPr>
        <w:rPr>
          <w:rtl/>
          <w:lang w:bidi="ar-EG"/>
        </w:rPr>
      </w:pPr>
    </w:p>
    <w:p w14:paraId="41425025" w14:textId="77777777" w:rsidR="00F9353A" w:rsidRDefault="00F9353A" w:rsidP="0026373E">
      <w:pPr>
        <w:rPr>
          <w:rtl/>
          <w:lang w:bidi="ar-EG"/>
        </w:rPr>
        <w:sectPr w:rsidR="00F9353A"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pPr>
    </w:p>
    <w:p w14:paraId="66DED4C5" w14:textId="77777777" w:rsidR="00F9353A" w:rsidRDefault="00F9353A" w:rsidP="00F9353A">
      <w:pPr>
        <w:pStyle w:val="AnnexNo"/>
        <w:rPr>
          <w:rFonts w:ascii="Calibri" w:hAnsi="Calibri" w:cs="Traditional Arabic"/>
        </w:rPr>
      </w:pPr>
      <w:r>
        <w:rPr>
          <w:rtl/>
        </w:rPr>
        <w:lastRenderedPageBreak/>
        <w:t>الملحق</w:t>
      </w:r>
    </w:p>
    <w:p w14:paraId="0D957278" w14:textId="77777777" w:rsidR="00F9353A" w:rsidRDefault="00F9353A" w:rsidP="00953826">
      <w:pPr>
        <w:pStyle w:val="Annextitle"/>
        <w:rPr>
          <w:rtl/>
          <w:lang w:bidi="ar-EG"/>
        </w:rPr>
      </w:pPr>
      <w:r>
        <w:rPr>
          <w:rtl/>
        </w:rPr>
        <w:t>التقدم المحرز في تنفيذ المعايير المرجعية التي وضعتها وحدة التفتيش المشتركة لإطار المساءلة </w:t>
      </w:r>
      <w:r>
        <w:t>(AF)</w:t>
      </w:r>
    </w:p>
    <w:p w14:paraId="39552476" w14:textId="77777777" w:rsidR="00F9353A" w:rsidRDefault="00F9353A" w:rsidP="0013186E">
      <w:pPr>
        <w:pStyle w:val="Headingb"/>
        <w:spacing w:before="120" w:after="120"/>
        <w:rPr>
          <w:rtl/>
          <w:lang w:bidi="ar-EG"/>
        </w:rPr>
      </w:pPr>
      <w:r>
        <w:rPr>
          <w:rtl/>
        </w:rPr>
        <w:t xml:space="preserve">الدعامة </w:t>
      </w:r>
      <w:r>
        <w:t>1</w:t>
      </w:r>
    </w:p>
    <w:tbl>
      <w:tblPr>
        <w:tblStyle w:val="TableGrid"/>
        <w:bidiVisual/>
        <w:tblW w:w="5000" w:type="pct"/>
        <w:tblInd w:w="-5" w:type="dxa"/>
        <w:tblLayout w:type="fixed"/>
        <w:tblLook w:val="04A0" w:firstRow="1" w:lastRow="0" w:firstColumn="1" w:lastColumn="0" w:noHBand="0" w:noVBand="1"/>
      </w:tblPr>
      <w:tblGrid>
        <w:gridCol w:w="2912"/>
        <w:gridCol w:w="3881"/>
        <w:gridCol w:w="1251"/>
        <w:gridCol w:w="6234"/>
      </w:tblGrid>
      <w:tr w:rsidR="00F9353A" w:rsidRPr="0013186E" w14:paraId="08811C74" w14:textId="77777777" w:rsidTr="00F9353A">
        <w:trPr>
          <w:tblHeader/>
        </w:trPr>
        <w:tc>
          <w:tcPr>
            <w:tcW w:w="29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64858E"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المعيار المرجعي</w:t>
            </w:r>
          </w:p>
        </w:tc>
        <w:tc>
          <w:tcPr>
            <w:tcW w:w="388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5646563"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الأدوات</w:t>
            </w:r>
          </w:p>
        </w:tc>
        <w:tc>
          <w:tcPr>
            <w:tcW w:w="12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9267C5"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الحالة</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A3E47A"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التعليق</w:t>
            </w:r>
          </w:p>
        </w:tc>
      </w:tr>
      <w:tr w:rsidR="00F9353A" w:rsidRPr="0013186E" w14:paraId="3BC530E5" w14:textId="77777777" w:rsidTr="0013186E">
        <w:tc>
          <w:tcPr>
            <w:tcW w:w="2912" w:type="dxa"/>
            <w:vMerge w:val="restart"/>
            <w:tcBorders>
              <w:top w:val="single" w:sz="4" w:space="0" w:color="auto"/>
              <w:left w:val="single" w:sz="4" w:space="0" w:color="auto"/>
              <w:bottom w:val="single" w:sz="4" w:space="0" w:color="auto"/>
              <w:right w:val="single" w:sz="4" w:space="0" w:color="auto"/>
            </w:tcBorders>
            <w:hideMark/>
          </w:tcPr>
          <w:p w14:paraId="5C2D32A1" w14:textId="77777777" w:rsidR="00F9353A" w:rsidRPr="0013186E" w:rsidRDefault="00F9353A" w:rsidP="004F407E">
            <w:pPr>
              <w:pStyle w:val="Tabletexte"/>
              <w:tabs>
                <w:tab w:val="clear" w:pos="794"/>
                <w:tab w:val="left" w:pos="489"/>
              </w:tabs>
              <w:spacing w:line="280" w:lineRule="exact"/>
              <w:rPr>
                <w:spacing w:val="-2"/>
                <w:position w:val="2"/>
              </w:rPr>
            </w:pPr>
            <w:r w:rsidRPr="0013186E">
              <w:rPr>
                <w:spacing w:val="-2"/>
                <w:position w:val="2"/>
              </w:rPr>
              <w:t>1</w:t>
            </w:r>
            <w:r w:rsidRPr="0013186E">
              <w:rPr>
                <w:spacing w:val="-2"/>
                <w:position w:val="2"/>
                <w:rtl/>
              </w:rPr>
              <w:tab/>
              <w:t>وجود إطار واضح للمساءلة، بما في ذلك تعريفها، ووضوح المسؤولية عن التنفيذ الإجمالي لهذا الإطار، والربط بين جميع عناصره.</w:t>
            </w:r>
          </w:p>
        </w:tc>
        <w:tc>
          <w:tcPr>
            <w:tcW w:w="3881" w:type="dxa"/>
            <w:tcBorders>
              <w:top w:val="single" w:sz="4" w:space="0" w:color="auto"/>
              <w:left w:val="single" w:sz="4" w:space="0" w:color="auto"/>
              <w:bottom w:val="single" w:sz="4" w:space="0" w:color="auto"/>
              <w:right w:val="single" w:sz="4" w:space="0" w:color="auto"/>
            </w:tcBorders>
            <w:hideMark/>
          </w:tcPr>
          <w:p w14:paraId="4CFC35EF" w14:textId="77777777" w:rsidR="00F9353A" w:rsidRPr="0013186E" w:rsidRDefault="00F9353A" w:rsidP="004F407E">
            <w:pPr>
              <w:pStyle w:val="Tabletexte"/>
              <w:spacing w:line="280" w:lineRule="exact"/>
              <w:rPr>
                <w:position w:val="2"/>
              </w:rPr>
            </w:pPr>
            <w:r w:rsidRPr="0013186E">
              <w:rPr>
                <w:position w:val="2"/>
                <w:rtl/>
              </w:rPr>
              <w:t xml:space="preserve">الوثيقة </w:t>
            </w:r>
            <w:proofErr w:type="spellStart"/>
            <w:r w:rsidRPr="0013186E">
              <w:rPr>
                <w:position w:val="2"/>
                <w:rtl/>
              </w:rPr>
              <w:t>السياساتية</w:t>
            </w:r>
            <w:proofErr w:type="spellEnd"/>
            <w:r w:rsidRPr="0013186E">
              <w:rPr>
                <w:position w:val="2"/>
                <w:rtl/>
              </w:rPr>
              <w:t xml:space="preserve"> للإطار</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2ADFDCD"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234" w:type="dxa"/>
            <w:vMerge w:val="restart"/>
            <w:tcBorders>
              <w:top w:val="single" w:sz="4" w:space="0" w:color="auto"/>
              <w:left w:val="single" w:sz="4" w:space="0" w:color="auto"/>
              <w:bottom w:val="single" w:sz="4" w:space="0" w:color="auto"/>
              <w:right w:val="single" w:sz="4" w:space="0" w:color="auto"/>
            </w:tcBorders>
            <w:vAlign w:val="center"/>
            <w:hideMark/>
          </w:tcPr>
          <w:p w14:paraId="67EE4B21" w14:textId="4EAE2E08" w:rsidR="00F9353A" w:rsidRPr="0013186E" w:rsidRDefault="00657CCF" w:rsidP="004F407E">
            <w:pPr>
              <w:pStyle w:val="Tabletexte"/>
              <w:spacing w:line="280" w:lineRule="exact"/>
              <w:jc w:val="left"/>
              <w:rPr>
                <w:position w:val="2"/>
                <w:lang w:val="fr-FR"/>
              </w:rPr>
            </w:pPr>
            <w:r w:rsidRPr="0013186E">
              <w:rPr>
                <w:rFonts w:hint="cs"/>
                <w:position w:val="2"/>
                <w:rtl/>
                <w:lang w:bidi="ar"/>
              </w:rPr>
              <w:t xml:space="preserve">تم وضع إطار. ومع </w:t>
            </w:r>
            <w:r w:rsidR="00C60475" w:rsidRPr="0013186E">
              <w:rPr>
                <w:rFonts w:hint="cs"/>
                <w:position w:val="2"/>
                <w:rtl/>
                <w:lang w:bidi="ar"/>
              </w:rPr>
              <w:t>ذلك،</w:t>
            </w:r>
            <w:r w:rsidRPr="0013186E">
              <w:rPr>
                <w:rFonts w:hint="cs"/>
                <w:position w:val="2"/>
                <w:rtl/>
                <w:lang w:bidi="ar"/>
              </w:rPr>
              <w:t xml:space="preserve"> </w:t>
            </w:r>
            <w:r w:rsidR="00C60475" w:rsidRPr="0013186E">
              <w:rPr>
                <w:rFonts w:hint="cs"/>
                <w:position w:val="2"/>
                <w:rtl/>
                <w:lang w:bidi="ar"/>
              </w:rPr>
              <w:t>و</w:t>
            </w:r>
            <w:r w:rsidR="00AD6CA8" w:rsidRPr="0013186E">
              <w:rPr>
                <w:rFonts w:hint="cs"/>
                <w:position w:val="2"/>
                <w:rtl/>
                <w:lang w:bidi="ar"/>
              </w:rPr>
              <w:t xml:space="preserve">من أجل </w:t>
            </w:r>
            <w:r w:rsidR="005E466F" w:rsidRPr="0013186E">
              <w:rPr>
                <w:rFonts w:hint="cs"/>
                <w:position w:val="2"/>
                <w:rtl/>
                <w:lang w:bidi="ar"/>
              </w:rPr>
              <w:t>تحسين</w:t>
            </w:r>
            <w:r w:rsidRPr="0013186E">
              <w:rPr>
                <w:rFonts w:hint="cs"/>
                <w:position w:val="2"/>
                <w:rtl/>
                <w:lang w:bidi="ar"/>
              </w:rPr>
              <w:t xml:space="preserve"> هذا الإطار، </w:t>
            </w:r>
            <w:r w:rsidR="005E466F" w:rsidRPr="0013186E">
              <w:rPr>
                <w:rFonts w:hint="cs"/>
                <w:position w:val="2"/>
                <w:rtl/>
                <w:lang w:bidi="ar"/>
              </w:rPr>
              <w:t xml:space="preserve">ستُعد </w:t>
            </w:r>
            <w:r w:rsidRPr="0013186E">
              <w:rPr>
                <w:rFonts w:hint="cs"/>
                <w:position w:val="2"/>
                <w:rtl/>
                <w:lang w:bidi="ar"/>
              </w:rPr>
              <w:t>وثيقة سياس</w:t>
            </w:r>
            <w:r w:rsidR="00C60475" w:rsidRPr="0013186E">
              <w:rPr>
                <w:rFonts w:hint="cs"/>
                <w:position w:val="2"/>
                <w:rtl/>
                <w:lang w:bidi="ar"/>
              </w:rPr>
              <w:t>ات</w:t>
            </w:r>
            <w:r w:rsidRPr="0013186E">
              <w:rPr>
                <w:rFonts w:hint="cs"/>
                <w:position w:val="2"/>
                <w:rtl/>
                <w:lang w:bidi="ar"/>
              </w:rPr>
              <w:t xml:space="preserve"> كاملة لتقديم المزيد من المعلومات </w:t>
            </w:r>
            <w:r w:rsidR="00C60475" w:rsidRPr="0013186E">
              <w:rPr>
                <w:rFonts w:hint="cs"/>
                <w:position w:val="2"/>
                <w:rtl/>
                <w:lang w:bidi="ar"/>
              </w:rPr>
              <w:t>عن</w:t>
            </w:r>
            <w:r w:rsidRPr="0013186E">
              <w:rPr>
                <w:rFonts w:hint="cs"/>
                <w:position w:val="2"/>
                <w:rtl/>
                <w:lang w:bidi="ar"/>
              </w:rPr>
              <w:t xml:space="preserve"> العمليات القائمة </w:t>
            </w:r>
            <w:r w:rsidR="00C60475" w:rsidRPr="0013186E">
              <w:rPr>
                <w:rFonts w:hint="cs"/>
                <w:position w:val="2"/>
                <w:rtl/>
                <w:lang w:bidi="ar"/>
              </w:rPr>
              <w:t>المتعلقة بكل</w:t>
            </w:r>
            <w:r w:rsidRPr="0013186E">
              <w:rPr>
                <w:rFonts w:hint="cs"/>
                <w:position w:val="2"/>
                <w:rtl/>
                <w:lang w:bidi="ar"/>
              </w:rPr>
              <w:t xml:space="preserve"> جانب من جوانب إطار المساءلة. </w:t>
            </w:r>
            <w:r w:rsidR="00C60475" w:rsidRPr="0013186E">
              <w:rPr>
                <w:rFonts w:hint="cs"/>
                <w:position w:val="2"/>
                <w:rtl/>
                <w:lang w:bidi="ar"/>
              </w:rPr>
              <w:t>و</w:t>
            </w:r>
            <w:r w:rsidRPr="0013186E">
              <w:rPr>
                <w:rFonts w:hint="cs"/>
                <w:position w:val="2"/>
                <w:rtl/>
                <w:lang w:bidi="ar"/>
              </w:rPr>
              <w:t xml:space="preserve">يمكن تحديد المزيد من الثغرات أو </w:t>
            </w:r>
            <w:r w:rsidR="00C60475" w:rsidRPr="0013186E">
              <w:rPr>
                <w:rFonts w:hint="cs"/>
                <w:position w:val="2"/>
                <w:rtl/>
                <w:lang w:bidi="ar"/>
              </w:rPr>
              <w:t>مواطن</w:t>
            </w:r>
            <w:r w:rsidRPr="0013186E">
              <w:rPr>
                <w:rFonts w:hint="cs"/>
                <w:position w:val="2"/>
                <w:rtl/>
                <w:lang w:bidi="ar"/>
              </w:rPr>
              <w:t xml:space="preserve"> الضعف المحتملة و</w:t>
            </w:r>
            <w:r w:rsidR="00FE6BCC" w:rsidRPr="0013186E">
              <w:rPr>
                <w:rFonts w:hint="cs"/>
                <w:position w:val="2"/>
                <w:rtl/>
                <w:lang w:bidi="ar"/>
              </w:rPr>
              <w:t>ي</w:t>
            </w:r>
            <w:r w:rsidR="00AD6CA8" w:rsidRPr="0013186E">
              <w:rPr>
                <w:rFonts w:hint="cs"/>
                <w:position w:val="2"/>
                <w:rtl/>
                <w:lang w:bidi="ar"/>
              </w:rPr>
              <w:t>ُ</w:t>
            </w:r>
            <w:r w:rsidR="00FE6BCC" w:rsidRPr="0013186E">
              <w:rPr>
                <w:rFonts w:hint="cs"/>
                <w:position w:val="2"/>
                <w:rtl/>
                <w:lang w:bidi="ar"/>
              </w:rPr>
              <w:t xml:space="preserve">ؤمل </w:t>
            </w:r>
            <w:r w:rsidR="00EE1571" w:rsidRPr="0013186E">
              <w:rPr>
                <w:rFonts w:hint="cs"/>
                <w:position w:val="2"/>
                <w:rtl/>
                <w:lang w:bidi="ar"/>
              </w:rPr>
              <w:t>أن ت</w:t>
            </w:r>
            <w:r w:rsidR="00AD6CA8" w:rsidRPr="0013186E">
              <w:rPr>
                <w:rFonts w:hint="cs"/>
                <w:position w:val="2"/>
                <w:rtl/>
                <w:lang w:bidi="ar"/>
              </w:rPr>
              <w:t>ُ</w:t>
            </w:r>
            <w:r w:rsidR="00EE1571" w:rsidRPr="0013186E">
              <w:rPr>
                <w:rFonts w:hint="cs"/>
                <w:position w:val="2"/>
                <w:rtl/>
                <w:lang w:bidi="ar"/>
              </w:rPr>
              <w:t>عالَج</w:t>
            </w:r>
            <w:r w:rsidR="00FE6BCC" w:rsidRPr="0013186E">
              <w:rPr>
                <w:rFonts w:hint="cs"/>
                <w:position w:val="2"/>
                <w:rtl/>
                <w:lang w:bidi="ar"/>
              </w:rPr>
              <w:t xml:space="preserve"> ك</w:t>
            </w:r>
            <w:r w:rsidRPr="0013186E">
              <w:rPr>
                <w:rFonts w:hint="cs"/>
                <w:position w:val="2"/>
                <w:rtl/>
                <w:lang w:bidi="ar"/>
              </w:rPr>
              <w:t>نتيجة لهذه العملية.</w:t>
            </w:r>
          </w:p>
        </w:tc>
      </w:tr>
      <w:tr w:rsidR="00F9353A" w:rsidRPr="0013186E" w14:paraId="34A1B606"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16F18DFF"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4BE12A15" w14:textId="77777777" w:rsidR="00F9353A" w:rsidRPr="0013186E" w:rsidRDefault="00F9353A" w:rsidP="004F407E">
            <w:pPr>
              <w:pStyle w:val="Tabletexte"/>
              <w:spacing w:line="280" w:lineRule="exact"/>
              <w:rPr>
                <w:position w:val="2"/>
                <w:rtl/>
              </w:rPr>
            </w:pPr>
            <w:r w:rsidRPr="0013186E">
              <w:rPr>
                <w:position w:val="2"/>
                <w:rtl/>
              </w:rPr>
              <w:t>تعريف المساءلة</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818352F"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73BCFF79"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13186E" w14:paraId="34BA841A"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3AD0E1C4"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7A71F105" w14:textId="77777777" w:rsidR="00F9353A" w:rsidRPr="0013186E" w:rsidRDefault="00F9353A" w:rsidP="004F407E">
            <w:pPr>
              <w:pStyle w:val="Tabletexte"/>
              <w:spacing w:line="280" w:lineRule="exact"/>
              <w:rPr>
                <w:position w:val="2"/>
              </w:rPr>
            </w:pPr>
            <w:r w:rsidRPr="0013186E">
              <w:rPr>
                <w:position w:val="2"/>
                <w:rtl/>
              </w:rPr>
              <w:t>أدوار ومسؤوليات كبار المسؤولين الإداريين، ومديري وموظفي الإدارات</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0383E56"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08BC23EA"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13186E" w14:paraId="1E8810D6"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726AB538"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02B729DC" w14:textId="77777777" w:rsidR="00F9353A" w:rsidRPr="0013186E" w:rsidRDefault="00F9353A" w:rsidP="004F407E">
            <w:pPr>
              <w:pStyle w:val="Tabletexte"/>
              <w:spacing w:line="280" w:lineRule="exact"/>
              <w:rPr>
                <w:spacing w:val="-2"/>
                <w:position w:val="2"/>
              </w:rPr>
            </w:pPr>
            <w:r w:rsidRPr="0013186E">
              <w:rPr>
                <w:spacing w:val="-2"/>
                <w:position w:val="2"/>
                <w:rtl/>
              </w:rPr>
              <w:t xml:space="preserve">إدراج الوثيقة </w:t>
            </w:r>
            <w:proofErr w:type="spellStart"/>
            <w:r w:rsidRPr="0013186E">
              <w:rPr>
                <w:spacing w:val="-2"/>
                <w:position w:val="2"/>
                <w:rtl/>
              </w:rPr>
              <w:t>السياساتية</w:t>
            </w:r>
            <w:proofErr w:type="spellEnd"/>
            <w:r w:rsidRPr="0013186E">
              <w:rPr>
                <w:spacing w:val="-2"/>
                <w:position w:val="2"/>
                <w:rtl/>
              </w:rPr>
              <w:t xml:space="preserve"> على الموقع الشبكي وإتاحتها للموظفين</w:t>
            </w:r>
          </w:p>
        </w:tc>
        <w:tc>
          <w:tcPr>
            <w:tcW w:w="1251" w:type="dxa"/>
            <w:tcBorders>
              <w:top w:val="single" w:sz="4" w:space="0" w:color="auto"/>
              <w:left w:val="single" w:sz="4" w:space="0" w:color="auto"/>
              <w:bottom w:val="single" w:sz="4" w:space="0" w:color="auto"/>
              <w:right w:val="single" w:sz="4" w:space="0" w:color="auto"/>
            </w:tcBorders>
            <w:vAlign w:val="center"/>
            <w:hideMark/>
          </w:tcPr>
          <w:p w14:paraId="47CD8635" w14:textId="6BE6EAF0" w:rsidR="00F9353A" w:rsidRPr="0013186E" w:rsidRDefault="00953826" w:rsidP="004F407E">
            <w:pPr>
              <w:pStyle w:val="Tabletexte"/>
              <w:spacing w:line="280" w:lineRule="exact"/>
              <w:jc w:val="center"/>
              <w:rPr>
                <w:position w:val="2"/>
              </w:rPr>
            </w:pPr>
            <w:r w:rsidRPr="0013186E">
              <w:rPr>
                <w:position w:val="2"/>
              </w:rPr>
              <w:sym w:font="Wingdings" w:char="F0FC"/>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32A27C51"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13186E" w14:paraId="28ADBE61"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64FA9A50"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7CFECE38" w14:textId="77777777" w:rsidR="00F9353A" w:rsidRPr="0013186E" w:rsidRDefault="00F9353A" w:rsidP="004F407E">
            <w:pPr>
              <w:pStyle w:val="Tabletexte"/>
              <w:spacing w:line="280" w:lineRule="exact"/>
              <w:rPr>
                <w:position w:val="2"/>
              </w:rPr>
            </w:pPr>
            <w:r w:rsidRPr="0013186E">
              <w:rPr>
                <w:position w:val="2"/>
                <w:rtl/>
              </w:rPr>
              <w:t>احتواء الإطار على العناصر الرئيسية للمساءلة</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63A2E68" w14:textId="6B5749C5" w:rsidR="00F9353A" w:rsidRPr="0013186E" w:rsidRDefault="00C12669" w:rsidP="004F407E">
            <w:pPr>
              <w:pStyle w:val="Tabletexte"/>
              <w:spacing w:line="280" w:lineRule="exact"/>
              <w:jc w:val="center"/>
              <w:rPr>
                <w:position w:val="2"/>
              </w:rPr>
            </w:pPr>
            <w:r w:rsidRPr="0013186E">
              <w:rPr>
                <w:rFonts w:hint="cs"/>
                <w:position w:val="2"/>
                <w:rtl/>
              </w:rPr>
              <w:t>قيد التنفيذ</w:t>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1113338F"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13186E" w14:paraId="67486D80" w14:textId="77777777" w:rsidTr="0013186E">
        <w:tc>
          <w:tcPr>
            <w:tcW w:w="2912" w:type="dxa"/>
            <w:vMerge w:val="restart"/>
            <w:tcBorders>
              <w:top w:val="single" w:sz="4" w:space="0" w:color="auto"/>
              <w:left w:val="single" w:sz="4" w:space="0" w:color="auto"/>
              <w:bottom w:val="single" w:sz="4" w:space="0" w:color="auto"/>
              <w:right w:val="single" w:sz="4" w:space="0" w:color="auto"/>
            </w:tcBorders>
            <w:hideMark/>
          </w:tcPr>
          <w:p w14:paraId="2C6D6961" w14:textId="77777777" w:rsidR="00F9353A" w:rsidRPr="0013186E" w:rsidRDefault="00F9353A" w:rsidP="004F407E">
            <w:pPr>
              <w:pStyle w:val="Tabletexte"/>
              <w:tabs>
                <w:tab w:val="clear" w:pos="794"/>
                <w:tab w:val="left" w:pos="489"/>
              </w:tabs>
              <w:spacing w:line="280" w:lineRule="exact"/>
              <w:rPr>
                <w:position w:val="2"/>
              </w:rPr>
            </w:pPr>
            <w:r w:rsidRPr="0013186E">
              <w:rPr>
                <w:position w:val="2"/>
              </w:rPr>
              <w:t>2</w:t>
            </w:r>
            <w:r w:rsidRPr="0013186E">
              <w:rPr>
                <w:position w:val="2"/>
                <w:rtl/>
              </w:rPr>
              <w:tab/>
              <w:t>تطبيق نهج الإدارة القائمة على النتائج والتي تتـسق مـع الولايـات المسندة إلى المنظمة ومع أهدافها، من المستويات العليا نزولاً إلى خطط عمل الوحـدات وخطط العمل الفردية.</w:t>
            </w:r>
          </w:p>
        </w:tc>
        <w:tc>
          <w:tcPr>
            <w:tcW w:w="3881" w:type="dxa"/>
            <w:tcBorders>
              <w:top w:val="single" w:sz="4" w:space="0" w:color="auto"/>
              <w:left w:val="single" w:sz="4" w:space="0" w:color="auto"/>
              <w:bottom w:val="single" w:sz="4" w:space="0" w:color="auto"/>
              <w:right w:val="single" w:sz="4" w:space="0" w:color="auto"/>
            </w:tcBorders>
            <w:hideMark/>
          </w:tcPr>
          <w:p w14:paraId="7C70756B" w14:textId="77777777" w:rsidR="00F9353A" w:rsidRPr="0013186E" w:rsidRDefault="00F9353A" w:rsidP="004F407E">
            <w:pPr>
              <w:pStyle w:val="Tabletexte"/>
              <w:spacing w:line="280" w:lineRule="exact"/>
              <w:rPr>
                <w:position w:val="2"/>
              </w:rPr>
            </w:pPr>
            <w:r w:rsidRPr="0013186E">
              <w:rPr>
                <w:position w:val="2"/>
                <w:rtl/>
              </w:rPr>
              <w:t>الخطط الاستراتيجية</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1557925"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234" w:type="dxa"/>
            <w:vMerge w:val="restart"/>
            <w:tcBorders>
              <w:top w:val="single" w:sz="4" w:space="0" w:color="auto"/>
              <w:left w:val="single" w:sz="4" w:space="0" w:color="auto"/>
              <w:bottom w:val="single" w:sz="4" w:space="0" w:color="auto"/>
              <w:right w:val="single" w:sz="4" w:space="0" w:color="auto"/>
            </w:tcBorders>
            <w:vAlign w:val="center"/>
            <w:hideMark/>
          </w:tcPr>
          <w:p w14:paraId="11F46160" w14:textId="18381743" w:rsidR="00F9353A" w:rsidRPr="0013186E" w:rsidRDefault="00AD6CA8" w:rsidP="004F407E">
            <w:pPr>
              <w:pStyle w:val="Tabletexte"/>
              <w:spacing w:line="280" w:lineRule="exact"/>
              <w:jc w:val="left"/>
              <w:rPr>
                <w:position w:val="2"/>
                <w:rtl/>
              </w:rPr>
            </w:pPr>
            <w:r w:rsidRPr="0013186E">
              <w:rPr>
                <w:rFonts w:hint="cs"/>
                <w:position w:val="2"/>
                <w:rtl/>
              </w:rPr>
              <w:t>أنشئت</w:t>
            </w:r>
            <w:r w:rsidR="00F9353A" w:rsidRPr="0013186E">
              <w:rPr>
                <w:position w:val="2"/>
                <w:rtl/>
              </w:rPr>
              <w:t xml:space="preserve"> الإدارة القائمة على النتائج</w:t>
            </w:r>
            <w:r w:rsidR="002625AF" w:rsidRPr="0013186E">
              <w:rPr>
                <w:rFonts w:hint="cs"/>
                <w:position w:val="2"/>
                <w:rtl/>
              </w:rPr>
              <w:t xml:space="preserve"> منذ أكثر من 20 عاماً. ويبذل الاتحاد حالياً جهوداً لتعزيز </w:t>
            </w:r>
            <w:r w:rsidR="00EC3C34" w:rsidRPr="0013186E">
              <w:rPr>
                <w:position w:val="2"/>
                <w:rtl/>
                <w:lang w:bidi="ar-SA"/>
              </w:rPr>
              <w:t>لتعزيز أثر الإطار من خلال الاستعراض الشامل والتدريب و</w:t>
            </w:r>
            <w:r w:rsidR="00EC3C34" w:rsidRPr="0013186E">
              <w:rPr>
                <w:rFonts w:hint="cs"/>
                <w:position w:val="2"/>
                <w:rtl/>
                <w:lang w:bidi="ar-SA"/>
              </w:rPr>
              <w:t>ورش</w:t>
            </w:r>
            <w:r w:rsidR="00EC3C34" w:rsidRPr="0013186E">
              <w:rPr>
                <w:position w:val="2"/>
                <w:rtl/>
                <w:lang w:bidi="ar-SA"/>
              </w:rPr>
              <w:t xml:space="preserve"> العمل، و</w:t>
            </w:r>
            <w:r w:rsidRPr="0013186E">
              <w:rPr>
                <w:rFonts w:hint="cs"/>
                <w:position w:val="2"/>
                <w:rtl/>
                <w:lang w:bidi="ar-SA"/>
              </w:rPr>
              <w:t xml:space="preserve">من خلال </w:t>
            </w:r>
            <w:r w:rsidR="00EC3C34" w:rsidRPr="0013186E">
              <w:rPr>
                <w:position w:val="2"/>
                <w:rtl/>
                <w:lang w:bidi="ar-SA"/>
              </w:rPr>
              <w:t>التركيز على تنفيذ مفاهيم الإدارة القائمة على النتائج</w:t>
            </w:r>
            <w:r w:rsidR="00EC3C34" w:rsidRPr="0013186E">
              <w:rPr>
                <w:position w:val="2"/>
              </w:rPr>
              <w:t>.</w:t>
            </w:r>
          </w:p>
        </w:tc>
      </w:tr>
      <w:tr w:rsidR="00C12669" w:rsidRPr="0013186E" w14:paraId="4D1C6DAC"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609DA83B"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1B4BCC62" w14:textId="77777777" w:rsidR="00C12669" w:rsidRPr="0013186E" w:rsidRDefault="00C12669" w:rsidP="004F407E">
            <w:pPr>
              <w:pStyle w:val="Tabletexte"/>
              <w:spacing w:line="280" w:lineRule="exact"/>
              <w:rPr>
                <w:position w:val="2"/>
                <w:rtl/>
              </w:rPr>
            </w:pPr>
            <w:r w:rsidRPr="0013186E">
              <w:rPr>
                <w:position w:val="2"/>
                <w:rtl/>
              </w:rPr>
              <w:t>خطط عمل الوحدات</w:t>
            </w:r>
          </w:p>
        </w:tc>
        <w:tc>
          <w:tcPr>
            <w:tcW w:w="1251" w:type="dxa"/>
            <w:tcBorders>
              <w:top w:val="single" w:sz="4" w:space="0" w:color="auto"/>
              <w:left w:val="single" w:sz="4" w:space="0" w:color="auto"/>
              <w:bottom w:val="single" w:sz="4" w:space="0" w:color="auto"/>
              <w:right w:val="single" w:sz="4" w:space="0" w:color="auto"/>
            </w:tcBorders>
            <w:vAlign w:val="center"/>
            <w:hideMark/>
          </w:tcPr>
          <w:p w14:paraId="45EC8320" w14:textId="6782D536" w:rsidR="00C12669" w:rsidRPr="0013186E" w:rsidRDefault="00C12669" w:rsidP="004F407E">
            <w:pPr>
              <w:pStyle w:val="Tabletexte"/>
              <w:spacing w:line="280" w:lineRule="exact"/>
              <w:jc w:val="center"/>
              <w:rPr>
                <w:position w:val="2"/>
              </w:rPr>
            </w:pPr>
            <w:r w:rsidRPr="0013186E">
              <w:rPr>
                <w:position w:val="2"/>
              </w:rPr>
              <w:sym w:font="Wingdings" w:char="F0FC"/>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1D6F2CF5" w14:textId="77777777" w:rsidR="00C12669" w:rsidRPr="0013186E" w:rsidRDefault="00C12669" w:rsidP="004F407E">
            <w:pPr>
              <w:spacing w:before="60" w:after="60" w:line="280" w:lineRule="exact"/>
              <w:jc w:val="left"/>
              <w:rPr>
                <w:rFonts w:eastAsia="Times New Roman"/>
                <w:position w:val="2"/>
                <w:sz w:val="20"/>
                <w:szCs w:val="20"/>
                <w:lang w:val="fr-FR" w:eastAsia="en-US" w:bidi="ar-EG"/>
              </w:rPr>
            </w:pPr>
          </w:p>
        </w:tc>
      </w:tr>
      <w:tr w:rsidR="00F9353A" w:rsidRPr="0013186E" w14:paraId="24DC3FF9"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56A841F0"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0FF687F4" w14:textId="77777777" w:rsidR="00F9353A" w:rsidRPr="0013186E" w:rsidRDefault="00F9353A" w:rsidP="004F407E">
            <w:pPr>
              <w:pStyle w:val="Tabletexte"/>
              <w:spacing w:line="280" w:lineRule="exact"/>
              <w:rPr>
                <w:position w:val="2"/>
              </w:rPr>
            </w:pPr>
            <w:r w:rsidRPr="0013186E">
              <w:rPr>
                <w:position w:val="2"/>
                <w:rtl/>
              </w:rPr>
              <w:t>خطط العمل الفردية</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FCA6777"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12F0398B"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13186E" w14:paraId="343FB7C8" w14:textId="77777777" w:rsidTr="0013186E">
        <w:tc>
          <w:tcPr>
            <w:tcW w:w="2912" w:type="dxa"/>
            <w:tcBorders>
              <w:top w:val="single" w:sz="4" w:space="0" w:color="auto"/>
              <w:left w:val="single" w:sz="4" w:space="0" w:color="auto"/>
              <w:bottom w:val="single" w:sz="4" w:space="0" w:color="auto"/>
              <w:right w:val="single" w:sz="4" w:space="0" w:color="auto"/>
            </w:tcBorders>
            <w:hideMark/>
          </w:tcPr>
          <w:p w14:paraId="308EE8F5" w14:textId="77777777" w:rsidR="00F9353A" w:rsidRPr="0013186E" w:rsidRDefault="00F9353A" w:rsidP="004F407E">
            <w:pPr>
              <w:pStyle w:val="Tabletexte"/>
              <w:tabs>
                <w:tab w:val="clear" w:pos="794"/>
                <w:tab w:val="left" w:pos="489"/>
              </w:tabs>
              <w:spacing w:line="280" w:lineRule="exact"/>
              <w:rPr>
                <w:spacing w:val="-2"/>
                <w:position w:val="2"/>
              </w:rPr>
            </w:pPr>
            <w:r w:rsidRPr="0013186E">
              <w:rPr>
                <w:spacing w:val="-2"/>
                <w:position w:val="2"/>
              </w:rPr>
              <w:t>3</w:t>
            </w:r>
            <w:r w:rsidRPr="0013186E">
              <w:rPr>
                <w:spacing w:val="-2"/>
                <w:position w:val="2"/>
                <w:rtl/>
              </w:rPr>
              <w:tab/>
              <w:t>تجري المنظمات عمليات تقييم موثوقة تركز على الاستخدام، وتعمـم على الجهات صاحبة المصلحة نتائج عمليات التقييم هذه واستنتاجاتها وتوصياتها.</w:t>
            </w:r>
          </w:p>
        </w:tc>
        <w:tc>
          <w:tcPr>
            <w:tcW w:w="3881" w:type="dxa"/>
            <w:tcBorders>
              <w:top w:val="single" w:sz="4" w:space="0" w:color="auto"/>
              <w:left w:val="single" w:sz="4" w:space="0" w:color="auto"/>
              <w:bottom w:val="single" w:sz="4" w:space="0" w:color="auto"/>
              <w:right w:val="single" w:sz="4" w:space="0" w:color="auto"/>
            </w:tcBorders>
            <w:hideMark/>
          </w:tcPr>
          <w:p w14:paraId="758BCD00" w14:textId="77777777" w:rsidR="00F9353A" w:rsidRPr="0013186E" w:rsidRDefault="00F9353A" w:rsidP="004F407E">
            <w:pPr>
              <w:pStyle w:val="Tabletexte"/>
              <w:spacing w:line="280" w:lineRule="exact"/>
              <w:rPr>
                <w:position w:val="2"/>
              </w:rPr>
            </w:pPr>
            <w:r w:rsidRPr="0013186E">
              <w:rPr>
                <w:position w:val="2"/>
                <w:rtl/>
              </w:rPr>
              <w:t>وظيفة التقييم</w:t>
            </w:r>
          </w:p>
        </w:tc>
        <w:tc>
          <w:tcPr>
            <w:tcW w:w="1251" w:type="dxa"/>
            <w:tcBorders>
              <w:top w:val="single" w:sz="4" w:space="0" w:color="auto"/>
              <w:left w:val="single" w:sz="4" w:space="0" w:color="auto"/>
              <w:bottom w:val="single" w:sz="4" w:space="0" w:color="auto"/>
              <w:right w:val="single" w:sz="4" w:space="0" w:color="auto"/>
            </w:tcBorders>
            <w:vAlign w:val="center"/>
            <w:hideMark/>
          </w:tcPr>
          <w:p w14:paraId="0F447C94" w14:textId="77777777" w:rsidR="00F9353A" w:rsidRPr="0013186E" w:rsidRDefault="00F9353A" w:rsidP="004F407E">
            <w:pPr>
              <w:pStyle w:val="Tabletexte"/>
              <w:spacing w:line="280" w:lineRule="exact"/>
              <w:jc w:val="center"/>
              <w:rPr>
                <w:position w:val="2"/>
              </w:rPr>
            </w:pPr>
            <w:r w:rsidRPr="0013186E">
              <w:rPr>
                <w:position w:val="2"/>
                <w:rtl/>
              </w:rPr>
              <w:t>قيد التنفيذ</w:t>
            </w:r>
          </w:p>
        </w:tc>
        <w:tc>
          <w:tcPr>
            <w:tcW w:w="6234" w:type="dxa"/>
            <w:tcBorders>
              <w:top w:val="single" w:sz="4" w:space="0" w:color="auto"/>
              <w:left w:val="single" w:sz="4" w:space="0" w:color="auto"/>
              <w:bottom w:val="single" w:sz="4" w:space="0" w:color="auto"/>
              <w:right w:val="single" w:sz="4" w:space="0" w:color="auto"/>
            </w:tcBorders>
            <w:vAlign w:val="center"/>
            <w:hideMark/>
          </w:tcPr>
          <w:p w14:paraId="516BEBBE" w14:textId="79BC242D" w:rsidR="00F9353A" w:rsidRPr="0013186E" w:rsidRDefault="00D61620" w:rsidP="004F407E">
            <w:pPr>
              <w:pStyle w:val="Tabletexte"/>
              <w:spacing w:line="280" w:lineRule="exact"/>
              <w:jc w:val="left"/>
              <w:rPr>
                <w:position w:val="2"/>
                <w:rtl/>
              </w:rPr>
            </w:pPr>
            <w:r w:rsidRPr="0013186E">
              <w:rPr>
                <w:rFonts w:hint="cs"/>
                <w:position w:val="2"/>
                <w:rtl/>
              </w:rPr>
              <w:t>أجرى</w:t>
            </w:r>
            <w:r w:rsidR="00F9353A" w:rsidRPr="0013186E">
              <w:rPr>
                <w:position w:val="2"/>
                <w:rtl/>
              </w:rPr>
              <w:t xml:space="preserve"> الاتحاد دراسة جدوى</w:t>
            </w:r>
            <w:r w:rsidR="007107BB" w:rsidRPr="0013186E">
              <w:rPr>
                <w:rFonts w:hint="cs"/>
                <w:position w:val="2"/>
                <w:rtl/>
              </w:rPr>
              <w:t xml:space="preserve"> بشأن</w:t>
            </w:r>
            <w:r w:rsidR="00F9353A" w:rsidRPr="0013186E">
              <w:rPr>
                <w:position w:val="2"/>
                <w:rtl/>
              </w:rPr>
              <w:t xml:space="preserve"> التقييم</w:t>
            </w:r>
            <w:r w:rsidR="00022215" w:rsidRPr="0013186E">
              <w:rPr>
                <w:rFonts w:hint="cs"/>
                <w:position w:val="2"/>
                <w:rtl/>
              </w:rPr>
              <w:t xml:space="preserve">: </w:t>
            </w:r>
            <w:r w:rsidR="007107BB" w:rsidRPr="0013186E">
              <w:rPr>
                <w:rFonts w:hint="cs"/>
                <w:position w:val="2"/>
                <w:rtl/>
              </w:rPr>
              <w:t xml:space="preserve">تم </w:t>
            </w:r>
            <w:r w:rsidR="00022215" w:rsidRPr="0013186E">
              <w:rPr>
                <w:rFonts w:hint="cs"/>
                <w:position w:val="2"/>
                <w:rtl/>
              </w:rPr>
              <w:t xml:space="preserve">وضع سياسات </w:t>
            </w:r>
            <w:r w:rsidR="00F9353A" w:rsidRPr="0013186E">
              <w:rPr>
                <w:position w:val="2"/>
                <w:rtl/>
              </w:rPr>
              <w:t>ومبادئ توجيهية وخط</w:t>
            </w:r>
            <w:r w:rsidR="00022215" w:rsidRPr="0013186E">
              <w:rPr>
                <w:rFonts w:hint="cs"/>
                <w:position w:val="2"/>
                <w:rtl/>
              </w:rPr>
              <w:t>ط</w:t>
            </w:r>
            <w:r w:rsidR="00F9353A" w:rsidRPr="0013186E">
              <w:rPr>
                <w:position w:val="2"/>
                <w:rtl/>
              </w:rPr>
              <w:t xml:space="preserve"> عمل</w:t>
            </w:r>
            <w:r w:rsidR="00AD6CA8" w:rsidRPr="0013186E">
              <w:rPr>
                <w:rFonts w:hint="cs"/>
                <w:position w:val="2"/>
                <w:rtl/>
              </w:rPr>
              <w:t xml:space="preserve"> بشأن التقييم،</w:t>
            </w:r>
            <w:r w:rsidR="00F9353A" w:rsidRPr="0013186E">
              <w:rPr>
                <w:position w:val="2"/>
                <w:rtl/>
              </w:rPr>
              <w:t xml:space="preserve"> </w:t>
            </w:r>
            <w:r w:rsidR="00022215" w:rsidRPr="0013186E">
              <w:rPr>
                <w:rFonts w:hint="cs"/>
                <w:position w:val="2"/>
                <w:rtl/>
              </w:rPr>
              <w:t>و</w:t>
            </w:r>
            <w:r w:rsidR="00DB733F" w:rsidRPr="0013186E">
              <w:rPr>
                <w:rFonts w:hint="cs"/>
                <w:position w:val="2"/>
                <w:rtl/>
              </w:rPr>
              <w:t>يجب القيام ب</w:t>
            </w:r>
            <w:r w:rsidR="00F9353A" w:rsidRPr="0013186E">
              <w:rPr>
                <w:position w:val="2"/>
                <w:rtl/>
              </w:rPr>
              <w:t>مشروع تجريبي</w:t>
            </w:r>
            <w:r w:rsidR="00DB733F" w:rsidRPr="0013186E">
              <w:rPr>
                <w:rFonts w:hint="cs"/>
                <w:position w:val="2"/>
                <w:rtl/>
              </w:rPr>
              <w:t>.</w:t>
            </w:r>
          </w:p>
        </w:tc>
      </w:tr>
      <w:tr w:rsidR="00F9353A" w:rsidRPr="0013186E" w14:paraId="5BB97015" w14:textId="77777777" w:rsidTr="0013186E">
        <w:tc>
          <w:tcPr>
            <w:tcW w:w="2912" w:type="dxa"/>
            <w:vMerge w:val="restart"/>
            <w:tcBorders>
              <w:top w:val="single" w:sz="4" w:space="0" w:color="auto"/>
              <w:left w:val="single" w:sz="4" w:space="0" w:color="auto"/>
              <w:bottom w:val="single" w:sz="4" w:space="0" w:color="auto"/>
              <w:right w:val="single" w:sz="4" w:space="0" w:color="auto"/>
            </w:tcBorders>
            <w:hideMark/>
          </w:tcPr>
          <w:p w14:paraId="0B7A52BE" w14:textId="77777777" w:rsidR="00F9353A" w:rsidRPr="0013186E" w:rsidRDefault="00F9353A" w:rsidP="004F407E">
            <w:pPr>
              <w:pStyle w:val="Tabletexte"/>
              <w:keepNext/>
              <w:keepLines/>
              <w:tabs>
                <w:tab w:val="clear" w:pos="794"/>
                <w:tab w:val="left" w:pos="489"/>
              </w:tabs>
              <w:spacing w:line="280" w:lineRule="exact"/>
              <w:rPr>
                <w:spacing w:val="-2"/>
                <w:position w:val="2"/>
                <w:rtl/>
              </w:rPr>
            </w:pPr>
            <w:r w:rsidRPr="0013186E">
              <w:rPr>
                <w:spacing w:val="-2"/>
                <w:position w:val="2"/>
              </w:rPr>
              <w:lastRenderedPageBreak/>
              <w:t>4</w:t>
            </w:r>
            <w:r w:rsidRPr="0013186E">
              <w:rPr>
                <w:spacing w:val="-2"/>
                <w:position w:val="2"/>
                <w:rtl/>
              </w:rPr>
              <w:tab/>
            </w:r>
            <w:r w:rsidRPr="0013186E">
              <w:rPr>
                <w:spacing w:val="-6"/>
                <w:position w:val="2"/>
                <w:rtl/>
              </w:rPr>
              <w:t>ينبغي أن تكون لدى المنظمات سياسة إفصاح عن المعلومـات تنفـذ بفعالية ويتم في إطارها</w:t>
            </w:r>
            <w:r w:rsidRPr="0013186E">
              <w:rPr>
                <w:spacing w:val="-2"/>
                <w:position w:val="2"/>
                <w:rtl/>
              </w:rPr>
              <w:t xml:space="preserve"> تعميم نتائج أنشطة المنظمة بصورة منتظمة على الأجهزة التشريعية والدول الأعضاء وغيرها من الجهات صاحبة المصلحة، بما في ذلـك الجهـات المانحـة والجهات المستفيدة والجمهور عموماً</w:t>
            </w:r>
            <w:r w:rsidRPr="0013186E">
              <w:rPr>
                <w:spacing w:val="-2"/>
                <w:position w:val="2"/>
              </w:rPr>
              <w:t>.</w:t>
            </w:r>
          </w:p>
        </w:tc>
        <w:tc>
          <w:tcPr>
            <w:tcW w:w="3881" w:type="dxa"/>
            <w:tcBorders>
              <w:top w:val="single" w:sz="4" w:space="0" w:color="auto"/>
              <w:left w:val="single" w:sz="4" w:space="0" w:color="auto"/>
              <w:bottom w:val="single" w:sz="4" w:space="0" w:color="auto"/>
              <w:right w:val="single" w:sz="4" w:space="0" w:color="auto"/>
            </w:tcBorders>
            <w:hideMark/>
          </w:tcPr>
          <w:p w14:paraId="6EC509C1" w14:textId="77777777" w:rsidR="00F9353A" w:rsidRPr="0013186E" w:rsidRDefault="00F9353A" w:rsidP="004F407E">
            <w:pPr>
              <w:pStyle w:val="Tabletexte"/>
              <w:keepNext/>
              <w:keepLines/>
              <w:spacing w:line="280" w:lineRule="exact"/>
              <w:rPr>
                <w:position w:val="2"/>
              </w:rPr>
            </w:pPr>
            <w:r w:rsidRPr="0013186E">
              <w:rPr>
                <w:position w:val="2"/>
                <w:rtl/>
              </w:rPr>
              <w:t>سياسة إفصاح عن المعلومات</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8141CF0" w14:textId="77777777" w:rsidR="00F9353A" w:rsidRPr="0013186E" w:rsidRDefault="00F9353A" w:rsidP="004F407E">
            <w:pPr>
              <w:pStyle w:val="Tabletexte"/>
              <w:keepNext/>
              <w:keepLines/>
              <w:spacing w:line="280" w:lineRule="exact"/>
              <w:jc w:val="center"/>
              <w:rPr>
                <w:position w:val="2"/>
              </w:rPr>
            </w:pPr>
            <w:r w:rsidRPr="0013186E">
              <w:rPr>
                <w:position w:val="2"/>
              </w:rPr>
              <w:sym w:font="Wingdings" w:char="F0FC"/>
            </w:r>
          </w:p>
        </w:tc>
        <w:tc>
          <w:tcPr>
            <w:tcW w:w="6234" w:type="dxa"/>
            <w:vMerge w:val="restart"/>
            <w:tcBorders>
              <w:top w:val="single" w:sz="4" w:space="0" w:color="auto"/>
              <w:left w:val="single" w:sz="4" w:space="0" w:color="auto"/>
              <w:bottom w:val="single" w:sz="4" w:space="0" w:color="auto"/>
              <w:right w:val="single" w:sz="4" w:space="0" w:color="auto"/>
            </w:tcBorders>
            <w:vAlign w:val="center"/>
            <w:hideMark/>
          </w:tcPr>
          <w:p w14:paraId="56A6E559" w14:textId="33E9A066" w:rsidR="00F9353A" w:rsidRPr="0013186E" w:rsidRDefault="00F9353A" w:rsidP="004F407E">
            <w:pPr>
              <w:pStyle w:val="Tabletexte"/>
              <w:keepNext/>
              <w:keepLines/>
              <w:spacing w:line="280" w:lineRule="exact"/>
              <w:jc w:val="left"/>
              <w:rPr>
                <w:position w:val="2"/>
              </w:rPr>
            </w:pPr>
            <w:r w:rsidRPr="0013186E">
              <w:rPr>
                <w:position w:val="2"/>
                <w:rtl/>
              </w:rPr>
              <w:t>كخطوة إلى الأمام نحو تحقيق المزيد من الشفافية والمساءلة، اعتمد مجلس الاتحاد في</w:t>
            </w:r>
            <w:r w:rsidR="00C04C34" w:rsidRPr="0013186E">
              <w:rPr>
                <w:rFonts w:hint="cs"/>
                <w:position w:val="2"/>
                <w:rtl/>
              </w:rPr>
              <w:t> </w:t>
            </w:r>
            <w:r w:rsidRPr="0013186E">
              <w:rPr>
                <w:position w:val="2"/>
                <w:rtl/>
              </w:rPr>
              <w:t xml:space="preserve">دورته لعام </w:t>
            </w:r>
            <w:r w:rsidRPr="0013186E">
              <w:rPr>
                <w:position w:val="2"/>
              </w:rPr>
              <w:t>2016</w:t>
            </w:r>
            <w:r w:rsidRPr="0013186E">
              <w:rPr>
                <w:position w:val="2"/>
                <w:rtl/>
              </w:rPr>
              <w:t xml:space="preserve"> سياسة الاتحاد بشأن النفاذ إلى المعلومات/الوثائق والتي </w:t>
            </w:r>
            <w:r w:rsidR="0013186E">
              <w:rPr>
                <w:position w:val="2"/>
                <w:rtl/>
              </w:rPr>
              <w:br/>
            </w:r>
            <w:r w:rsidRPr="0013186E">
              <w:rPr>
                <w:position w:val="2"/>
                <w:rtl/>
              </w:rPr>
              <w:t xml:space="preserve">"... تضمن نفاذ الجمهور إلى المعلومات التي </w:t>
            </w:r>
            <w:r w:rsidR="007107BB" w:rsidRPr="0013186E">
              <w:rPr>
                <w:rFonts w:hint="cs"/>
                <w:position w:val="2"/>
                <w:rtl/>
              </w:rPr>
              <w:t>يحتفظ بها</w:t>
            </w:r>
            <w:r w:rsidRPr="0013186E">
              <w:rPr>
                <w:position w:val="2"/>
                <w:rtl/>
              </w:rPr>
              <w:t xml:space="preserve"> الاتحاد أو يقوم بإدارتها أو إعدادها"</w:t>
            </w:r>
            <w:r w:rsidR="00BB793C" w:rsidRPr="0013186E">
              <w:rPr>
                <w:rFonts w:hint="cs"/>
                <w:position w:val="2"/>
                <w:rtl/>
              </w:rPr>
              <w:t>؛</w:t>
            </w:r>
            <w:r w:rsidRPr="0013186E">
              <w:rPr>
                <w:position w:val="2"/>
                <w:rtl/>
              </w:rPr>
              <w:t xml:space="preserve"> ودخلت هذه السياسة حيز النفاذ في </w:t>
            </w:r>
            <w:r w:rsidRPr="0013186E">
              <w:rPr>
                <w:position w:val="2"/>
              </w:rPr>
              <w:t>1</w:t>
            </w:r>
            <w:r w:rsidRPr="0013186E">
              <w:rPr>
                <w:position w:val="2"/>
                <w:rtl/>
              </w:rPr>
              <w:t xml:space="preserve"> يناير </w:t>
            </w:r>
            <w:r w:rsidRPr="0013186E">
              <w:rPr>
                <w:position w:val="2"/>
              </w:rPr>
              <w:t>2017</w:t>
            </w:r>
            <w:r w:rsidRPr="0013186E">
              <w:rPr>
                <w:position w:val="2"/>
                <w:rtl/>
              </w:rPr>
              <w:t xml:space="preserve"> على أساس مؤقت.</w:t>
            </w:r>
          </w:p>
        </w:tc>
      </w:tr>
      <w:tr w:rsidR="00F9353A" w:rsidRPr="0013186E" w14:paraId="6ABD3D1E"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740DACEB" w14:textId="77777777" w:rsidR="00F9353A" w:rsidRPr="0013186E" w:rsidRDefault="00F9353A" w:rsidP="004F407E">
            <w:pPr>
              <w:keepNext/>
              <w:keepLine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4BAFA4AA" w14:textId="77777777" w:rsidR="00F9353A" w:rsidRPr="0013186E" w:rsidRDefault="00F9353A" w:rsidP="004F407E">
            <w:pPr>
              <w:pStyle w:val="Tabletexte"/>
              <w:keepNext/>
              <w:keepLines/>
              <w:spacing w:line="280" w:lineRule="exact"/>
              <w:rPr>
                <w:position w:val="2"/>
              </w:rPr>
            </w:pPr>
            <w:r w:rsidRPr="0013186E">
              <w:rPr>
                <w:position w:val="2"/>
                <w:rtl/>
              </w:rPr>
              <w:t xml:space="preserve">نتائج التقييم والمراجعة </w:t>
            </w:r>
          </w:p>
        </w:tc>
        <w:tc>
          <w:tcPr>
            <w:tcW w:w="1251" w:type="dxa"/>
            <w:tcBorders>
              <w:top w:val="single" w:sz="4" w:space="0" w:color="auto"/>
              <w:left w:val="single" w:sz="4" w:space="0" w:color="auto"/>
              <w:bottom w:val="single" w:sz="4" w:space="0" w:color="auto"/>
              <w:right w:val="single" w:sz="4" w:space="0" w:color="auto"/>
            </w:tcBorders>
            <w:vAlign w:val="center"/>
          </w:tcPr>
          <w:p w14:paraId="2C4CD9D0" w14:textId="25F391C0" w:rsidR="00F9353A" w:rsidRPr="0013186E" w:rsidRDefault="00C12669" w:rsidP="004F407E">
            <w:pPr>
              <w:pStyle w:val="Tabletexte"/>
              <w:keepNext/>
              <w:keepLines/>
              <w:spacing w:line="280" w:lineRule="exact"/>
              <w:jc w:val="center"/>
              <w:rPr>
                <w:position w:val="2"/>
              </w:rPr>
            </w:pPr>
            <w:r w:rsidRPr="0013186E">
              <w:rPr>
                <w:position w:val="2"/>
                <w:rtl/>
              </w:rPr>
              <w:t>قيد التنفيذ</w:t>
            </w:r>
          </w:p>
        </w:tc>
        <w:tc>
          <w:tcPr>
            <w:tcW w:w="6234" w:type="dxa"/>
            <w:vMerge/>
            <w:tcBorders>
              <w:top w:val="single" w:sz="4" w:space="0" w:color="auto"/>
              <w:left w:val="single" w:sz="4" w:space="0" w:color="auto"/>
              <w:bottom w:val="single" w:sz="4" w:space="0" w:color="auto"/>
              <w:right w:val="single" w:sz="4" w:space="0" w:color="auto"/>
            </w:tcBorders>
            <w:vAlign w:val="center"/>
          </w:tcPr>
          <w:p w14:paraId="1B4CC20D" w14:textId="77777777" w:rsidR="00F9353A" w:rsidRPr="0013186E" w:rsidRDefault="00F9353A" w:rsidP="004F407E">
            <w:pPr>
              <w:keepNext/>
              <w:keepLines/>
              <w:spacing w:before="60" w:after="60" w:line="280" w:lineRule="exact"/>
              <w:jc w:val="left"/>
              <w:rPr>
                <w:rFonts w:eastAsia="Times New Roman"/>
                <w:position w:val="2"/>
                <w:sz w:val="20"/>
                <w:szCs w:val="20"/>
                <w:lang w:val="fr-FR" w:eastAsia="en-US" w:bidi="ar-EG"/>
              </w:rPr>
            </w:pPr>
          </w:p>
        </w:tc>
      </w:tr>
      <w:tr w:rsidR="00F9353A" w:rsidRPr="0013186E" w14:paraId="00398400"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78DEA447" w14:textId="77777777" w:rsidR="00F9353A" w:rsidRPr="0013186E" w:rsidRDefault="00F9353A" w:rsidP="004F407E">
            <w:pPr>
              <w:keepNext/>
              <w:keepLines/>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105125B7" w14:textId="77777777" w:rsidR="00F9353A" w:rsidRPr="0013186E" w:rsidRDefault="00F9353A" w:rsidP="004F407E">
            <w:pPr>
              <w:pStyle w:val="Tabletexte"/>
              <w:keepNext/>
              <w:keepLines/>
              <w:spacing w:line="280" w:lineRule="exact"/>
              <w:rPr>
                <w:position w:val="2"/>
              </w:rPr>
            </w:pPr>
            <w:r w:rsidRPr="0013186E">
              <w:rPr>
                <w:position w:val="2"/>
                <w:rtl/>
              </w:rPr>
              <w:t>تقارير مالية سنوية موحدة</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420A2F1" w14:textId="77777777" w:rsidR="00F9353A" w:rsidRPr="0013186E" w:rsidRDefault="00F9353A" w:rsidP="004F407E">
            <w:pPr>
              <w:pStyle w:val="Tabletexte"/>
              <w:keepNext/>
              <w:keepLines/>
              <w:spacing w:line="280" w:lineRule="exact"/>
              <w:jc w:val="center"/>
              <w:rPr>
                <w:position w:val="2"/>
              </w:rPr>
            </w:pPr>
            <w:r w:rsidRPr="0013186E">
              <w:rPr>
                <w:position w:val="2"/>
              </w:rPr>
              <w:sym w:font="Wingdings" w:char="F0FC"/>
            </w:r>
          </w:p>
        </w:tc>
        <w:tc>
          <w:tcPr>
            <w:tcW w:w="6234" w:type="dxa"/>
            <w:vMerge w:val="restart"/>
            <w:tcBorders>
              <w:top w:val="single" w:sz="4" w:space="0" w:color="auto"/>
              <w:left w:val="single" w:sz="4" w:space="0" w:color="auto"/>
              <w:bottom w:val="single" w:sz="4" w:space="0" w:color="auto"/>
              <w:right w:val="single" w:sz="4" w:space="0" w:color="auto"/>
            </w:tcBorders>
            <w:vAlign w:val="center"/>
            <w:hideMark/>
          </w:tcPr>
          <w:p w14:paraId="4317B9A3" w14:textId="0B28B663" w:rsidR="00F9353A" w:rsidRPr="0013186E" w:rsidRDefault="00F9353A" w:rsidP="004F407E">
            <w:pPr>
              <w:pStyle w:val="Tabletexte"/>
              <w:keepNext/>
              <w:keepLines/>
              <w:spacing w:line="280" w:lineRule="exact"/>
              <w:jc w:val="left"/>
              <w:rPr>
                <w:position w:val="2"/>
                <w:lang w:val="fr-FR"/>
              </w:rPr>
            </w:pPr>
            <w:r w:rsidRPr="0013186E">
              <w:rPr>
                <w:spacing w:val="-4"/>
                <w:position w:val="2"/>
                <w:rtl/>
              </w:rPr>
              <w:t>تُعرض التقارير السنوية الموحدة على المجلس.</w:t>
            </w:r>
            <w:r w:rsidR="00487D93" w:rsidRPr="0013186E">
              <w:rPr>
                <w:rFonts w:hint="cs"/>
                <w:spacing w:val="-4"/>
                <w:position w:val="2"/>
                <w:rtl/>
              </w:rPr>
              <w:t xml:space="preserve"> </w:t>
            </w:r>
            <w:r w:rsidR="007326F0" w:rsidRPr="0013186E">
              <w:rPr>
                <w:rFonts w:hint="cs"/>
                <w:spacing w:val="-4"/>
                <w:position w:val="2"/>
                <w:rtl/>
                <w:lang w:bidi="ar"/>
              </w:rPr>
              <w:t xml:space="preserve">وتقدم تقارير مرحلية </w:t>
            </w:r>
            <w:r w:rsidR="00D010BA" w:rsidRPr="0013186E">
              <w:rPr>
                <w:rFonts w:hint="cs"/>
                <w:spacing w:val="-4"/>
                <w:position w:val="2"/>
                <w:rtl/>
                <w:lang w:bidi="ar"/>
              </w:rPr>
              <w:t xml:space="preserve">ربع سنوية </w:t>
            </w:r>
            <w:r w:rsidR="007326F0" w:rsidRPr="0013186E">
              <w:rPr>
                <w:rFonts w:hint="cs"/>
                <w:spacing w:val="-4"/>
                <w:position w:val="2"/>
                <w:rtl/>
                <w:lang w:bidi="ar"/>
              </w:rPr>
              <w:t>إلى الأعضاء.</w:t>
            </w:r>
          </w:p>
        </w:tc>
      </w:tr>
      <w:tr w:rsidR="00F9353A" w:rsidRPr="0013186E" w14:paraId="585EF4CC" w14:textId="77777777" w:rsidTr="0013186E">
        <w:tc>
          <w:tcPr>
            <w:tcW w:w="2912" w:type="dxa"/>
            <w:vMerge/>
            <w:tcBorders>
              <w:top w:val="single" w:sz="4" w:space="0" w:color="auto"/>
              <w:left w:val="single" w:sz="4" w:space="0" w:color="auto"/>
              <w:bottom w:val="single" w:sz="4" w:space="0" w:color="auto"/>
              <w:right w:val="single" w:sz="4" w:space="0" w:color="auto"/>
            </w:tcBorders>
            <w:vAlign w:val="center"/>
            <w:hideMark/>
          </w:tcPr>
          <w:p w14:paraId="3989A90D"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c>
          <w:tcPr>
            <w:tcW w:w="3881" w:type="dxa"/>
            <w:tcBorders>
              <w:top w:val="single" w:sz="4" w:space="0" w:color="auto"/>
              <w:left w:val="single" w:sz="4" w:space="0" w:color="auto"/>
              <w:bottom w:val="single" w:sz="4" w:space="0" w:color="auto"/>
              <w:right w:val="single" w:sz="4" w:space="0" w:color="auto"/>
            </w:tcBorders>
            <w:hideMark/>
          </w:tcPr>
          <w:p w14:paraId="71272246" w14:textId="77777777" w:rsidR="00F9353A" w:rsidRPr="0013186E" w:rsidRDefault="00F9353A" w:rsidP="004F407E">
            <w:pPr>
              <w:pStyle w:val="Tabletexte"/>
              <w:spacing w:line="280" w:lineRule="exact"/>
              <w:rPr>
                <w:position w:val="2"/>
              </w:rPr>
            </w:pPr>
            <w:r w:rsidRPr="0013186E">
              <w:rPr>
                <w:position w:val="2"/>
                <w:rtl/>
              </w:rPr>
              <w:t xml:space="preserve">النتائج </w:t>
            </w:r>
            <w:proofErr w:type="spellStart"/>
            <w:r w:rsidRPr="0013186E">
              <w:rPr>
                <w:position w:val="2"/>
                <w:rtl/>
              </w:rPr>
              <w:t>البرنامجية</w:t>
            </w:r>
            <w:proofErr w:type="spellEnd"/>
          </w:p>
        </w:tc>
        <w:tc>
          <w:tcPr>
            <w:tcW w:w="1251" w:type="dxa"/>
            <w:tcBorders>
              <w:top w:val="single" w:sz="4" w:space="0" w:color="auto"/>
              <w:left w:val="single" w:sz="4" w:space="0" w:color="auto"/>
              <w:bottom w:val="single" w:sz="4" w:space="0" w:color="auto"/>
              <w:right w:val="single" w:sz="4" w:space="0" w:color="auto"/>
            </w:tcBorders>
            <w:vAlign w:val="center"/>
            <w:hideMark/>
          </w:tcPr>
          <w:p w14:paraId="055ADBC2"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234" w:type="dxa"/>
            <w:vMerge/>
            <w:tcBorders>
              <w:top w:val="single" w:sz="4" w:space="0" w:color="auto"/>
              <w:left w:val="single" w:sz="4" w:space="0" w:color="auto"/>
              <w:bottom w:val="single" w:sz="4" w:space="0" w:color="auto"/>
              <w:right w:val="single" w:sz="4" w:space="0" w:color="auto"/>
            </w:tcBorders>
            <w:vAlign w:val="center"/>
            <w:hideMark/>
          </w:tcPr>
          <w:p w14:paraId="09AD4C90"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bl>
    <w:p w14:paraId="78E5646E" w14:textId="77777777" w:rsidR="00487D93" w:rsidRPr="00C45674" w:rsidRDefault="00487D93" w:rsidP="00953826">
      <w:pPr>
        <w:pStyle w:val="Headingb"/>
        <w:rPr>
          <w:b w:val="0"/>
          <w:bCs w:val="0"/>
          <w:rtl/>
        </w:rPr>
      </w:pPr>
    </w:p>
    <w:p w14:paraId="34637825" w14:textId="77777777" w:rsidR="00487D93" w:rsidRPr="00E47D85" w:rsidRDefault="00487D93">
      <w:pPr>
        <w:tabs>
          <w:tab w:val="clear" w:pos="794"/>
        </w:tabs>
        <w:bidi w:val="0"/>
        <w:spacing w:before="0" w:after="160" w:line="259" w:lineRule="auto"/>
        <w:jc w:val="left"/>
        <w:rPr>
          <w:b/>
          <w:bCs/>
          <w:rtl/>
          <w:lang w:bidi="ar-EG"/>
        </w:rPr>
      </w:pPr>
      <w:r>
        <w:rPr>
          <w:rtl/>
        </w:rPr>
        <w:br w:type="page"/>
      </w:r>
    </w:p>
    <w:p w14:paraId="4DE210B2" w14:textId="134AB737" w:rsidR="00F9353A" w:rsidRDefault="00F9353A" w:rsidP="0013186E">
      <w:pPr>
        <w:pStyle w:val="Headingb"/>
        <w:spacing w:before="120" w:after="120"/>
        <w:rPr>
          <w:rFonts w:ascii="Calibri" w:eastAsia="Times New Roman" w:hAnsi="Calibri" w:cs="Traditional Arabic"/>
          <w:sz w:val="24"/>
          <w:szCs w:val="32"/>
          <w:lang w:eastAsia="en-US"/>
        </w:rPr>
      </w:pPr>
      <w:r>
        <w:rPr>
          <w:rtl/>
        </w:rPr>
        <w:lastRenderedPageBreak/>
        <w:t xml:space="preserve">الدعامة </w:t>
      </w:r>
      <w:r>
        <w:t>2</w:t>
      </w:r>
    </w:p>
    <w:tbl>
      <w:tblPr>
        <w:tblStyle w:val="TableGrid"/>
        <w:bidiVisual/>
        <w:tblW w:w="5000" w:type="pct"/>
        <w:tblInd w:w="-5" w:type="dxa"/>
        <w:tblLayout w:type="fixed"/>
        <w:tblLook w:val="04A0" w:firstRow="1" w:lastRow="0" w:firstColumn="1" w:lastColumn="0" w:noHBand="0" w:noVBand="1"/>
      </w:tblPr>
      <w:tblGrid>
        <w:gridCol w:w="2912"/>
        <w:gridCol w:w="3880"/>
        <w:gridCol w:w="1113"/>
        <w:gridCol w:w="6373"/>
      </w:tblGrid>
      <w:tr w:rsidR="00F9353A" w:rsidRPr="00C12669" w14:paraId="47CA33ED" w14:textId="77777777" w:rsidTr="00C12669">
        <w:trPr>
          <w:cantSplit/>
          <w:tblHeader/>
        </w:trPr>
        <w:tc>
          <w:tcPr>
            <w:tcW w:w="29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4A76DA7"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المعيار المرجعي</w:t>
            </w:r>
          </w:p>
        </w:tc>
        <w:tc>
          <w:tcPr>
            <w:tcW w:w="388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269C93"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الأدوات</w:t>
            </w:r>
          </w:p>
        </w:tc>
        <w:tc>
          <w:tcPr>
            <w:tcW w:w="11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2518573"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الحالة</w:t>
            </w:r>
          </w:p>
        </w:tc>
        <w:tc>
          <w:tcPr>
            <w:tcW w:w="63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7962A6" w14:textId="77777777" w:rsidR="00F9353A" w:rsidRPr="0013186E" w:rsidRDefault="00F9353A" w:rsidP="004F407E">
            <w:pPr>
              <w:pStyle w:val="Tablehead0"/>
              <w:bidi/>
              <w:spacing w:line="280" w:lineRule="exact"/>
              <w:rPr>
                <w:position w:val="2"/>
                <w:sz w:val="20"/>
                <w:szCs w:val="20"/>
              </w:rPr>
            </w:pPr>
            <w:r w:rsidRPr="0013186E">
              <w:rPr>
                <w:position w:val="2"/>
                <w:sz w:val="20"/>
                <w:szCs w:val="20"/>
                <w:rtl/>
              </w:rPr>
              <w:t>التعليق</w:t>
            </w:r>
          </w:p>
        </w:tc>
      </w:tr>
      <w:tr w:rsidR="00F9353A" w:rsidRPr="00C12669" w14:paraId="63D8A57D"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hideMark/>
          </w:tcPr>
          <w:p w14:paraId="3336D8B9" w14:textId="77777777" w:rsidR="00F9353A" w:rsidRPr="0013186E" w:rsidRDefault="00F9353A" w:rsidP="004F407E">
            <w:pPr>
              <w:pStyle w:val="Tabletexte"/>
              <w:tabs>
                <w:tab w:val="clear" w:pos="794"/>
                <w:tab w:val="left" w:pos="489"/>
              </w:tabs>
              <w:spacing w:line="280" w:lineRule="exact"/>
              <w:rPr>
                <w:spacing w:val="-4"/>
                <w:position w:val="2"/>
              </w:rPr>
            </w:pPr>
            <w:r w:rsidRPr="0013186E">
              <w:rPr>
                <w:spacing w:val="-4"/>
                <w:position w:val="2"/>
              </w:rPr>
              <w:t>5</w:t>
            </w:r>
            <w:r w:rsidRPr="0013186E">
              <w:rPr>
                <w:spacing w:val="-4"/>
                <w:position w:val="2"/>
                <w:rtl/>
              </w:rPr>
              <w:tab/>
              <w:t>وجود وإنفاذ سياسات تتعلق بالسلوك الأخلاقي، ومعـايير النزاهة، ومكافحة الفساد، ومكافحة الغش.</w:t>
            </w:r>
          </w:p>
        </w:tc>
        <w:tc>
          <w:tcPr>
            <w:tcW w:w="3880" w:type="dxa"/>
            <w:tcBorders>
              <w:top w:val="single" w:sz="4" w:space="0" w:color="auto"/>
              <w:left w:val="single" w:sz="4" w:space="0" w:color="auto"/>
              <w:bottom w:val="single" w:sz="4" w:space="0" w:color="auto"/>
              <w:right w:val="single" w:sz="4" w:space="0" w:color="auto"/>
            </w:tcBorders>
            <w:hideMark/>
          </w:tcPr>
          <w:p w14:paraId="5A2511F0" w14:textId="77777777" w:rsidR="00F9353A" w:rsidRPr="0013186E" w:rsidRDefault="00F9353A" w:rsidP="004F407E">
            <w:pPr>
              <w:pStyle w:val="Tabletexte"/>
              <w:spacing w:line="280" w:lineRule="exact"/>
              <w:rPr>
                <w:spacing w:val="-4"/>
                <w:position w:val="2"/>
              </w:rPr>
            </w:pPr>
            <w:r w:rsidRPr="0013186E">
              <w:rPr>
                <w:spacing w:val="-4"/>
                <w:position w:val="2"/>
                <w:rtl/>
              </w:rPr>
              <w:t>نظام إداري للموظفين/مدونة لقواعد سلوك الموظفين، بما في ذلك ما يتعلق بالتحرّش</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B2E1122"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373" w:type="dxa"/>
            <w:vMerge w:val="restart"/>
            <w:tcBorders>
              <w:top w:val="single" w:sz="4" w:space="0" w:color="auto"/>
              <w:left w:val="single" w:sz="4" w:space="0" w:color="auto"/>
              <w:bottom w:val="single" w:sz="4" w:space="0" w:color="auto"/>
              <w:right w:val="single" w:sz="4" w:space="0" w:color="auto"/>
            </w:tcBorders>
            <w:vAlign w:val="center"/>
          </w:tcPr>
          <w:p w14:paraId="2C9F6A3E" w14:textId="0CDB463C" w:rsidR="00E667E1" w:rsidRPr="0013186E" w:rsidRDefault="00C12669" w:rsidP="004F407E">
            <w:pPr>
              <w:spacing w:before="60" w:after="60" w:line="280" w:lineRule="exact"/>
              <w:jc w:val="left"/>
              <w:rPr>
                <w:position w:val="2"/>
                <w:sz w:val="20"/>
                <w:szCs w:val="20"/>
                <w:rtl/>
                <w:lang w:bidi="ar"/>
              </w:rPr>
            </w:pPr>
            <w:r w:rsidRPr="0013186E">
              <w:rPr>
                <w:position w:val="2"/>
                <w:sz w:val="20"/>
                <w:szCs w:val="20"/>
                <w:rtl/>
              </w:rPr>
              <w:t>السياسة العامة للاتحاد بشأن مكافحة التحرش وإساءة استخدام السلطة</w:t>
            </w:r>
            <w:r w:rsidR="00C01411" w:rsidRPr="0013186E">
              <w:rPr>
                <w:rFonts w:hint="cs"/>
                <w:position w:val="2"/>
                <w:sz w:val="20"/>
                <w:szCs w:val="20"/>
                <w:rtl/>
              </w:rPr>
              <w:t>.</w:t>
            </w:r>
            <w:r w:rsidRPr="0013186E">
              <w:rPr>
                <w:rFonts w:hint="cs"/>
                <w:position w:val="2"/>
                <w:sz w:val="20"/>
                <w:szCs w:val="20"/>
                <w:rtl/>
                <w:lang w:bidi="ar-EG"/>
              </w:rPr>
              <w:t xml:space="preserve"> </w:t>
            </w:r>
            <w:r w:rsidR="00C01411" w:rsidRPr="0013186E">
              <w:rPr>
                <w:rFonts w:hint="cs"/>
                <w:position w:val="2"/>
                <w:sz w:val="20"/>
                <w:szCs w:val="20"/>
                <w:rtl/>
                <w:lang w:bidi="ar-EG"/>
              </w:rPr>
              <w:t>و</w:t>
            </w:r>
            <w:r w:rsidR="00E667E1" w:rsidRPr="0013186E">
              <w:rPr>
                <w:rFonts w:hint="cs"/>
                <w:position w:val="2"/>
                <w:sz w:val="20"/>
                <w:szCs w:val="20"/>
                <w:rtl/>
                <w:lang w:bidi="ar"/>
              </w:rPr>
              <w:t xml:space="preserve">يشمل </w:t>
            </w:r>
            <w:r w:rsidR="00C01411" w:rsidRPr="0013186E">
              <w:rPr>
                <w:rFonts w:hint="cs"/>
                <w:position w:val="2"/>
                <w:sz w:val="20"/>
                <w:szCs w:val="20"/>
                <w:rtl/>
                <w:lang w:bidi="ar"/>
              </w:rPr>
              <w:t>ال</w:t>
            </w:r>
            <w:r w:rsidR="00E667E1" w:rsidRPr="0013186E">
              <w:rPr>
                <w:rFonts w:hint="cs"/>
                <w:position w:val="2"/>
                <w:sz w:val="20"/>
                <w:szCs w:val="20"/>
                <w:rtl/>
                <w:lang w:bidi="ar"/>
              </w:rPr>
              <w:t xml:space="preserve">أمر </w:t>
            </w:r>
            <w:r w:rsidR="00C01411" w:rsidRPr="0013186E">
              <w:rPr>
                <w:rFonts w:hint="cs"/>
                <w:position w:val="2"/>
                <w:sz w:val="20"/>
                <w:szCs w:val="20"/>
                <w:rtl/>
                <w:lang w:bidi="ar"/>
              </w:rPr>
              <w:t>الإداري</w:t>
            </w:r>
            <w:r w:rsidR="00E667E1" w:rsidRPr="0013186E">
              <w:rPr>
                <w:rFonts w:hint="cs"/>
                <w:position w:val="2"/>
                <w:sz w:val="20"/>
                <w:szCs w:val="20"/>
                <w:rtl/>
                <w:lang w:bidi="ar"/>
              </w:rPr>
              <w:t xml:space="preserve"> رقم </w:t>
            </w:r>
            <w:r w:rsidR="00C01411" w:rsidRPr="0013186E">
              <w:rPr>
                <w:rFonts w:hint="cs"/>
                <w:position w:val="2"/>
                <w:sz w:val="20"/>
                <w:szCs w:val="20"/>
                <w:rtl/>
                <w:lang w:bidi="ar"/>
              </w:rPr>
              <w:t>08</w:t>
            </w:r>
            <w:r w:rsidR="00E667E1" w:rsidRPr="0013186E">
              <w:rPr>
                <w:rFonts w:hint="cs"/>
                <w:position w:val="2"/>
                <w:sz w:val="20"/>
                <w:szCs w:val="20"/>
                <w:rtl/>
                <w:lang w:bidi="ar"/>
              </w:rPr>
              <w:t>/</w:t>
            </w:r>
            <w:r w:rsidR="00C01411" w:rsidRPr="0013186E">
              <w:rPr>
                <w:rFonts w:hint="cs"/>
                <w:position w:val="2"/>
                <w:sz w:val="20"/>
                <w:szCs w:val="20"/>
                <w:rtl/>
                <w:lang w:bidi="ar"/>
              </w:rPr>
              <w:t>19</w:t>
            </w:r>
            <w:r w:rsidR="00E667E1" w:rsidRPr="0013186E">
              <w:rPr>
                <w:rFonts w:hint="cs"/>
                <w:position w:val="2"/>
                <w:sz w:val="20"/>
                <w:szCs w:val="20"/>
                <w:rtl/>
                <w:lang w:bidi="ar"/>
              </w:rPr>
              <w:t xml:space="preserve"> التحرش الجنسي أيضا</w:t>
            </w:r>
            <w:r w:rsidR="00C01411" w:rsidRPr="0013186E">
              <w:rPr>
                <w:rFonts w:hint="cs"/>
                <w:position w:val="2"/>
                <w:sz w:val="20"/>
                <w:szCs w:val="20"/>
                <w:rtl/>
                <w:lang w:bidi="ar"/>
              </w:rPr>
              <w:t>ً</w:t>
            </w:r>
            <w:r w:rsidR="00E667E1" w:rsidRPr="0013186E">
              <w:rPr>
                <w:rFonts w:hint="cs"/>
                <w:position w:val="2"/>
                <w:sz w:val="20"/>
                <w:szCs w:val="20"/>
                <w:rtl/>
                <w:lang w:bidi="ar"/>
              </w:rPr>
              <w:t xml:space="preserve">. </w:t>
            </w:r>
            <w:r w:rsidR="00C01411" w:rsidRPr="0013186E">
              <w:rPr>
                <w:rFonts w:hint="cs"/>
                <w:position w:val="2"/>
                <w:sz w:val="20"/>
                <w:szCs w:val="20"/>
                <w:rtl/>
                <w:lang w:bidi="ar"/>
              </w:rPr>
              <w:t>و</w:t>
            </w:r>
            <w:r w:rsidR="00E90DE5" w:rsidRPr="0013186E">
              <w:rPr>
                <w:rFonts w:hint="cs"/>
                <w:position w:val="2"/>
                <w:sz w:val="20"/>
                <w:szCs w:val="20"/>
                <w:rtl/>
                <w:lang w:bidi="ar"/>
              </w:rPr>
              <w:t>وضعت</w:t>
            </w:r>
            <w:r w:rsidR="00E667E1" w:rsidRPr="0013186E">
              <w:rPr>
                <w:rFonts w:hint="cs"/>
                <w:position w:val="2"/>
                <w:sz w:val="20"/>
                <w:szCs w:val="20"/>
                <w:rtl/>
                <w:lang w:bidi="ar"/>
              </w:rPr>
              <w:t xml:space="preserve"> السياسة في 2 مايو 2019.</w:t>
            </w:r>
          </w:p>
          <w:p w14:paraId="1154233D" w14:textId="30DCF446" w:rsidR="00F9353A" w:rsidRPr="0013186E" w:rsidRDefault="00C01411" w:rsidP="004F407E">
            <w:pPr>
              <w:spacing w:before="60" w:after="60" w:line="280" w:lineRule="exact"/>
              <w:jc w:val="left"/>
              <w:rPr>
                <w:position w:val="2"/>
                <w:sz w:val="20"/>
                <w:szCs w:val="20"/>
                <w:lang w:val="fr-FR" w:bidi="ar-EG"/>
              </w:rPr>
            </w:pPr>
            <w:r w:rsidRPr="0013186E">
              <w:rPr>
                <w:rFonts w:hint="cs"/>
                <w:position w:val="2"/>
                <w:sz w:val="20"/>
                <w:szCs w:val="20"/>
                <w:rtl/>
                <w:lang w:bidi="ar"/>
              </w:rPr>
              <w:t>وعُيّن</w:t>
            </w:r>
            <w:r w:rsidR="00E667E1" w:rsidRPr="0013186E">
              <w:rPr>
                <w:rFonts w:hint="cs"/>
                <w:position w:val="2"/>
                <w:sz w:val="20"/>
                <w:szCs w:val="20"/>
                <w:rtl/>
                <w:lang w:bidi="ar"/>
              </w:rPr>
              <w:t xml:space="preserve"> مسؤول أخلاقيات جديد في عام 2019.</w:t>
            </w:r>
          </w:p>
        </w:tc>
      </w:tr>
      <w:tr w:rsidR="00F9353A" w:rsidRPr="00C12669" w14:paraId="6D376C5E"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09518D72"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18AC0A82" w14:textId="77777777" w:rsidR="00F9353A" w:rsidRPr="0013186E" w:rsidRDefault="00F9353A" w:rsidP="004F407E">
            <w:pPr>
              <w:pStyle w:val="Tabletexte"/>
              <w:spacing w:line="280" w:lineRule="exact"/>
              <w:rPr>
                <w:position w:val="2"/>
                <w:rtl/>
              </w:rPr>
            </w:pPr>
            <w:r w:rsidRPr="0013186E">
              <w:rPr>
                <w:position w:val="2"/>
                <w:rtl/>
              </w:rPr>
              <w:t>وجود وظيفة تتعلق بالأخلاقيات</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B1BEAA1"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1904EE52"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C12669" w14:paraId="53DAA844"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02455547"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38E53379" w14:textId="49AD7A27" w:rsidR="00F9353A" w:rsidRPr="0013186E" w:rsidRDefault="00F9353A" w:rsidP="004F407E">
            <w:pPr>
              <w:pStyle w:val="Tabletexte"/>
              <w:spacing w:line="280" w:lineRule="exact"/>
              <w:rPr>
                <w:position w:val="2"/>
              </w:rPr>
            </w:pPr>
            <w:r w:rsidRPr="0013186E">
              <w:rPr>
                <w:position w:val="2"/>
                <w:rtl/>
              </w:rPr>
              <w:t xml:space="preserve">سياسة تتعلق بالهدايا </w:t>
            </w:r>
            <w:r w:rsidR="00D010BA" w:rsidRPr="0013186E">
              <w:rPr>
                <w:rFonts w:hint="cs"/>
                <w:position w:val="2"/>
                <w:rtl/>
              </w:rPr>
              <w:t>والعطايا</w:t>
            </w:r>
            <w:r w:rsidR="00D010BA" w:rsidRPr="0013186E">
              <w:rPr>
                <w:position w:val="2"/>
                <w:rtl/>
              </w:rPr>
              <w:t xml:space="preserve"> </w:t>
            </w:r>
            <w:r w:rsidRPr="0013186E">
              <w:rPr>
                <w:position w:val="2"/>
                <w:rtl/>
              </w:rPr>
              <w:t>والضيافة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BF48904" w14:textId="1568568A" w:rsidR="00F9353A" w:rsidRPr="0013186E" w:rsidRDefault="00C12669" w:rsidP="004F407E">
            <w:pPr>
              <w:pStyle w:val="Tabletexte"/>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7F394A0C" w14:textId="51637CD6" w:rsidR="00F9353A" w:rsidRPr="0013186E" w:rsidRDefault="00897C1F" w:rsidP="004F407E">
            <w:pPr>
              <w:pStyle w:val="Tabletexte"/>
              <w:spacing w:line="280" w:lineRule="exact"/>
              <w:jc w:val="left"/>
              <w:rPr>
                <w:position w:val="2"/>
                <w:lang w:val="fr-FR"/>
              </w:rPr>
            </w:pPr>
            <w:r w:rsidRPr="0013186E">
              <w:rPr>
                <w:rFonts w:hint="cs"/>
                <w:position w:val="2"/>
                <w:rtl/>
                <w:lang w:bidi="ar"/>
              </w:rPr>
              <w:t xml:space="preserve">سياسة </w:t>
            </w:r>
            <w:r w:rsidR="009A110C" w:rsidRPr="0013186E">
              <w:rPr>
                <w:rFonts w:hint="cs"/>
                <w:position w:val="2"/>
                <w:rtl/>
                <w:lang w:bidi="ar"/>
              </w:rPr>
              <w:t>مشمولة في النظام الأساسي والنظام الإداري لموظفي الاتحاد</w:t>
            </w:r>
            <w:r w:rsidR="00953718" w:rsidRPr="0013186E">
              <w:rPr>
                <w:rFonts w:hint="cs"/>
                <w:position w:val="2"/>
                <w:rtl/>
                <w:lang w:bidi="ar"/>
              </w:rPr>
              <w:t>،</w:t>
            </w:r>
            <w:r w:rsidR="009A110C" w:rsidRPr="0013186E">
              <w:rPr>
                <w:rFonts w:hint="cs"/>
                <w:position w:val="2"/>
                <w:rtl/>
                <w:lang w:bidi="ar"/>
              </w:rPr>
              <w:t xml:space="preserve"> ومدونة </w:t>
            </w:r>
            <w:r w:rsidR="00953718" w:rsidRPr="0013186E">
              <w:rPr>
                <w:rFonts w:hint="cs"/>
                <w:position w:val="2"/>
                <w:rtl/>
                <w:lang w:bidi="ar"/>
              </w:rPr>
              <w:t>أخلاقيات</w:t>
            </w:r>
            <w:r w:rsidR="009A110C" w:rsidRPr="0013186E">
              <w:rPr>
                <w:rFonts w:hint="cs"/>
                <w:position w:val="2"/>
                <w:rtl/>
                <w:lang w:bidi="ar"/>
              </w:rPr>
              <w:t xml:space="preserve"> موظفي الاتحاد ومعايير السلوك في الخدمة المدنية الدولية؛ </w:t>
            </w:r>
            <w:r w:rsidR="00953718" w:rsidRPr="0013186E">
              <w:rPr>
                <w:rFonts w:hint="cs"/>
                <w:position w:val="2"/>
                <w:rtl/>
                <w:lang w:bidi="ar"/>
              </w:rPr>
              <w:t>و</w:t>
            </w:r>
            <w:r w:rsidR="009A110C" w:rsidRPr="0013186E">
              <w:rPr>
                <w:rFonts w:hint="cs"/>
                <w:position w:val="2"/>
                <w:rtl/>
                <w:lang w:bidi="ar"/>
              </w:rPr>
              <w:t>سياسة جديدة بشأن الهدايا والضيافة قيد الوضع في 2020.</w:t>
            </w:r>
          </w:p>
        </w:tc>
      </w:tr>
      <w:tr w:rsidR="00F9353A" w:rsidRPr="00C12669" w14:paraId="11F7136B"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067626ED"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7DC00CFD" w14:textId="4955ED29" w:rsidR="00F9353A" w:rsidRPr="0013186E" w:rsidRDefault="00F9353A" w:rsidP="004F407E">
            <w:pPr>
              <w:pStyle w:val="Tabletexte"/>
              <w:spacing w:line="280" w:lineRule="exact"/>
              <w:rPr>
                <w:position w:val="2"/>
              </w:rPr>
            </w:pPr>
            <w:r w:rsidRPr="0013186E">
              <w:rPr>
                <w:position w:val="2"/>
                <w:rtl/>
              </w:rPr>
              <w:t>الحماية من الانتقام بسبب الإبلاغ عن سوء سلوك أو</w:t>
            </w:r>
            <w:r w:rsidR="00F96326" w:rsidRPr="0013186E">
              <w:rPr>
                <w:rFonts w:hint="cs"/>
                <w:position w:val="2"/>
                <w:rtl/>
              </w:rPr>
              <w:t> </w:t>
            </w:r>
            <w:r w:rsidRPr="0013186E">
              <w:rPr>
                <w:position w:val="2"/>
                <w:rtl/>
              </w:rPr>
              <w:t>مخالفة (سياسة حماية المبلغين عن المخالفات)</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BBF3D45"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373" w:type="dxa"/>
            <w:vMerge w:val="restart"/>
            <w:tcBorders>
              <w:top w:val="single" w:sz="4" w:space="0" w:color="auto"/>
              <w:left w:val="single" w:sz="4" w:space="0" w:color="auto"/>
              <w:bottom w:val="single" w:sz="4" w:space="0" w:color="auto"/>
              <w:right w:val="single" w:sz="4" w:space="0" w:color="auto"/>
            </w:tcBorders>
            <w:vAlign w:val="center"/>
            <w:hideMark/>
          </w:tcPr>
          <w:p w14:paraId="1D6A9DE5" w14:textId="62E8AC35" w:rsidR="00F9353A" w:rsidRPr="0013186E" w:rsidRDefault="00F9353A" w:rsidP="004F407E">
            <w:pPr>
              <w:pStyle w:val="Tabletexte"/>
              <w:spacing w:line="280" w:lineRule="exact"/>
              <w:jc w:val="left"/>
              <w:rPr>
                <w:position w:val="2"/>
                <w:rtl/>
              </w:rPr>
            </w:pPr>
            <w:r w:rsidRPr="0013186E">
              <w:rPr>
                <w:position w:val="2"/>
                <w:rtl/>
              </w:rPr>
              <w:t>يجري أيضاً استعراض هذه المواضيع في ضوء المراجعات التي تجريها وحدة التفتيش المشتركة حالياً فيما يتعلق بتضارب المصالح وحماية المبلغين عن المخالفات.</w:t>
            </w:r>
          </w:p>
          <w:p w14:paraId="029E678C" w14:textId="7A237589" w:rsidR="00487D93" w:rsidRPr="0013186E" w:rsidRDefault="00042836" w:rsidP="004F407E">
            <w:pPr>
              <w:pStyle w:val="Tabletexte"/>
              <w:spacing w:line="280" w:lineRule="exact"/>
              <w:jc w:val="left"/>
              <w:rPr>
                <w:position w:val="2"/>
                <w:lang w:val="fr-FR"/>
              </w:rPr>
            </w:pPr>
            <w:r w:rsidRPr="0013186E">
              <w:rPr>
                <w:rFonts w:hint="cs"/>
                <w:position w:val="2"/>
                <w:rtl/>
                <w:lang w:bidi="ar"/>
              </w:rPr>
              <w:t>وقد أنشئ</w:t>
            </w:r>
            <w:r w:rsidR="00421B03" w:rsidRPr="0013186E">
              <w:rPr>
                <w:position w:val="2"/>
                <w:lang w:bidi="ar"/>
              </w:rPr>
              <w:t xml:space="preserve"> </w:t>
            </w:r>
            <w:r w:rsidRPr="0013186E">
              <w:rPr>
                <w:rFonts w:hint="cs"/>
                <w:position w:val="2"/>
                <w:rtl/>
                <w:lang w:bidi="ar"/>
              </w:rPr>
              <w:t xml:space="preserve">العديد من الأدوات مثل دليل وسياسة </w:t>
            </w:r>
            <w:r w:rsidR="00E47D85" w:rsidRPr="0013186E">
              <w:rPr>
                <w:rFonts w:hint="cs"/>
                <w:position w:val="2"/>
                <w:rtl/>
                <w:lang w:bidi="ar"/>
              </w:rPr>
              <w:t>جديدين لل</w:t>
            </w:r>
            <w:r w:rsidRPr="0013186E">
              <w:rPr>
                <w:rFonts w:hint="cs"/>
                <w:position w:val="2"/>
                <w:rtl/>
                <w:lang w:bidi="ar"/>
              </w:rPr>
              <w:t xml:space="preserve">مشتريات. </w:t>
            </w:r>
            <w:r w:rsidR="00E47D85" w:rsidRPr="0013186E">
              <w:rPr>
                <w:rFonts w:hint="cs"/>
                <w:position w:val="2"/>
                <w:rtl/>
                <w:lang w:bidi="ar"/>
              </w:rPr>
              <w:t>وفي عام 2019، ص</w:t>
            </w:r>
            <w:r w:rsidRPr="0013186E">
              <w:rPr>
                <w:rFonts w:hint="cs"/>
                <w:position w:val="2"/>
                <w:rtl/>
                <w:lang w:bidi="ar"/>
              </w:rPr>
              <w:t xml:space="preserve">در أمر </w:t>
            </w:r>
            <w:r w:rsidR="00E47D85" w:rsidRPr="0013186E">
              <w:rPr>
                <w:rFonts w:hint="cs"/>
                <w:position w:val="2"/>
                <w:rtl/>
                <w:lang w:bidi="ar"/>
              </w:rPr>
              <w:t>إداري</w:t>
            </w:r>
            <w:r w:rsidRPr="0013186E">
              <w:rPr>
                <w:rFonts w:hint="cs"/>
                <w:position w:val="2"/>
                <w:rtl/>
                <w:lang w:bidi="ar"/>
              </w:rPr>
              <w:t xml:space="preserve"> بشأن المبادئ التوجيهية </w:t>
            </w:r>
            <w:r w:rsidR="007365C2" w:rsidRPr="0013186E">
              <w:rPr>
                <w:rFonts w:hint="cs"/>
                <w:position w:val="2"/>
                <w:rtl/>
                <w:lang w:bidi="ar"/>
              </w:rPr>
              <w:t>للاتحاد في مجال ال</w:t>
            </w:r>
            <w:r w:rsidRPr="0013186E">
              <w:rPr>
                <w:rFonts w:hint="cs"/>
                <w:position w:val="2"/>
                <w:rtl/>
                <w:lang w:bidi="ar"/>
              </w:rPr>
              <w:t xml:space="preserve">تحقيق </w:t>
            </w:r>
            <w:r w:rsidR="007365C2" w:rsidRPr="0013186E">
              <w:rPr>
                <w:rFonts w:hint="cs"/>
                <w:position w:val="2"/>
                <w:rtl/>
                <w:lang w:bidi="ar"/>
              </w:rPr>
              <w:t>التي ت</w:t>
            </w:r>
            <w:r w:rsidRPr="0013186E">
              <w:rPr>
                <w:rFonts w:hint="cs"/>
                <w:position w:val="2"/>
                <w:rtl/>
                <w:lang w:bidi="ar"/>
              </w:rPr>
              <w:t xml:space="preserve">تضمن الإجراءات الواجب اتباعها </w:t>
            </w:r>
            <w:r w:rsidR="007365C2" w:rsidRPr="0013186E">
              <w:rPr>
                <w:rFonts w:hint="cs"/>
                <w:position w:val="2"/>
                <w:rtl/>
                <w:lang w:bidi="ar"/>
              </w:rPr>
              <w:t>عند</w:t>
            </w:r>
            <w:r w:rsidRPr="0013186E">
              <w:rPr>
                <w:rFonts w:hint="cs"/>
                <w:position w:val="2"/>
                <w:rtl/>
                <w:lang w:bidi="ar"/>
              </w:rPr>
              <w:t xml:space="preserve"> إجراء تحقيق </w:t>
            </w:r>
            <w:r w:rsidR="007365C2" w:rsidRPr="0013186E">
              <w:rPr>
                <w:rFonts w:hint="cs"/>
                <w:position w:val="2"/>
                <w:rtl/>
                <w:lang w:bidi="ar"/>
              </w:rPr>
              <w:t>ما</w:t>
            </w:r>
            <w:r w:rsidRPr="0013186E">
              <w:rPr>
                <w:rFonts w:hint="cs"/>
                <w:position w:val="2"/>
                <w:rtl/>
                <w:lang w:bidi="ar"/>
              </w:rPr>
              <w:t xml:space="preserve">، بما في ذلك </w:t>
            </w:r>
            <w:r w:rsidR="00897C1F" w:rsidRPr="0013186E">
              <w:rPr>
                <w:rFonts w:hint="cs"/>
                <w:position w:val="2"/>
                <w:rtl/>
                <w:lang w:bidi="ar"/>
              </w:rPr>
              <w:t>ال</w:t>
            </w:r>
            <w:r w:rsidRPr="0013186E">
              <w:rPr>
                <w:rFonts w:hint="cs"/>
                <w:position w:val="2"/>
                <w:rtl/>
                <w:lang w:bidi="ar"/>
              </w:rPr>
              <w:t xml:space="preserve">خطوات </w:t>
            </w:r>
            <w:r w:rsidR="00897C1F" w:rsidRPr="0013186E">
              <w:rPr>
                <w:rFonts w:hint="cs"/>
                <w:position w:val="2"/>
                <w:rtl/>
                <w:lang w:bidi="ar"/>
              </w:rPr>
              <w:t xml:space="preserve">المتخذة </w:t>
            </w:r>
            <w:r w:rsidRPr="0013186E">
              <w:rPr>
                <w:rFonts w:hint="cs"/>
                <w:position w:val="2"/>
                <w:rtl/>
                <w:lang w:bidi="ar"/>
              </w:rPr>
              <w:t xml:space="preserve">لمنع تسريب المعلومات السرية وضمان الاستجابة السريعة لحالات الاحتيال. </w:t>
            </w:r>
            <w:r w:rsidR="007365C2" w:rsidRPr="0013186E">
              <w:rPr>
                <w:rFonts w:hint="cs"/>
                <w:position w:val="2"/>
                <w:rtl/>
                <w:lang w:bidi="ar"/>
              </w:rPr>
              <w:t xml:space="preserve">وعلاوةً على ذلك، </w:t>
            </w:r>
            <w:r w:rsidRPr="0013186E">
              <w:rPr>
                <w:rFonts w:hint="cs"/>
                <w:position w:val="2"/>
                <w:rtl/>
                <w:lang w:bidi="ar"/>
              </w:rPr>
              <w:t>قر</w:t>
            </w:r>
            <w:r w:rsidR="007365C2" w:rsidRPr="0013186E">
              <w:rPr>
                <w:rFonts w:hint="cs"/>
                <w:position w:val="2"/>
                <w:rtl/>
                <w:lang w:bidi="ar"/>
              </w:rPr>
              <w:t>ّ</w:t>
            </w:r>
            <w:r w:rsidRPr="0013186E">
              <w:rPr>
                <w:rFonts w:hint="cs"/>
                <w:position w:val="2"/>
                <w:rtl/>
                <w:lang w:bidi="ar"/>
              </w:rPr>
              <w:t xml:space="preserve">ر </w:t>
            </w:r>
            <w:r w:rsidR="007365C2" w:rsidRPr="0013186E">
              <w:rPr>
                <w:rFonts w:hint="cs"/>
                <w:position w:val="2"/>
                <w:rtl/>
                <w:lang w:bidi="ar"/>
              </w:rPr>
              <w:t xml:space="preserve">المجلس من خلال </w:t>
            </w:r>
            <w:r w:rsidR="00897C1F" w:rsidRPr="0013186E">
              <w:rPr>
                <w:rFonts w:hint="cs"/>
                <w:position w:val="2"/>
                <w:rtl/>
                <w:lang w:bidi="ar"/>
              </w:rPr>
              <w:t>المقرر</w:t>
            </w:r>
            <w:r w:rsidR="007365C2" w:rsidRPr="0013186E">
              <w:rPr>
                <w:rFonts w:hint="cs"/>
                <w:position w:val="2"/>
                <w:rtl/>
                <w:lang w:bidi="ar"/>
              </w:rPr>
              <w:t xml:space="preserve"> رقم </w:t>
            </w:r>
            <w:r w:rsidR="007365C2" w:rsidRPr="0013186E">
              <w:rPr>
                <w:position w:val="2"/>
                <w:lang w:val="fr-FR" w:bidi="ar"/>
              </w:rPr>
              <w:t>613</w:t>
            </w:r>
            <w:r w:rsidR="007365C2" w:rsidRPr="0013186E">
              <w:rPr>
                <w:rFonts w:hint="cs"/>
                <w:position w:val="2"/>
                <w:rtl/>
                <w:lang w:bidi="ar-EG"/>
              </w:rPr>
              <w:t xml:space="preserve">، </w:t>
            </w:r>
            <w:r w:rsidRPr="0013186E">
              <w:rPr>
                <w:rFonts w:hint="cs"/>
                <w:position w:val="2"/>
                <w:rtl/>
                <w:lang w:bidi="ar"/>
              </w:rPr>
              <w:t xml:space="preserve">إجراء مراجعة </w:t>
            </w:r>
            <w:r w:rsidR="007365C2" w:rsidRPr="0013186E">
              <w:rPr>
                <w:rFonts w:hint="cs"/>
                <w:position w:val="2"/>
                <w:rtl/>
                <w:lang w:bidi="ar"/>
              </w:rPr>
              <w:t>محاسبية جنائية</w:t>
            </w:r>
            <w:r w:rsidRPr="0013186E">
              <w:rPr>
                <w:rFonts w:hint="cs"/>
                <w:position w:val="2"/>
                <w:rtl/>
                <w:lang w:bidi="ar"/>
              </w:rPr>
              <w:t xml:space="preserve"> للأنشطة المالية والإدارية للاتحاد خلال السنوات العشر الماضية.</w:t>
            </w:r>
          </w:p>
        </w:tc>
      </w:tr>
      <w:tr w:rsidR="00F9353A" w:rsidRPr="00C12669" w14:paraId="21231A44"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4EB0B422"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6BFB5909" w14:textId="77777777" w:rsidR="00F9353A" w:rsidRPr="0013186E" w:rsidRDefault="00F9353A" w:rsidP="004F407E">
            <w:pPr>
              <w:pStyle w:val="Tabletexte"/>
              <w:spacing w:line="280" w:lineRule="exact"/>
              <w:rPr>
                <w:position w:val="2"/>
              </w:rPr>
            </w:pPr>
            <w:r w:rsidRPr="0013186E">
              <w:rPr>
                <w:position w:val="2"/>
                <w:rtl/>
              </w:rPr>
              <w:t>سياسة تتناول الأنشطة الخارجية (تضارب المصالح)</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493A28F"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4ED01E31"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C12669" w14:paraId="6BA86D8E"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5AB35BB9"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2DD2AAD0" w14:textId="77777777" w:rsidR="00F9353A" w:rsidRPr="0013186E" w:rsidRDefault="00F9353A" w:rsidP="004F407E">
            <w:pPr>
              <w:pStyle w:val="Tabletexte"/>
              <w:spacing w:line="280" w:lineRule="exact"/>
              <w:rPr>
                <w:position w:val="2"/>
              </w:rPr>
            </w:pPr>
            <w:r w:rsidRPr="0013186E">
              <w:rPr>
                <w:position w:val="2"/>
                <w:rtl/>
              </w:rPr>
              <w:t>سياسة لمكافحة الغش ومكافحة الفساد</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5EFC8E7" w14:textId="6D97D85F" w:rsidR="00F9353A" w:rsidRPr="0013186E" w:rsidRDefault="00C12669" w:rsidP="004F407E">
            <w:pPr>
              <w:pStyle w:val="Tabletexte"/>
              <w:spacing w:line="280" w:lineRule="exact"/>
              <w:jc w:val="center"/>
              <w:rPr>
                <w:position w:val="2"/>
              </w:rPr>
            </w:pPr>
            <w:r w:rsidRPr="0013186E">
              <w:rPr>
                <w:position w:val="2"/>
              </w:rPr>
              <w:sym w:font="Wingdings" w:char="F0FC"/>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5AFB0981"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C12669" w14:paraId="64DDD451"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377FDCAB"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3F415E2B" w14:textId="77777777" w:rsidR="00F9353A" w:rsidRPr="0013186E" w:rsidRDefault="00F9353A" w:rsidP="004F407E">
            <w:pPr>
              <w:pStyle w:val="Tabletexte"/>
              <w:spacing w:line="280" w:lineRule="exact"/>
              <w:rPr>
                <w:position w:val="2"/>
              </w:rPr>
            </w:pPr>
            <w:r w:rsidRPr="0013186E">
              <w:rPr>
                <w:position w:val="2"/>
                <w:rtl/>
              </w:rPr>
              <w:t>التدريب</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C66D7D" w14:textId="3DC401E9" w:rsidR="00F9353A" w:rsidRPr="0013186E" w:rsidRDefault="00C12669" w:rsidP="004F407E">
            <w:pPr>
              <w:pStyle w:val="Tabletexte"/>
              <w:spacing w:line="280" w:lineRule="exact"/>
              <w:jc w:val="center"/>
              <w:rPr>
                <w:position w:val="2"/>
              </w:rPr>
            </w:pPr>
            <w:r w:rsidRPr="0013186E">
              <w:rPr>
                <w:position w:val="2"/>
                <w:rtl/>
              </w:rPr>
              <w:t>مستمرة</w:t>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5C633464"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C12669" w14:paraId="3AFC1929"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hideMark/>
          </w:tcPr>
          <w:p w14:paraId="2D270829" w14:textId="3D610932" w:rsidR="00F9353A" w:rsidRPr="0013186E" w:rsidRDefault="00F9353A" w:rsidP="004F407E">
            <w:pPr>
              <w:pStyle w:val="Tabletexte"/>
              <w:keepNext/>
              <w:keepLines/>
              <w:tabs>
                <w:tab w:val="clear" w:pos="794"/>
                <w:tab w:val="left" w:pos="489"/>
              </w:tabs>
              <w:spacing w:line="280" w:lineRule="exact"/>
              <w:rPr>
                <w:position w:val="2"/>
              </w:rPr>
            </w:pPr>
            <w:r w:rsidRPr="0013186E">
              <w:rPr>
                <w:position w:val="2"/>
              </w:rPr>
              <w:t>6</w:t>
            </w:r>
            <w:r w:rsidRPr="0013186E">
              <w:rPr>
                <w:position w:val="2"/>
                <w:rtl/>
              </w:rPr>
              <w:tab/>
              <w:t>عدم الامتثال للسياسات/</w:t>
            </w:r>
            <w:r w:rsidR="004F407E">
              <w:rPr>
                <w:rFonts w:hint="cs"/>
                <w:position w:val="2"/>
                <w:rtl/>
              </w:rPr>
              <w:t xml:space="preserve"> </w:t>
            </w:r>
            <w:r w:rsidRPr="0013186E">
              <w:rPr>
                <w:position w:val="2"/>
                <w:rtl/>
              </w:rPr>
              <w:t>اللوائح النافذة يؤدي إلى عواقب واضحة. ويجب أن تكون الجزاءات واضحة وقابلة للتطبيق وأن تُنفذ على المستويات كافـة. وبالإضـافة إلى ذلك، ينبغي الإقرار بالأداء المميز عن طريق الاعتراف - الجوائز - المكافآت.</w:t>
            </w:r>
          </w:p>
        </w:tc>
        <w:tc>
          <w:tcPr>
            <w:tcW w:w="3880" w:type="dxa"/>
            <w:tcBorders>
              <w:top w:val="single" w:sz="4" w:space="0" w:color="auto"/>
              <w:left w:val="single" w:sz="4" w:space="0" w:color="auto"/>
              <w:bottom w:val="single" w:sz="4" w:space="0" w:color="auto"/>
              <w:right w:val="single" w:sz="4" w:space="0" w:color="auto"/>
            </w:tcBorders>
            <w:hideMark/>
          </w:tcPr>
          <w:p w14:paraId="4D70D37A" w14:textId="77777777" w:rsidR="00F9353A" w:rsidRPr="0013186E" w:rsidRDefault="00F9353A" w:rsidP="004F407E">
            <w:pPr>
              <w:pStyle w:val="Tabletexte"/>
              <w:keepNext/>
              <w:keepLines/>
              <w:spacing w:line="280" w:lineRule="exact"/>
              <w:rPr>
                <w:position w:val="2"/>
              </w:rPr>
            </w:pPr>
            <w:r w:rsidRPr="0013186E">
              <w:rPr>
                <w:position w:val="2"/>
                <w:rtl/>
              </w:rPr>
              <w:t>وثائق تتناول سياسات الجزاءات والإجراءات التأديبية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C6DCD34" w14:textId="1A3BF244" w:rsidR="00F9353A"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1B663496" w14:textId="4DD01FE0" w:rsidR="00F9353A" w:rsidRPr="0013186E" w:rsidRDefault="00232C13" w:rsidP="004F407E">
            <w:pPr>
              <w:pStyle w:val="Tabletexte"/>
              <w:keepNext/>
              <w:keepLines/>
              <w:spacing w:line="280" w:lineRule="exact"/>
              <w:jc w:val="left"/>
              <w:rPr>
                <w:position w:val="2"/>
              </w:rPr>
            </w:pPr>
            <w:r w:rsidRPr="0013186E">
              <w:rPr>
                <w:rFonts w:hint="cs"/>
                <w:position w:val="2"/>
                <w:rtl/>
              </w:rPr>
              <w:t>يسري</w:t>
            </w:r>
            <w:r w:rsidR="00F9353A" w:rsidRPr="0013186E">
              <w:rPr>
                <w:position w:val="2"/>
                <w:rtl/>
              </w:rPr>
              <w:t xml:space="preserve"> الفصل العاشر من النظام الأساسي والنظام الإداري للموظفين</w:t>
            </w:r>
            <w:r w:rsidR="009F6546" w:rsidRPr="0013186E">
              <w:rPr>
                <w:rFonts w:hint="cs"/>
                <w:position w:val="2"/>
                <w:rtl/>
              </w:rPr>
              <w:t xml:space="preserve">، ويتضمن </w:t>
            </w:r>
            <w:r w:rsidR="009F6546" w:rsidRPr="0013186E">
              <w:rPr>
                <w:position w:val="2"/>
                <w:rtl/>
                <w:lang w:bidi="ar-SA"/>
              </w:rPr>
              <w:t>سياسات الجزاءات والإجراءات التأديبية</w:t>
            </w:r>
            <w:r w:rsidR="009F6546" w:rsidRPr="0013186E">
              <w:rPr>
                <w:rFonts w:hint="cs"/>
                <w:position w:val="2"/>
                <w:rtl/>
                <w:lang w:bidi="ar-SA"/>
              </w:rPr>
              <w:t>.</w:t>
            </w:r>
          </w:p>
        </w:tc>
      </w:tr>
      <w:tr w:rsidR="00F9353A" w:rsidRPr="00C12669" w14:paraId="591A3882"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745E1C59" w14:textId="77777777" w:rsidR="00F9353A" w:rsidRPr="0013186E" w:rsidRDefault="00F9353A" w:rsidP="004F407E">
            <w:pPr>
              <w:keepNext/>
              <w:keepLines/>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59727618" w14:textId="77777777" w:rsidR="00F9353A" w:rsidRPr="0013186E" w:rsidRDefault="00F9353A" w:rsidP="004F407E">
            <w:pPr>
              <w:pStyle w:val="Tabletexte"/>
              <w:keepNext/>
              <w:keepLines/>
              <w:spacing w:line="280" w:lineRule="exact"/>
              <w:rPr>
                <w:position w:val="2"/>
              </w:rPr>
            </w:pPr>
            <w:r w:rsidRPr="0013186E">
              <w:rPr>
                <w:position w:val="2"/>
                <w:rtl/>
              </w:rPr>
              <w:t>تضمين التقارير السنوية الجزاءات الموقعة من قبل الرئيس التنفيذي</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72968FD" w14:textId="77777777" w:rsidR="00F9353A" w:rsidRPr="0013186E" w:rsidRDefault="00F9353A" w:rsidP="004F407E">
            <w:pPr>
              <w:pStyle w:val="Tabletexte"/>
              <w:keepNext/>
              <w:keepLines/>
              <w:spacing w:line="280" w:lineRule="exact"/>
              <w:jc w:val="center"/>
              <w:rPr>
                <w:position w:val="2"/>
              </w:rPr>
            </w:pPr>
            <w:r w:rsidRPr="0013186E">
              <w:rPr>
                <w:position w:val="2"/>
                <w:rtl/>
              </w:rPr>
              <w:t>لا تنطبق</w:t>
            </w:r>
          </w:p>
        </w:tc>
        <w:tc>
          <w:tcPr>
            <w:tcW w:w="6373" w:type="dxa"/>
            <w:tcBorders>
              <w:top w:val="single" w:sz="4" w:space="0" w:color="auto"/>
              <w:left w:val="single" w:sz="4" w:space="0" w:color="auto"/>
              <w:bottom w:val="single" w:sz="4" w:space="0" w:color="auto"/>
              <w:right w:val="single" w:sz="4" w:space="0" w:color="auto"/>
            </w:tcBorders>
            <w:vAlign w:val="center"/>
          </w:tcPr>
          <w:p w14:paraId="2AAD6576" w14:textId="3FE8E4EE" w:rsidR="00F9353A" w:rsidRPr="0013186E" w:rsidRDefault="00F9353A" w:rsidP="004F407E">
            <w:pPr>
              <w:pStyle w:val="Tabletexte"/>
              <w:keepNext/>
              <w:keepLines/>
              <w:spacing w:line="280" w:lineRule="exact"/>
              <w:jc w:val="left"/>
              <w:rPr>
                <w:position w:val="2"/>
              </w:rPr>
            </w:pPr>
          </w:p>
        </w:tc>
      </w:tr>
      <w:tr w:rsidR="00F9353A" w:rsidRPr="00C12669" w14:paraId="44A61F11"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5DF6A87E" w14:textId="77777777" w:rsidR="00F9353A" w:rsidRPr="0013186E" w:rsidRDefault="00F9353A" w:rsidP="004F407E">
            <w:pPr>
              <w:keepNext/>
              <w:keepLines/>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5AAADEBC" w14:textId="77777777" w:rsidR="00F9353A" w:rsidRPr="0013186E" w:rsidRDefault="00F9353A" w:rsidP="004F407E">
            <w:pPr>
              <w:pStyle w:val="Tabletexte"/>
              <w:keepNext/>
              <w:keepLines/>
              <w:spacing w:line="280" w:lineRule="exact"/>
              <w:rPr>
                <w:position w:val="2"/>
              </w:rPr>
            </w:pPr>
            <w:r w:rsidRPr="0013186E">
              <w:rPr>
                <w:position w:val="2"/>
                <w:rtl/>
              </w:rPr>
              <w:t>برامج الجوائز/المكافآت التي تُقررها اللجان/الأفرقة استناداً إلى معايير واضحة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82FC0E4" w14:textId="77777777" w:rsidR="00F9353A" w:rsidRPr="0013186E" w:rsidRDefault="00F9353A" w:rsidP="004F407E">
            <w:pPr>
              <w:pStyle w:val="Tabletexte"/>
              <w:keepNext/>
              <w:keepLines/>
              <w:spacing w:line="280" w:lineRule="exact"/>
              <w:jc w:val="center"/>
              <w:rPr>
                <w:position w:val="2"/>
              </w:rPr>
            </w:pPr>
            <w:r w:rsidRPr="0013186E">
              <w:rPr>
                <w:position w:val="2"/>
              </w:rPr>
              <w:sym w:font="Wingdings" w:char="F0FC"/>
            </w:r>
          </w:p>
        </w:tc>
        <w:tc>
          <w:tcPr>
            <w:tcW w:w="6373" w:type="dxa"/>
            <w:vMerge w:val="restart"/>
            <w:tcBorders>
              <w:top w:val="single" w:sz="4" w:space="0" w:color="auto"/>
              <w:left w:val="single" w:sz="4" w:space="0" w:color="auto"/>
              <w:bottom w:val="single" w:sz="4" w:space="0" w:color="auto"/>
              <w:right w:val="single" w:sz="4" w:space="0" w:color="auto"/>
            </w:tcBorders>
            <w:vAlign w:val="center"/>
          </w:tcPr>
          <w:p w14:paraId="0B07C891" w14:textId="64A34258" w:rsidR="00F9353A" w:rsidRPr="0013186E" w:rsidRDefault="00F9353A" w:rsidP="004F407E">
            <w:pPr>
              <w:pStyle w:val="Tabletexte"/>
              <w:keepNext/>
              <w:keepLines/>
              <w:spacing w:line="280" w:lineRule="exact"/>
              <w:jc w:val="left"/>
              <w:rPr>
                <w:position w:val="2"/>
              </w:rPr>
            </w:pPr>
          </w:p>
        </w:tc>
      </w:tr>
      <w:tr w:rsidR="00F9353A" w:rsidRPr="00C12669" w14:paraId="006E34FB"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3402B873" w14:textId="77777777" w:rsidR="00F9353A" w:rsidRPr="0013186E" w:rsidRDefault="00F9353A"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676AF57B" w14:textId="77777777" w:rsidR="00F9353A" w:rsidRPr="0013186E" w:rsidRDefault="00F9353A" w:rsidP="004F407E">
            <w:pPr>
              <w:pStyle w:val="Tabletexte"/>
              <w:spacing w:line="280" w:lineRule="exact"/>
              <w:rPr>
                <w:position w:val="2"/>
              </w:rPr>
            </w:pPr>
            <w:r w:rsidRPr="0013186E">
              <w:rPr>
                <w:position w:val="2"/>
                <w:rtl/>
              </w:rPr>
              <w:t>نشر أسماء الموظفين الحاصلين على جوائز ومكافآت</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586A7F" w14:textId="77777777" w:rsidR="00F9353A" w:rsidRPr="0013186E" w:rsidRDefault="00F9353A" w:rsidP="004F407E">
            <w:pPr>
              <w:pStyle w:val="Tabletexte"/>
              <w:spacing w:line="280" w:lineRule="exact"/>
              <w:jc w:val="center"/>
              <w:rPr>
                <w:position w:val="2"/>
              </w:rPr>
            </w:pPr>
            <w:r w:rsidRPr="0013186E">
              <w:rPr>
                <w:position w:val="2"/>
              </w:rPr>
              <w:sym w:font="Wingdings" w:char="F0FC"/>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13FA3273" w14:textId="77777777" w:rsidR="00F9353A" w:rsidRPr="0013186E" w:rsidRDefault="00F9353A" w:rsidP="004F407E">
            <w:pPr>
              <w:spacing w:before="60" w:after="60" w:line="280" w:lineRule="exact"/>
              <w:jc w:val="left"/>
              <w:rPr>
                <w:rFonts w:eastAsia="Times New Roman"/>
                <w:position w:val="2"/>
                <w:sz w:val="20"/>
                <w:szCs w:val="20"/>
                <w:lang w:val="fr-FR" w:eastAsia="en-US" w:bidi="ar-EG"/>
              </w:rPr>
            </w:pPr>
          </w:p>
        </w:tc>
      </w:tr>
      <w:tr w:rsidR="00F9353A" w:rsidRPr="00C12669" w14:paraId="0C09B3CB"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hideMark/>
          </w:tcPr>
          <w:p w14:paraId="1EF33470" w14:textId="77777777" w:rsidR="00F9353A" w:rsidRPr="0013186E" w:rsidRDefault="00F9353A" w:rsidP="004F407E">
            <w:pPr>
              <w:pStyle w:val="Tabletexte"/>
              <w:keepNext/>
              <w:keepLines/>
              <w:tabs>
                <w:tab w:val="clear" w:pos="794"/>
                <w:tab w:val="left" w:pos="489"/>
              </w:tabs>
              <w:spacing w:line="280" w:lineRule="exact"/>
              <w:rPr>
                <w:spacing w:val="-4"/>
                <w:position w:val="2"/>
              </w:rPr>
            </w:pPr>
            <w:r w:rsidRPr="0013186E">
              <w:rPr>
                <w:spacing w:val="-4"/>
                <w:position w:val="2"/>
              </w:rPr>
              <w:lastRenderedPageBreak/>
              <w:t>7</w:t>
            </w:r>
            <w:r w:rsidRPr="0013186E">
              <w:rPr>
                <w:spacing w:val="-4"/>
                <w:position w:val="2"/>
                <w:rtl/>
              </w:rPr>
              <w:tab/>
              <w:t>يمكن مساءلة جميع الموظفين عن أدائهم لعملهم على أساس مواصفات وظيفية مدونة ومُحدَّثة تعكس بدقة متطلبات عملهم الفعلي.</w:t>
            </w:r>
          </w:p>
        </w:tc>
        <w:tc>
          <w:tcPr>
            <w:tcW w:w="3880" w:type="dxa"/>
            <w:tcBorders>
              <w:top w:val="single" w:sz="4" w:space="0" w:color="auto"/>
              <w:left w:val="single" w:sz="4" w:space="0" w:color="auto"/>
              <w:bottom w:val="single" w:sz="4" w:space="0" w:color="auto"/>
              <w:right w:val="single" w:sz="4" w:space="0" w:color="auto"/>
            </w:tcBorders>
            <w:hideMark/>
          </w:tcPr>
          <w:p w14:paraId="732F6974" w14:textId="77777777" w:rsidR="00F9353A" w:rsidRPr="0013186E" w:rsidRDefault="00F9353A" w:rsidP="004F407E">
            <w:pPr>
              <w:pStyle w:val="Tabletexte"/>
              <w:keepNext/>
              <w:keepLines/>
              <w:spacing w:line="280" w:lineRule="exact"/>
              <w:rPr>
                <w:position w:val="2"/>
              </w:rPr>
            </w:pPr>
            <w:r w:rsidRPr="0013186E">
              <w:rPr>
                <w:position w:val="2"/>
                <w:rtl/>
              </w:rPr>
              <w:t>مواصفات وظيفية لجميع الموظفين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CED7864" w14:textId="77777777" w:rsidR="00F9353A" w:rsidRPr="0013186E" w:rsidRDefault="00F9353A" w:rsidP="004F407E">
            <w:pPr>
              <w:pStyle w:val="Tabletexte"/>
              <w:keepNext/>
              <w:keepLines/>
              <w:spacing w:line="280" w:lineRule="exact"/>
              <w:jc w:val="center"/>
              <w:rPr>
                <w:position w:val="2"/>
              </w:rPr>
            </w:pPr>
            <w:r w:rsidRPr="0013186E">
              <w:rPr>
                <w:position w:val="2"/>
              </w:rPr>
              <w:sym w:font="Wingdings" w:char="F0FC"/>
            </w:r>
          </w:p>
        </w:tc>
        <w:tc>
          <w:tcPr>
            <w:tcW w:w="6373" w:type="dxa"/>
            <w:vMerge w:val="restart"/>
            <w:tcBorders>
              <w:top w:val="single" w:sz="4" w:space="0" w:color="auto"/>
              <w:left w:val="single" w:sz="4" w:space="0" w:color="auto"/>
              <w:bottom w:val="single" w:sz="4" w:space="0" w:color="auto"/>
              <w:right w:val="single" w:sz="4" w:space="0" w:color="auto"/>
            </w:tcBorders>
            <w:vAlign w:val="center"/>
          </w:tcPr>
          <w:p w14:paraId="3D30967B" w14:textId="422C8668" w:rsidR="00F9353A" w:rsidRPr="0013186E" w:rsidRDefault="009F6546" w:rsidP="004F407E">
            <w:pPr>
              <w:pStyle w:val="Tabletexte"/>
              <w:keepNext/>
              <w:keepLines/>
              <w:spacing w:line="280" w:lineRule="exact"/>
              <w:jc w:val="left"/>
              <w:rPr>
                <w:position w:val="2"/>
              </w:rPr>
            </w:pPr>
            <w:r w:rsidRPr="0013186E">
              <w:rPr>
                <w:rFonts w:hint="cs"/>
                <w:position w:val="2"/>
                <w:rtl/>
                <w:lang w:bidi="ar-SA"/>
              </w:rPr>
              <w:t>نُفذ ال</w:t>
            </w:r>
            <w:r w:rsidR="00487D93" w:rsidRPr="0013186E">
              <w:rPr>
                <w:position w:val="2"/>
                <w:rtl/>
                <w:lang w:bidi="ar-SA"/>
              </w:rPr>
              <w:t>نظام</w:t>
            </w:r>
            <w:r w:rsidRPr="0013186E">
              <w:rPr>
                <w:rFonts w:hint="cs"/>
                <w:position w:val="2"/>
                <w:rtl/>
                <w:lang w:bidi="ar-SA"/>
              </w:rPr>
              <w:t xml:space="preserve"> الإلكتروني الجديد ل</w:t>
            </w:r>
            <w:r w:rsidR="00487D93" w:rsidRPr="0013186E">
              <w:rPr>
                <w:position w:val="2"/>
                <w:rtl/>
                <w:lang w:bidi="ar-SA"/>
              </w:rPr>
              <w:t xml:space="preserve">إدارة الأداء وتطويره </w:t>
            </w:r>
            <w:r w:rsidR="00487D93" w:rsidRPr="0013186E">
              <w:rPr>
                <w:position w:val="2"/>
                <w:lang w:val="en-CA"/>
              </w:rPr>
              <w:t>(</w:t>
            </w:r>
            <w:r w:rsidR="00421B03" w:rsidRPr="0013186E">
              <w:rPr>
                <w:position w:val="2"/>
                <w:lang w:val="en-CA"/>
              </w:rPr>
              <w:t>e-</w:t>
            </w:r>
            <w:r w:rsidR="00487D93" w:rsidRPr="0013186E">
              <w:rPr>
                <w:position w:val="2"/>
                <w:lang w:val="en-CA"/>
              </w:rPr>
              <w:t>PMDS)</w:t>
            </w:r>
            <w:r w:rsidR="00487D93" w:rsidRPr="0013186E">
              <w:rPr>
                <w:position w:val="2"/>
                <w:rtl/>
                <w:lang w:bidi="ar-SA"/>
              </w:rPr>
              <w:t xml:space="preserve"> في الاتحاد</w:t>
            </w:r>
            <w:r w:rsidRPr="0013186E">
              <w:rPr>
                <w:rFonts w:hint="cs"/>
                <w:position w:val="2"/>
                <w:rtl/>
                <w:lang w:bidi="ar-SA"/>
              </w:rPr>
              <w:t>.</w:t>
            </w:r>
          </w:p>
        </w:tc>
      </w:tr>
      <w:tr w:rsidR="00F9353A" w:rsidRPr="00C12669" w14:paraId="5FB03A57"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6B4334AE" w14:textId="77777777" w:rsidR="00F9353A" w:rsidRPr="0013186E" w:rsidRDefault="00F9353A" w:rsidP="004F407E">
            <w:pPr>
              <w:keepNext/>
              <w:keepLines/>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0C48F16C" w14:textId="77777777" w:rsidR="00F9353A" w:rsidRPr="0013186E" w:rsidRDefault="00F9353A" w:rsidP="004F407E">
            <w:pPr>
              <w:pStyle w:val="Tabletexte"/>
              <w:keepNext/>
              <w:keepLines/>
              <w:spacing w:line="280" w:lineRule="exact"/>
              <w:rPr>
                <w:position w:val="2"/>
              </w:rPr>
            </w:pPr>
            <w:r w:rsidRPr="0013186E">
              <w:rPr>
                <w:position w:val="2"/>
                <w:rtl/>
              </w:rPr>
              <w:t>الاتساق بين التوصيف الوظيفي والعمل اليومي</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27999" w14:textId="77777777" w:rsidR="00F9353A" w:rsidRPr="0013186E" w:rsidRDefault="00F9353A" w:rsidP="004F407E">
            <w:pPr>
              <w:pStyle w:val="Tabletexte"/>
              <w:keepNext/>
              <w:keepLines/>
              <w:spacing w:line="280" w:lineRule="exact"/>
              <w:jc w:val="center"/>
              <w:rPr>
                <w:position w:val="2"/>
              </w:rPr>
            </w:pPr>
            <w:r w:rsidRPr="0013186E">
              <w:rPr>
                <w:position w:val="2"/>
                <w:rtl/>
              </w:rPr>
              <w:t>مستمرة</w:t>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0DDFD9B9" w14:textId="77777777" w:rsidR="00F9353A" w:rsidRPr="0013186E" w:rsidRDefault="00F9353A" w:rsidP="004F407E">
            <w:pPr>
              <w:keepNext/>
              <w:keepLines/>
              <w:spacing w:before="60" w:after="60" w:line="280" w:lineRule="exact"/>
              <w:jc w:val="left"/>
              <w:rPr>
                <w:rFonts w:eastAsia="Times New Roman"/>
                <w:position w:val="2"/>
                <w:sz w:val="20"/>
                <w:szCs w:val="20"/>
                <w:lang w:val="fr-FR" w:eastAsia="en-US" w:bidi="ar-EG"/>
              </w:rPr>
            </w:pPr>
          </w:p>
        </w:tc>
      </w:tr>
      <w:tr w:rsidR="00F9353A" w:rsidRPr="00C12669" w14:paraId="4091AB43"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hideMark/>
          </w:tcPr>
          <w:p w14:paraId="06BAF4EC" w14:textId="77777777" w:rsidR="00F9353A" w:rsidRPr="0013186E" w:rsidRDefault="00F9353A" w:rsidP="004F407E">
            <w:pPr>
              <w:pStyle w:val="Tabletexte"/>
              <w:keepNext/>
              <w:keepLines/>
              <w:tabs>
                <w:tab w:val="clear" w:pos="794"/>
                <w:tab w:val="left" w:pos="489"/>
              </w:tabs>
              <w:spacing w:line="280" w:lineRule="exact"/>
              <w:rPr>
                <w:position w:val="2"/>
              </w:rPr>
            </w:pPr>
            <w:r w:rsidRPr="0013186E">
              <w:rPr>
                <w:position w:val="2"/>
              </w:rPr>
              <w:t>8</w:t>
            </w:r>
            <w:r w:rsidRPr="0013186E">
              <w:rPr>
                <w:position w:val="2"/>
                <w:rtl/>
              </w:rPr>
              <w:tab/>
              <w:t>تحقيق اتساق السياسات المتعلقة باختيار الموظفين وتعيينـهم وبعمـل الموظفين بعد انتهاء الخدمة.</w:t>
            </w:r>
          </w:p>
        </w:tc>
        <w:tc>
          <w:tcPr>
            <w:tcW w:w="3880" w:type="dxa"/>
            <w:tcBorders>
              <w:top w:val="single" w:sz="4" w:space="0" w:color="auto"/>
              <w:left w:val="single" w:sz="4" w:space="0" w:color="auto"/>
              <w:bottom w:val="single" w:sz="4" w:space="0" w:color="auto"/>
              <w:right w:val="single" w:sz="4" w:space="0" w:color="auto"/>
            </w:tcBorders>
            <w:hideMark/>
          </w:tcPr>
          <w:p w14:paraId="4D52C8FE" w14:textId="77777777" w:rsidR="00F9353A" w:rsidRPr="0013186E" w:rsidRDefault="00F9353A" w:rsidP="004F407E">
            <w:pPr>
              <w:pStyle w:val="Tabletexte"/>
              <w:keepNext/>
              <w:keepLines/>
              <w:spacing w:line="280" w:lineRule="exact"/>
              <w:rPr>
                <w:position w:val="2"/>
              </w:rPr>
            </w:pPr>
            <w:r w:rsidRPr="0013186E">
              <w:rPr>
                <w:position w:val="2"/>
                <w:rtl/>
              </w:rPr>
              <w:t>سياسة تعيين تفرض قيوداً على توظيف أفراد من أسرة الموظف وأقاربه</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BF58825" w14:textId="77777777" w:rsidR="00F9353A" w:rsidRPr="0013186E" w:rsidRDefault="00F9353A"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1574E569" w14:textId="77777777" w:rsidR="00F9353A" w:rsidRPr="0013186E" w:rsidRDefault="00F9353A" w:rsidP="004F407E">
            <w:pPr>
              <w:pStyle w:val="Tabletexte"/>
              <w:keepNext/>
              <w:keepLines/>
              <w:spacing w:line="280" w:lineRule="exact"/>
              <w:jc w:val="left"/>
              <w:rPr>
                <w:position w:val="2"/>
              </w:rPr>
            </w:pPr>
            <w:r w:rsidRPr="0013186E">
              <w:rPr>
                <w:position w:val="2"/>
                <w:rtl/>
              </w:rPr>
              <w:t xml:space="preserve">المادة </w:t>
            </w:r>
            <w:r w:rsidRPr="0013186E">
              <w:rPr>
                <w:position w:val="2"/>
              </w:rPr>
              <w:t>1.7.4</w:t>
            </w:r>
            <w:r w:rsidRPr="0013186E">
              <w:rPr>
                <w:position w:val="2"/>
                <w:rtl/>
              </w:rPr>
              <w:t xml:space="preserve"> من النظام الأساسي والنظام الإداري للموظفين.</w:t>
            </w:r>
          </w:p>
        </w:tc>
      </w:tr>
      <w:tr w:rsidR="00F9353A" w:rsidRPr="00C12669" w14:paraId="49ED88EB"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2F63F312" w14:textId="77777777" w:rsidR="00F9353A" w:rsidRPr="0013186E" w:rsidRDefault="00F9353A" w:rsidP="004F407E">
            <w:pPr>
              <w:keepNext/>
              <w:keepLines/>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hideMark/>
          </w:tcPr>
          <w:p w14:paraId="2870C931" w14:textId="2B7A96FC" w:rsidR="00F9353A" w:rsidRPr="004F407E" w:rsidRDefault="00F9353A" w:rsidP="004F407E">
            <w:pPr>
              <w:pStyle w:val="Tabletexte"/>
              <w:keepNext/>
              <w:keepLines/>
              <w:spacing w:line="280" w:lineRule="exact"/>
              <w:rPr>
                <w:spacing w:val="-2"/>
                <w:position w:val="2"/>
                <w:rtl/>
              </w:rPr>
            </w:pPr>
            <w:r w:rsidRPr="004F407E">
              <w:rPr>
                <w:spacing w:val="-2"/>
                <w:position w:val="2"/>
                <w:rtl/>
              </w:rPr>
              <w:t>فرض قيود على إعادة توظيف الموظفين المتقاعدين/</w:t>
            </w:r>
            <w:r w:rsidR="004F407E">
              <w:rPr>
                <w:rFonts w:hint="cs"/>
                <w:spacing w:val="-2"/>
                <w:position w:val="2"/>
                <w:rtl/>
              </w:rPr>
              <w:t xml:space="preserve"> </w:t>
            </w:r>
            <w:r w:rsidRPr="004F407E">
              <w:rPr>
                <w:spacing w:val="-2"/>
                <w:position w:val="2"/>
                <w:rtl/>
              </w:rPr>
              <w:t>المستقيلين من المنظمة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9E31381" w14:textId="77777777" w:rsidR="00F9353A" w:rsidRPr="0013186E" w:rsidRDefault="00F9353A"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676FDFE7" w14:textId="77777777" w:rsidR="00F9353A" w:rsidRPr="0013186E" w:rsidRDefault="00F9353A" w:rsidP="004F407E">
            <w:pPr>
              <w:pStyle w:val="Tabletexte"/>
              <w:keepNext/>
              <w:keepLines/>
              <w:spacing w:line="280" w:lineRule="exact"/>
              <w:jc w:val="left"/>
              <w:rPr>
                <w:position w:val="2"/>
              </w:rPr>
            </w:pPr>
            <w:r w:rsidRPr="0013186E">
              <w:rPr>
                <w:position w:val="2"/>
                <w:rtl/>
              </w:rPr>
              <w:t>هناك سياسة قائمة بالفعل للمتقاعدين (يطبق الاتحاد قيود الأمم المتحدة) وللموظفين الذين يتركون المنظمة بموجب برنامج إنهاء الخدمة مبكراً.</w:t>
            </w:r>
          </w:p>
        </w:tc>
      </w:tr>
      <w:tr w:rsidR="00C12669" w:rsidRPr="00C12669" w14:paraId="142C17FE" w14:textId="77777777" w:rsidTr="0013186E">
        <w:trPr>
          <w:cantSplit/>
        </w:trPr>
        <w:tc>
          <w:tcPr>
            <w:tcW w:w="2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A7DB5" w14:textId="77777777" w:rsidR="00C12669" w:rsidRPr="0013186E" w:rsidRDefault="00C12669" w:rsidP="004F407E">
            <w:pPr>
              <w:pStyle w:val="Tabletexte"/>
              <w:tabs>
                <w:tab w:val="clear" w:pos="794"/>
                <w:tab w:val="left" w:pos="489"/>
              </w:tabs>
              <w:spacing w:line="280" w:lineRule="exact"/>
              <w:rPr>
                <w:position w:val="2"/>
              </w:rPr>
            </w:pPr>
            <w:r w:rsidRPr="0013186E">
              <w:rPr>
                <w:position w:val="2"/>
              </w:rPr>
              <w:t>9</w:t>
            </w:r>
            <w:r w:rsidRPr="0013186E">
              <w:rPr>
                <w:position w:val="2"/>
                <w:rtl/>
              </w:rPr>
              <w:tab/>
              <w:t>لدى المنظمة سياسة رسمية بشأن إدارة المخاطر المؤسـسية ينبغـي تنفيذها بمنهجية متسقة.</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55687" w14:textId="59BD7074" w:rsidR="00C12669" w:rsidRPr="004F407E" w:rsidRDefault="00C12669" w:rsidP="004F407E">
            <w:pPr>
              <w:pStyle w:val="Tabletexte"/>
              <w:spacing w:line="280" w:lineRule="exact"/>
              <w:rPr>
                <w:spacing w:val="-2"/>
                <w:position w:val="2"/>
              </w:rPr>
            </w:pPr>
            <w:r w:rsidRPr="004F407E">
              <w:rPr>
                <w:spacing w:val="-2"/>
                <w:position w:val="2"/>
                <w:rtl/>
              </w:rPr>
              <w:t>إجراء تحليل للمخاطر فيما يتعلق بكل وحدة/مشروع/</w:t>
            </w:r>
            <w:r w:rsidR="004F407E" w:rsidRPr="004F407E">
              <w:rPr>
                <w:rFonts w:hint="cs"/>
                <w:spacing w:val="-2"/>
                <w:position w:val="2"/>
                <w:rtl/>
              </w:rPr>
              <w:t xml:space="preserve"> </w:t>
            </w:r>
            <w:r w:rsidRPr="004F407E">
              <w:rPr>
                <w:spacing w:val="-2"/>
                <w:position w:val="2"/>
                <w:rtl/>
              </w:rPr>
              <w:t>عملية ووجود خطة لإدارة المخاطر على صعيد المنظمة</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567B7" w14:textId="614BF6D3" w:rsidR="00C12669" w:rsidRPr="0013186E" w:rsidRDefault="00C12669" w:rsidP="004F407E">
            <w:pPr>
              <w:pStyle w:val="Tabletexte"/>
              <w:spacing w:line="280" w:lineRule="exact"/>
              <w:jc w:val="center"/>
              <w:rPr>
                <w:position w:val="2"/>
              </w:rPr>
            </w:pPr>
            <w:r w:rsidRPr="0013186E">
              <w:rPr>
                <w:position w:val="2"/>
                <w:rtl/>
              </w:rPr>
              <w:t>مستمرة</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9895E5" w14:textId="6D2947B8" w:rsidR="00C12669" w:rsidRPr="0013186E" w:rsidRDefault="00C12669" w:rsidP="004F407E">
            <w:pPr>
              <w:pStyle w:val="Tabletexte"/>
              <w:spacing w:line="280" w:lineRule="exact"/>
              <w:jc w:val="left"/>
              <w:rPr>
                <w:position w:val="2"/>
              </w:rPr>
            </w:pPr>
            <w:r w:rsidRPr="0013186E">
              <w:rPr>
                <w:position w:val="2"/>
                <w:rtl/>
              </w:rPr>
              <w:t xml:space="preserve">اعتمد المجلس في دورته لعام </w:t>
            </w:r>
            <w:r w:rsidRPr="0013186E">
              <w:rPr>
                <w:position w:val="2"/>
              </w:rPr>
              <w:t>2017</w:t>
            </w:r>
            <w:r w:rsidRPr="0013186E">
              <w:rPr>
                <w:position w:val="2"/>
                <w:rtl/>
              </w:rPr>
              <w:t xml:space="preserve"> سياسة إدارة المخاطر وبيان تقبل المخاطر</w:t>
            </w:r>
            <w:r w:rsidR="00052583" w:rsidRPr="0013186E">
              <w:rPr>
                <w:rFonts w:hint="cs"/>
                <w:position w:val="2"/>
                <w:rtl/>
              </w:rPr>
              <w:t xml:space="preserve"> وقد نُفذت في الاتحاد منذ ذلك الحين</w:t>
            </w:r>
            <w:r w:rsidRPr="0013186E">
              <w:rPr>
                <w:position w:val="2"/>
                <w:rtl/>
              </w:rPr>
              <w:t>.</w:t>
            </w:r>
          </w:p>
          <w:p w14:paraId="59BB57CB" w14:textId="6CDE1296" w:rsidR="00C12669" w:rsidRPr="0013186E" w:rsidRDefault="00C12669" w:rsidP="004F407E">
            <w:pPr>
              <w:pStyle w:val="Tabletexte"/>
              <w:spacing w:line="280" w:lineRule="exact"/>
              <w:jc w:val="left"/>
              <w:rPr>
                <w:position w:val="2"/>
              </w:rPr>
            </w:pPr>
            <w:r w:rsidRPr="0013186E">
              <w:rPr>
                <w:position w:val="2"/>
                <w:rtl/>
              </w:rPr>
              <w:t xml:space="preserve">ويجري تحليل المخاطر ويتم تحديث </w:t>
            </w:r>
            <w:r w:rsidR="00052583" w:rsidRPr="0013186E">
              <w:rPr>
                <w:rFonts w:hint="cs"/>
                <w:position w:val="2"/>
                <w:rtl/>
              </w:rPr>
              <w:t>مؤشرات</w:t>
            </w:r>
            <w:r w:rsidRPr="0013186E">
              <w:rPr>
                <w:position w:val="2"/>
                <w:rtl/>
              </w:rPr>
              <w:t xml:space="preserve"> المخاطر والإبلاغ عنها من خلال الخطط التشغيلية للقطاعات والأمانة العامة.</w:t>
            </w:r>
          </w:p>
          <w:p w14:paraId="7C548554" w14:textId="69B4AA8A" w:rsidR="00DA2EB3" w:rsidRPr="0013186E" w:rsidRDefault="00DA2EB3" w:rsidP="004F407E">
            <w:pPr>
              <w:pStyle w:val="Tabletexte"/>
              <w:spacing w:line="280" w:lineRule="exact"/>
              <w:jc w:val="left"/>
              <w:rPr>
                <w:position w:val="2"/>
                <w:rtl/>
                <w:lang w:bidi="ar"/>
              </w:rPr>
            </w:pPr>
            <w:r w:rsidRPr="0013186E">
              <w:rPr>
                <w:rFonts w:hint="cs"/>
                <w:position w:val="2"/>
                <w:rtl/>
                <w:lang w:bidi="ar"/>
              </w:rPr>
              <w:t xml:space="preserve"> </w:t>
            </w:r>
            <w:r w:rsidR="00D04112" w:rsidRPr="0013186E">
              <w:rPr>
                <w:rFonts w:hint="cs"/>
                <w:position w:val="2"/>
                <w:rtl/>
                <w:lang w:bidi="ar"/>
              </w:rPr>
              <w:t xml:space="preserve">وقُدمت </w:t>
            </w:r>
            <w:r w:rsidRPr="0013186E">
              <w:rPr>
                <w:rFonts w:hint="cs"/>
                <w:position w:val="2"/>
                <w:rtl/>
                <w:lang w:bidi="ar"/>
              </w:rPr>
              <w:t>خطة عمل لتعزيز إطار إدارة المخاطر في الاتحاد</w:t>
            </w:r>
            <w:r w:rsidR="0044625B" w:rsidRPr="0013186E">
              <w:rPr>
                <w:rFonts w:hint="cs"/>
                <w:position w:val="2"/>
                <w:rtl/>
                <w:lang w:bidi="ar"/>
              </w:rPr>
              <w:t xml:space="preserve">، </w:t>
            </w:r>
            <w:r w:rsidRPr="0013186E">
              <w:rPr>
                <w:rFonts w:hint="cs"/>
                <w:position w:val="2"/>
                <w:rtl/>
                <w:lang w:bidi="ar"/>
              </w:rPr>
              <w:t xml:space="preserve">من خلال </w:t>
            </w:r>
            <w:r w:rsidR="00D04112" w:rsidRPr="0013186E">
              <w:rPr>
                <w:rFonts w:hint="cs"/>
                <w:position w:val="2"/>
                <w:rtl/>
                <w:lang w:bidi="ar"/>
              </w:rPr>
              <w:t>استعراض</w:t>
            </w:r>
            <w:r w:rsidRPr="0013186E">
              <w:rPr>
                <w:rFonts w:hint="cs"/>
                <w:position w:val="2"/>
                <w:rtl/>
                <w:lang w:bidi="ar"/>
              </w:rPr>
              <w:t xml:space="preserve"> سياسة إدارة المخاطر وتنفيذها</w:t>
            </w:r>
            <w:r w:rsidR="0044625B" w:rsidRPr="0013186E">
              <w:rPr>
                <w:rFonts w:hint="cs"/>
                <w:position w:val="2"/>
                <w:rtl/>
                <w:lang w:bidi="ar"/>
              </w:rPr>
              <w:t xml:space="preserve"> </w:t>
            </w:r>
            <w:r w:rsidRPr="0013186E">
              <w:rPr>
                <w:rFonts w:hint="cs"/>
                <w:position w:val="2"/>
                <w:rtl/>
                <w:lang w:bidi="ar"/>
              </w:rPr>
              <w:t xml:space="preserve">بناءً على نموذج نضج المخاطر الذي اعتمدته اللجنة الإدارية الرفيعة المستوى </w:t>
            </w:r>
            <w:r w:rsidR="00D04112" w:rsidRPr="0013186E">
              <w:rPr>
                <w:rFonts w:hint="cs"/>
                <w:position w:val="2"/>
                <w:rtl/>
                <w:lang w:bidi="ar"/>
              </w:rPr>
              <w:t xml:space="preserve">التابعة </w:t>
            </w:r>
            <w:r w:rsidRPr="0013186E">
              <w:rPr>
                <w:rFonts w:hint="cs"/>
                <w:position w:val="2"/>
                <w:rtl/>
                <w:lang w:bidi="ar"/>
              </w:rPr>
              <w:t xml:space="preserve">للأمم المتحدة، إلى </w:t>
            </w:r>
            <w:r w:rsidR="007A4CE7" w:rsidRPr="0013186E">
              <w:rPr>
                <w:position w:val="2"/>
                <w:rtl/>
                <w:lang w:val="fr-FR" w:bidi="ar-SA"/>
              </w:rPr>
              <w:t>فريق العمل التابع للمجلس والمعني بالموارد المالية والبشرية</w:t>
            </w:r>
            <w:r w:rsidRPr="0013186E">
              <w:rPr>
                <w:rFonts w:hint="cs"/>
                <w:position w:val="2"/>
                <w:rtl/>
                <w:lang w:bidi="ar"/>
              </w:rPr>
              <w:t xml:space="preserve"> في فبراير 2020 وسيتم تنفيذها، مع تقديم </w:t>
            </w:r>
            <w:r w:rsidR="007A4CE7" w:rsidRPr="0013186E">
              <w:rPr>
                <w:rFonts w:hint="cs"/>
                <w:position w:val="2"/>
                <w:rtl/>
                <w:lang w:bidi="ar"/>
              </w:rPr>
              <w:t>نتائجها الوسيطة إلى</w:t>
            </w:r>
            <w:r w:rsidRPr="0013186E">
              <w:rPr>
                <w:rFonts w:hint="cs"/>
                <w:position w:val="2"/>
                <w:rtl/>
                <w:lang w:bidi="ar"/>
              </w:rPr>
              <w:t xml:space="preserve"> دورة المجلس لعام</w:t>
            </w:r>
            <w:r w:rsidR="00F34008" w:rsidRPr="0013186E">
              <w:rPr>
                <w:rFonts w:hint="eastAsia"/>
                <w:position w:val="2"/>
                <w:rtl/>
                <w:lang w:bidi="ar"/>
              </w:rPr>
              <w:t> </w:t>
            </w:r>
            <w:r w:rsidRPr="0013186E">
              <w:rPr>
                <w:rFonts w:hint="cs"/>
                <w:position w:val="2"/>
                <w:rtl/>
                <w:lang w:bidi="ar"/>
              </w:rPr>
              <w:t>2020.</w:t>
            </w:r>
          </w:p>
          <w:p w14:paraId="0323EC47" w14:textId="538FE9CE" w:rsidR="00C12669" w:rsidRPr="004F407E" w:rsidRDefault="007A4CE7" w:rsidP="004F407E">
            <w:pPr>
              <w:pStyle w:val="Tabletexte"/>
              <w:spacing w:line="280" w:lineRule="exact"/>
              <w:jc w:val="left"/>
              <w:rPr>
                <w:position w:val="2"/>
                <w:rtl/>
              </w:rPr>
            </w:pPr>
            <w:r w:rsidRPr="004F407E">
              <w:rPr>
                <w:rFonts w:hint="cs"/>
                <w:position w:val="2"/>
                <w:rtl/>
                <w:lang w:bidi="ar"/>
              </w:rPr>
              <w:t xml:space="preserve">وقد </w:t>
            </w:r>
            <w:r w:rsidR="00DA2EB3" w:rsidRPr="004F407E">
              <w:rPr>
                <w:rFonts w:hint="cs"/>
                <w:position w:val="2"/>
                <w:rtl/>
                <w:lang w:bidi="ar"/>
              </w:rPr>
              <w:t xml:space="preserve">نفذ الاتحاد نظام إدارة المرونة </w:t>
            </w:r>
            <w:r w:rsidR="0044625B" w:rsidRPr="004F407E">
              <w:rPr>
                <w:rFonts w:hint="cs"/>
                <w:position w:val="2"/>
                <w:rtl/>
                <w:lang w:bidi="ar"/>
              </w:rPr>
              <w:t>في المنظمة</w:t>
            </w:r>
            <w:r w:rsidR="00DA2EB3" w:rsidRPr="004F407E">
              <w:rPr>
                <w:rFonts w:hint="cs"/>
                <w:position w:val="2"/>
                <w:rtl/>
                <w:lang w:bidi="ar"/>
              </w:rPr>
              <w:t xml:space="preserve"> (</w:t>
            </w:r>
            <w:r w:rsidR="00DA2EB3" w:rsidRPr="004F407E">
              <w:rPr>
                <w:rFonts w:hint="cs"/>
                <w:position w:val="2"/>
                <w:lang w:val="fr-FR"/>
              </w:rPr>
              <w:t>ORMS</w:t>
            </w:r>
            <w:r w:rsidR="00DA2EB3" w:rsidRPr="004F407E">
              <w:rPr>
                <w:rFonts w:hint="cs"/>
                <w:position w:val="2"/>
                <w:rtl/>
                <w:lang w:bidi="ar"/>
              </w:rPr>
              <w:t xml:space="preserve">) </w:t>
            </w:r>
            <w:r w:rsidR="00C0653A" w:rsidRPr="004F407E">
              <w:rPr>
                <w:rFonts w:hint="cs"/>
                <w:position w:val="2"/>
                <w:rtl/>
                <w:lang w:bidi="ar-SA"/>
              </w:rPr>
              <w:t>مع</w:t>
            </w:r>
            <w:r w:rsidR="00C0653A" w:rsidRPr="004F407E">
              <w:rPr>
                <w:rFonts w:hint="cs"/>
                <w:position w:val="2"/>
                <w:rtl/>
                <w:lang w:bidi="ar"/>
              </w:rPr>
              <w:t xml:space="preserve"> </w:t>
            </w:r>
            <w:r w:rsidR="00DA2EB3" w:rsidRPr="004F407E">
              <w:rPr>
                <w:rFonts w:hint="cs"/>
                <w:position w:val="2"/>
                <w:rtl/>
                <w:lang w:bidi="ar"/>
              </w:rPr>
              <w:t>جميع العناصر الرئيسية لإدارة الأزمات.</w:t>
            </w:r>
          </w:p>
        </w:tc>
      </w:tr>
      <w:tr w:rsidR="00C12669" w:rsidRPr="00C12669" w14:paraId="3A2B8721"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12797" w14:textId="70AA3F46" w:rsidR="00C12669" w:rsidRPr="0013186E" w:rsidRDefault="00C12669" w:rsidP="004F407E">
            <w:pPr>
              <w:pStyle w:val="Tabletexte"/>
              <w:tabs>
                <w:tab w:val="clear" w:pos="794"/>
                <w:tab w:val="left" w:pos="489"/>
              </w:tabs>
              <w:spacing w:line="280" w:lineRule="exact"/>
              <w:rPr>
                <w:position w:val="2"/>
              </w:rPr>
            </w:pPr>
            <w:r w:rsidRPr="0013186E">
              <w:rPr>
                <w:position w:val="2"/>
              </w:rPr>
              <w:t>10</w:t>
            </w:r>
            <w:r w:rsidRPr="0013186E">
              <w:rPr>
                <w:position w:val="2"/>
                <w:rtl/>
              </w:rPr>
              <w:tab/>
            </w:r>
            <w:r w:rsidRPr="004F407E">
              <w:rPr>
                <w:spacing w:val="-4"/>
                <w:position w:val="2"/>
                <w:rtl/>
              </w:rPr>
              <w:t>تلاؤم التسلسل القيادي وتفويض السلطة ووضوحهما واتـساقهما وإدراجهما في النظم القائمة لتخطيط الموارد المؤسسية</w:t>
            </w:r>
            <w:r w:rsidR="004F407E">
              <w:rPr>
                <w:rFonts w:hint="cs"/>
                <w:spacing w:val="-4"/>
                <w:position w:val="2"/>
                <w:rtl/>
              </w:rPr>
              <w:t xml:space="preserve"> </w:t>
            </w:r>
            <w:r w:rsidR="004F407E">
              <w:rPr>
                <w:spacing w:val="-4"/>
                <w:position w:val="2"/>
              </w:rPr>
              <w:t>(ERP)</w:t>
            </w:r>
            <w:r w:rsidRPr="004F407E">
              <w:rPr>
                <w:spacing w:val="-4"/>
                <w:position w:val="2"/>
                <w:rtl/>
              </w:rPr>
              <w:t>.</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8C52B" w14:textId="77777777" w:rsidR="00C12669" w:rsidRPr="0013186E" w:rsidRDefault="00C12669" w:rsidP="004F407E">
            <w:pPr>
              <w:pStyle w:val="Tabletexte"/>
              <w:spacing w:line="280" w:lineRule="exact"/>
              <w:rPr>
                <w:position w:val="2"/>
              </w:rPr>
            </w:pPr>
            <w:r w:rsidRPr="0013186E">
              <w:rPr>
                <w:position w:val="2"/>
                <w:rtl/>
              </w:rPr>
              <w:t>تعريف واضح لتفويض السلطة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B30B919" w14:textId="77777777" w:rsidR="00C12669" w:rsidRPr="0013186E" w:rsidRDefault="00C12669" w:rsidP="004F407E">
            <w:pPr>
              <w:pStyle w:val="Tabletexte"/>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tcPr>
          <w:p w14:paraId="3739A995" w14:textId="30E6ACFC" w:rsidR="00C12669" w:rsidRPr="0013186E" w:rsidRDefault="00CC4396" w:rsidP="004F407E">
            <w:pPr>
              <w:pStyle w:val="Tabletexte"/>
              <w:spacing w:line="280" w:lineRule="exact"/>
              <w:jc w:val="left"/>
              <w:rPr>
                <w:position w:val="2"/>
              </w:rPr>
            </w:pPr>
            <w:r w:rsidRPr="0013186E">
              <w:rPr>
                <w:rFonts w:hint="cs"/>
                <w:position w:val="2"/>
                <w:rtl/>
                <w:lang w:bidi="ar"/>
              </w:rPr>
              <w:t xml:space="preserve">انظر </w:t>
            </w:r>
            <w:r w:rsidR="00897C1F" w:rsidRPr="0013186E">
              <w:rPr>
                <w:rFonts w:hint="cs"/>
                <w:position w:val="2"/>
                <w:rtl/>
                <w:lang w:bidi="ar"/>
              </w:rPr>
              <w:t>المعيار المرجعي</w:t>
            </w:r>
            <w:r w:rsidRPr="0013186E">
              <w:rPr>
                <w:position w:val="2"/>
                <w:rtl/>
                <w:lang w:bidi="ar"/>
              </w:rPr>
              <w:t> </w:t>
            </w:r>
            <w:r w:rsidRPr="0013186E">
              <w:rPr>
                <w:position w:val="2"/>
                <w:lang w:bidi="ar"/>
              </w:rPr>
              <w:t>1</w:t>
            </w:r>
          </w:p>
        </w:tc>
      </w:tr>
      <w:tr w:rsidR="00C12669" w:rsidRPr="00C12669" w14:paraId="6513D961"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32EBDA33"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EAEDF" w14:textId="77777777" w:rsidR="00C12669" w:rsidRPr="0013186E" w:rsidRDefault="00C12669" w:rsidP="004F407E">
            <w:pPr>
              <w:pStyle w:val="Tabletexte"/>
              <w:spacing w:line="280" w:lineRule="exact"/>
              <w:rPr>
                <w:position w:val="2"/>
              </w:rPr>
            </w:pPr>
            <w:r w:rsidRPr="0013186E">
              <w:rPr>
                <w:position w:val="2"/>
                <w:rtl/>
              </w:rPr>
              <w:t>الاتساق بين التسلسل الإداري وتفويض السلطة ووضوح التسلسل الوظيفي</w:t>
            </w:r>
          </w:p>
        </w:tc>
        <w:tc>
          <w:tcPr>
            <w:tcW w:w="1113" w:type="dxa"/>
            <w:tcBorders>
              <w:top w:val="single" w:sz="4" w:space="0" w:color="auto"/>
              <w:left w:val="single" w:sz="4" w:space="0" w:color="auto"/>
              <w:bottom w:val="single" w:sz="4" w:space="0" w:color="auto"/>
              <w:right w:val="single" w:sz="4" w:space="0" w:color="auto"/>
            </w:tcBorders>
            <w:vAlign w:val="center"/>
          </w:tcPr>
          <w:p w14:paraId="3D275A68" w14:textId="2E1CD152" w:rsidR="00C12669" w:rsidRPr="0013186E" w:rsidRDefault="00C12669" w:rsidP="004F407E">
            <w:pPr>
              <w:pStyle w:val="Tabletexte"/>
              <w:spacing w:line="280" w:lineRule="exact"/>
              <w:jc w:val="center"/>
              <w:rPr>
                <w:position w:val="2"/>
              </w:rPr>
            </w:pPr>
            <w:r w:rsidRPr="0013186E">
              <w:rPr>
                <w:rFonts w:hint="cs"/>
                <w:position w:val="2"/>
                <w:rtl/>
              </w:rPr>
              <w:t>قيد التنفيذ</w:t>
            </w:r>
          </w:p>
        </w:tc>
        <w:tc>
          <w:tcPr>
            <w:tcW w:w="6373" w:type="dxa"/>
            <w:tcBorders>
              <w:top w:val="single" w:sz="4" w:space="0" w:color="auto"/>
              <w:left w:val="single" w:sz="4" w:space="0" w:color="auto"/>
              <w:bottom w:val="single" w:sz="4" w:space="0" w:color="auto"/>
              <w:right w:val="single" w:sz="4" w:space="0" w:color="auto"/>
            </w:tcBorders>
            <w:vAlign w:val="center"/>
          </w:tcPr>
          <w:p w14:paraId="29C426DE" w14:textId="6AF911D6" w:rsidR="00C12669" w:rsidRPr="0013186E" w:rsidRDefault="00CC4396" w:rsidP="004F407E">
            <w:pPr>
              <w:pStyle w:val="Tabletexte"/>
              <w:spacing w:line="280" w:lineRule="exact"/>
              <w:jc w:val="left"/>
              <w:rPr>
                <w:position w:val="2"/>
                <w:rtl/>
                <w:lang w:bidi="ar-EG"/>
              </w:rPr>
            </w:pPr>
            <w:r w:rsidRPr="0013186E">
              <w:rPr>
                <w:rFonts w:hint="cs"/>
                <w:position w:val="2"/>
                <w:rtl/>
                <w:lang w:bidi="ar"/>
              </w:rPr>
              <w:t xml:space="preserve">انظر </w:t>
            </w:r>
            <w:r w:rsidR="00897C1F" w:rsidRPr="0013186E">
              <w:rPr>
                <w:rFonts w:hint="cs"/>
                <w:position w:val="2"/>
                <w:rtl/>
                <w:lang w:bidi="ar"/>
              </w:rPr>
              <w:t>المعيار المرجعي</w:t>
            </w:r>
            <w:r w:rsidR="00897C1F" w:rsidRPr="0013186E">
              <w:rPr>
                <w:position w:val="2"/>
                <w:rtl/>
                <w:lang w:bidi="ar"/>
              </w:rPr>
              <w:t> </w:t>
            </w:r>
            <w:r w:rsidR="0044625B" w:rsidRPr="0013186E">
              <w:rPr>
                <w:position w:val="2"/>
                <w:lang w:val="fr-FR" w:bidi="ar"/>
              </w:rPr>
              <w:t>1</w:t>
            </w:r>
          </w:p>
        </w:tc>
      </w:tr>
      <w:tr w:rsidR="00C12669" w:rsidRPr="00C12669" w14:paraId="6E95EB74"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45874A0F"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109E6" w14:textId="77777777" w:rsidR="00C12669" w:rsidRPr="0013186E" w:rsidRDefault="00C12669" w:rsidP="004F407E">
            <w:pPr>
              <w:pStyle w:val="Tabletexte"/>
              <w:spacing w:line="280" w:lineRule="exact"/>
              <w:rPr>
                <w:position w:val="2"/>
              </w:rPr>
            </w:pPr>
            <w:r w:rsidRPr="0013186E">
              <w:rPr>
                <w:position w:val="2"/>
                <w:rtl/>
              </w:rPr>
              <w:t>استناد عملية تفويض السلطة إلى النظم القائمة في مجال تخطـيط المـوارد المؤسسية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E559E56" w14:textId="529DB4E5" w:rsidR="00C12669" w:rsidRPr="0013186E" w:rsidRDefault="00C12669" w:rsidP="004F407E">
            <w:pPr>
              <w:pStyle w:val="Tabletexte"/>
              <w:spacing w:line="280" w:lineRule="exact"/>
              <w:jc w:val="center"/>
              <w:rPr>
                <w:position w:val="2"/>
              </w:rPr>
            </w:pPr>
            <w:r w:rsidRPr="0013186E">
              <w:rPr>
                <w:rFonts w:hint="cs"/>
                <w:position w:val="2"/>
                <w:rtl/>
              </w:rPr>
              <w:t>قيد التنفيذ</w:t>
            </w:r>
          </w:p>
        </w:tc>
        <w:tc>
          <w:tcPr>
            <w:tcW w:w="6373" w:type="dxa"/>
            <w:tcBorders>
              <w:top w:val="single" w:sz="4" w:space="0" w:color="auto"/>
              <w:left w:val="single" w:sz="4" w:space="0" w:color="auto"/>
              <w:bottom w:val="single" w:sz="4" w:space="0" w:color="auto"/>
              <w:right w:val="single" w:sz="4" w:space="0" w:color="auto"/>
            </w:tcBorders>
            <w:vAlign w:val="center"/>
            <w:hideMark/>
          </w:tcPr>
          <w:p w14:paraId="15A824BC" w14:textId="77777777" w:rsidR="00C12669" w:rsidRPr="0013186E" w:rsidRDefault="00C12669" w:rsidP="004F407E">
            <w:pPr>
              <w:pStyle w:val="Tabletexte"/>
              <w:spacing w:line="280" w:lineRule="exact"/>
              <w:jc w:val="left"/>
              <w:rPr>
                <w:position w:val="2"/>
              </w:rPr>
            </w:pPr>
            <w:r w:rsidRPr="0013186E">
              <w:rPr>
                <w:position w:val="2"/>
                <w:rtl/>
              </w:rPr>
              <w:t>الوصول إلى نظام تخطيط الموارد المؤسسية على أساس فصل الواجبات.</w:t>
            </w:r>
          </w:p>
        </w:tc>
      </w:tr>
      <w:tr w:rsidR="00C12669" w:rsidRPr="00C12669" w14:paraId="72BD58F8"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6B2F6" w14:textId="3030E36A" w:rsidR="00C12669" w:rsidRPr="0013186E" w:rsidRDefault="00C12669" w:rsidP="004F407E">
            <w:pPr>
              <w:pStyle w:val="Tabletexte"/>
              <w:keepNext/>
              <w:keepLines/>
              <w:tabs>
                <w:tab w:val="clear" w:pos="794"/>
                <w:tab w:val="left" w:pos="489"/>
              </w:tabs>
              <w:spacing w:line="280" w:lineRule="exact"/>
              <w:rPr>
                <w:position w:val="2"/>
              </w:rPr>
            </w:pPr>
            <w:r w:rsidRPr="0013186E">
              <w:rPr>
                <w:position w:val="2"/>
              </w:rPr>
              <w:lastRenderedPageBreak/>
              <w:t>11</w:t>
            </w:r>
            <w:r w:rsidRPr="0013186E">
              <w:rPr>
                <w:position w:val="2"/>
                <w:rtl/>
              </w:rPr>
              <w:tab/>
              <w:t>ينبغي أن يجسد النظام المالي والقواعد المالية</w:t>
            </w:r>
            <w:r w:rsidR="00A64727">
              <w:rPr>
                <w:rFonts w:hint="cs"/>
                <w:position w:val="2"/>
                <w:rtl/>
              </w:rPr>
              <w:t xml:space="preserve"> </w:t>
            </w:r>
            <w:r w:rsidR="00A64727">
              <w:rPr>
                <w:position w:val="2"/>
              </w:rPr>
              <w:t>(FRR)</w:t>
            </w:r>
            <w:r w:rsidRPr="0013186E">
              <w:rPr>
                <w:position w:val="2"/>
                <w:rtl/>
              </w:rPr>
              <w:t xml:space="preserve"> في منظومة الأمم المتحدة سياسات مكافحة الغش وسوء التصرف في الأموال وينبغي تنفيذ هذه السياسات تنفيـذاً عملياً.</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C378C" w14:textId="77777777" w:rsidR="00C12669" w:rsidRPr="0013186E" w:rsidRDefault="00C12669" w:rsidP="004F407E">
            <w:pPr>
              <w:pStyle w:val="Tabletexte"/>
              <w:keepNext/>
              <w:keepLines/>
              <w:spacing w:line="280" w:lineRule="exact"/>
              <w:rPr>
                <w:position w:val="2"/>
              </w:rPr>
            </w:pPr>
            <w:r w:rsidRPr="0013186E">
              <w:rPr>
                <w:position w:val="2"/>
                <w:rtl/>
              </w:rPr>
              <w:t>النظام المالي والقواعد المالية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BABC7D4" w14:textId="77777777" w:rsidR="00C12669"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tcPr>
          <w:p w14:paraId="381E0547" w14:textId="1ADAB404" w:rsidR="00C12669" w:rsidRPr="0013186E" w:rsidRDefault="00055D6B" w:rsidP="004F407E">
            <w:pPr>
              <w:pStyle w:val="Tabletext12"/>
              <w:keepNext/>
              <w:keepLines/>
              <w:jc w:val="left"/>
              <w:rPr>
                <w:rFonts w:ascii="Dubai" w:hAnsi="Dubai" w:cs="Dubai"/>
                <w:position w:val="2"/>
                <w:sz w:val="20"/>
                <w:szCs w:val="20"/>
                <w:lang w:val="en-US"/>
              </w:rPr>
            </w:pPr>
            <w:hyperlink r:id="rId20" w:history="1">
              <w:r w:rsidR="00487D93" w:rsidRPr="0013186E">
                <w:rPr>
                  <w:rStyle w:val="Hyperlink"/>
                  <w:position w:val="2"/>
                  <w:sz w:val="20"/>
                  <w:szCs w:val="20"/>
                  <w:lang w:val="en-US"/>
                </w:rPr>
                <w:t>https://www.itu.int/en/council/Documents/Financial-Regulations/S-GEN-REG_RGTFIN-2018-PDF-E.pdf</w:t>
              </w:r>
            </w:hyperlink>
          </w:p>
        </w:tc>
      </w:tr>
      <w:tr w:rsidR="00C12669" w:rsidRPr="00C12669" w14:paraId="379E89D0"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650B1CAD" w14:textId="77777777" w:rsidR="00C12669" w:rsidRPr="0013186E" w:rsidRDefault="00C12669" w:rsidP="004F407E">
            <w:pPr>
              <w:keepNext/>
              <w:keepLines/>
              <w:tabs>
                <w:tab w:val="clear" w:pos="794"/>
                <w:tab w:val="left" w:pos="489"/>
              </w:tabs>
              <w:spacing w:before="60" w:after="60" w:line="280" w:lineRule="exact"/>
              <w:jc w:val="left"/>
              <w:rPr>
                <w:rFonts w:eastAsia="Times New Roman"/>
                <w:position w:val="2"/>
                <w:sz w:val="20"/>
                <w:szCs w:val="20"/>
                <w:lang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7F8FA" w14:textId="77777777" w:rsidR="00C12669" w:rsidRPr="0013186E" w:rsidRDefault="00C12669" w:rsidP="004F407E">
            <w:pPr>
              <w:pStyle w:val="Tabletexte"/>
              <w:keepNext/>
              <w:keepLines/>
              <w:spacing w:line="280" w:lineRule="exact"/>
              <w:rPr>
                <w:position w:val="2"/>
              </w:rPr>
            </w:pPr>
            <w:r w:rsidRPr="0013186E">
              <w:rPr>
                <w:position w:val="2"/>
                <w:rtl/>
              </w:rPr>
              <w:t>بيانات تضارب المصالح</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790BF" w14:textId="77777777" w:rsidR="00C12669"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8C806" w14:textId="77777777" w:rsidR="00C12669" w:rsidRPr="0013186E" w:rsidRDefault="00C12669" w:rsidP="004F407E">
            <w:pPr>
              <w:pStyle w:val="Tabletexte"/>
              <w:keepNext/>
              <w:keepLines/>
              <w:spacing w:line="280" w:lineRule="exact"/>
              <w:jc w:val="left"/>
              <w:rPr>
                <w:position w:val="2"/>
              </w:rPr>
            </w:pPr>
            <w:r w:rsidRPr="0013186E">
              <w:rPr>
                <w:position w:val="2"/>
                <w:rtl/>
              </w:rPr>
              <w:t>يحتفظ الاتحاد بإعلان سنوي عن تضارب المصالح المحتمل فيما يتعلق بمسائل التمويل أو المشتريات وفقاً للمعايير الأخلاقية.</w:t>
            </w:r>
          </w:p>
        </w:tc>
      </w:tr>
      <w:tr w:rsidR="00C12669" w:rsidRPr="00C12669" w14:paraId="33F6AC63"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5819BF29" w14:textId="77777777" w:rsidR="00C12669" w:rsidRPr="0013186E" w:rsidRDefault="00C12669" w:rsidP="004F407E">
            <w:pPr>
              <w:keepNext/>
              <w:keepLines/>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7767C" w14:textId="77777777" w:rsidR="00C12669" w:rsidRPr="0013186E" w:rsidRDefault="00C12669" w:rsidP="004F407E">
            <w:pPr>
              <w:pStyle w:val="Tabletexte"/>
              <w:keepNext/>
              <w:keepLines/>
              <w:spacing w:line="280" w:lineRule="exact"/>
              <w:rPr>
                <w:position w:val="2"/>
              </w:rPr>
            </w:pPr>
            <w:r w:rsidRPr="0013186E">
              <w:rPr>
                <w:position w:val="2"/>
                <w:rtl/>
              </w:rPr>
              <w:t>إقرارات الذمة المالية</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97724" w14:textId="77777777" w:rsidR="00C12669"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6CFCA945" w14:textId="77777777" w:rsidR="00C12669" w:rsidRPr="0013186E" w:rsidRDefault="00C12669" w:rsidP="004F407E">
            <w:pPr>
              <w:keepNext/>
              <w:keepLines/>
              <w:spacing w:before="60" w:after="60" w:line="280" w:lineRule="exact"/>
              <w:jc w:val="left"/>
              <w:rPr>
                <w:rFonts w:eastAsia="Times New Roman"/>
                <w:position w:val="2"/>
                <w:sz w:val="20"/>
                <w:szCs w:val="20"/>
                <w:lang w:val="fr-FR" w:eastAsia="en-US" w:bidi="ar-EG"/>
              </w:rPr>
            </w:pPr>
          </w:p>
        </w:tc>
      </w:tr>
      <w:tr w:rsidR="00C12669" w:rsidRPr="00C12669" w14:paraId="38E25C16"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1940103C" w14:textId="77777777" w:rsidR="00C12669" w:rsidRPr="0013186E" w:rsidRDefault="00C12669" w:rsidP="004F407E">
            <w:pPr>
              <w:keepNext/>
              <w:keepLines/>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B7F19" w14:textId="77777777" w:rsidR="00C12669" w:rsidRPr="0013186E" w:rsidRDefault="00C12669" w:rsidP="004F407E">
            <w:pPr>
              <w:pStyle w:val="Tabletexte"/>
              <w:keepNext/>
              <w:keepLines/>
              <w:spacing w:line="280" w:lineRule="exact"/>
              <w:rPr>
                <w:position w:val="2"/>
              </w:rPr>
            </w:pPr>
            <w:r w:rsidRPr="0013186E">
              <w:rPr>
                <w:position w:val="2"/>
                <w:rtl/>
              </w:rPr>
              <w:t>سياسات مكافحة الغش</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907CFDA" w14:textId="10A938F4" w:rsidR="00C12669" w:rsidRPr="0013186E" w:rsidRDefault="00C12669" w:rsidP="004F407E">
            <w:pPr>
              <w:pStyle w:val="Tabletexte"/>
              <w:keepNext/>
              <w:keepLines/>
              <w:spacing w:line="280" w:lineRule="exact"/>
              <w:jc w:val="center"/>
              <w:rPr>
                <w:position w:val="2"/>
                <w:rtl/>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7BBDBC01" w14:textId="0F7C1C07" w:rsidR="00C12669" w:rsidRPr="0013186E" w:rsidRDefault="00055D6B" w:rsidP="004F407E">
            <w:pPr>
              <w:pStyle w:val="Tabletexte"/>
              <w:keepNext/>
              <w:keepLines/>
              <w:spacing w:line="280" w:lineRule="exact"/>
              <w:jc w:val="left"/>
              <w:rPr>
                <w:position w:val="2"/>
              </w:rPr>
            </w:pPr>
            <w:hyperlink r:id="rId21" w:history="1">
              <w:r w:rsidR="00487D93" w:rsidRPr="0013186E">
                <w:rPr>
                  <w:rStyle w:val="Hyperlink"/>
                  <w:rFonts w:asciiTheme="minorHAnsi" w:hAnsiTheme="minorHAnsi"/>
                  <w:position w:val="2"/>
                  <w:sz w:val="18"/>
                  <w:szCs w:val="18"/>
                </w:rPr>
                <w:t>https://www.itu.int/en/ethics/Documents/SO-2019-009-en.pdf</w:t>
              </w:r>
            </w:hyperlink>
          </w:p>
        </w:tc>
      </w:tr>
      <w:tr w:rsidR="00C12669" w:rsidRPr="00C12669" w14:paraId="317AF0AE" w14:textId="77777777" w:rsidTr="0013186E">
        <w:trPr>
          <w:cantSplit/>
        </w:trPr>
        <w:tc>
          <w:tcPr>
            <w:tcW w:w="29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39D38" w14:textId="77777777" w:rsidR="00C12669" w:rsidRPr="0013186E" w:rsidRDefault="00C12669" w:rsidP="004F407E">
            <w:pPr>
              <w:pStyle w:val="Tabletexte"/>
              <w:tabs>
                <w:tab w:val="clear" w:pos="794"/>
                <w:tab w:val="left" w:pos="489"/>
              </w:tabs>
              <w:spacing w:line="280" w:lineRule="exact"/>
              <w:rPr>
                <w:position w:val="2"/>
              </w:rPr>
            </w:pPr>
            <w:r w:rsidRPr="0013186E">
              <w:rPr>
                <w:position w:val="2"/>
              </w:rPr>
              <w:t>12</w:t>
            </w:r>
            <w:r w:rsidRPr="0013186E">
              <w:rPr>
                <w:position w:val="2"/>
                <w:rtl/>
              </w:rPr>
              <w:tab/>
            </w:r>
            <w:r w:rsidRPr="00A64727">
              <w:rPr>
                <w:spacing w:val="6"/>
                <w:position w:val="2"/>
                <w:rtl/>
              </w:rPr>
              <w:t>شهادة المديرين بالامتثال للضوابط الداخلية في إطار تفويضهم للسلطة.</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35665" w14:textId="77777777" w:rsidR="00C12669" w:rsidRPr="0013186E" w:rsidRDefault="00C12669" w:rsidP="004F407E">
            <w:pPr>
              <w:pStyle w:val="Tabletexte"/>
              <w:spacing w:line="280" w:lineRule="exact"/>
              <w:rPr>
                <w:spacing w:val="-2"/>
                <w:position w:val="2"/>
              </w:rPr>
            </w:pPr>
            <w:r w:rsidRPr="0013186E">
              <w:rPr>
                <w:spacing w:val="-2"/>
                <w:position w:val="2"/>
                <w:rtl/>
              </w:rPr>
              <w:t>رسالة/استمارة التمثيل/ضمانات/شهادة تقدم سنوياً إلى الرؤساء التنفيذيين</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62D7F" w14:textId="7CFF7149" w:rsidR="00C12669" w:rsidRPr="0013186E" w:rsidRDefault="00C12669" w:rsidP="004F407E">
            <w:pPr>
              <w:pStyle w:val="Tabletexte"/>
              <w:spacing w:line="280" w:lineRule="exact"/>
              <w:jc w:val="center"/>
              <w:rPr>
                <w:position w:val="2"/>
              </w:rPr>
            </w:pPr>
            <w:r w:rsidRPr="0013186E">
              <w:rPr>
                <w:rFonts w:hint="cs"/>
                <w:position w:val="2"/>
                <w:rtl/>
              </w:rPr>
              <w:t>مستمرة</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C1B95" w14:textId="5E91184C" w:rsidR="00C12669" w:rsidRPr="0013186E" w:rsidRDefault="00C12669" w:rsidP="00A64727">
            <w:pPr>
              <w:pStyle w:val="Tabletexte"/>
              <w:spacing w:line="280" w:lineRule="exact"/>
              <w:jc w:val="left"/>
              <w:rPr>
                <w:position w:val="2"/>
                <w:lang w:val="fr-FR"/>
              </w:rPr>
            </w:pPr>
            <w:r w:rsidRPr="0013186E">
              <w:rPr>
                <w:position w:val="2"/>
                <w:rtl/>
              </w:rPr>
              <w:t>على كل موظف</w:t>
            </w:r>
            <w:r w:rsidR="00ED3141" w:rsidRPr="0013186E">
              <w:rPr>
                <w:rFonts w:hint="cs"/>
                <w:position w:val="2"/>
                <w:rtl/>
                <w:lang w:bidi="ar-SA"/>
              </w:rPr>
              <w:t xml:space="preserve"> منتخب وكل</w:t>
            </w:r>
            <w:r w:rsidR="00DB3712" w:rsidRPr="0013186E">
              <w:rPr>
                <w:rFonts w:hint="cs"/>
                <w:position w:val="2"/>
                <w:rtl/>
              </w:rPr>
              <w:t xml:space="preserve"> نائب </w:t>
            </w:r>
            <w:r w:rsidR="00ED3141" w:rsidRPr="0013186E">
              <w:rPr>
                <w:rFonts w:hint="cs"/>
                <w:position w:val="2"/>
                <w:rtl/>
              </w:rPr>
              <w:t xml:space="preserve">مدير </w:t>
            </w:r>
            <w:r w:rsidR="00DB3712" w:rsidRPr="0013186E">
              <w:rPr>
                <w:rFonts w:hint="cs"/>
                <w:position w:val="2"/>
                <w:rtl/>
              </w:rPr>
              <w:t>مكتب</w:t>
            </w:r>
            <w:r w:rsidRPr="0013186E">
              <w:rPr>
                <w:position w:val="2"/>
                <w:rtl/>
              </w:rPr>
              <w:t xml:space="preserve"> ورئيس دائرة ورئيس وحدة في</w:t>
            </w:r>
            <w:r w:rsidR="0084185B" w:rsidRPr="0013186E">
              <w:rPr>
                <w:rFonts w:hint="cs"/>
                <w:position w:val="2"/>
                <w:rtl/>
              </w:rPr>
              <w:t> </w:t>
            </w:r>
            <w:r w:rsidRPr="0013186E">
              <w:rPr>
                <w:position w:val="2"/>
                <w:rtl/>
              </w:rPr>
              <w:t>الأمانة العامة تقديم رسالة داخلية بشأن التمثيل، تُشكل تأكيداً كتابياً أنه نفذ الصلاحيات والمسؤوليات المالية المفوضة إليه على النحو الواجب.</w:t>
            </w:r>
            <w:r w:rsidR="00487D93" w:rsidRPr="0013186E">
              <w:rPr>
                <w:rFonts w:hint="cs"/>
                <w:position w:val="2"/>
                <w:rtl/>
              </w:rPr>
              <w:t xml:space="preserve"> </w:t>
            </w:r>
            <w:r w:rsidR="00DB3712" w:rsidRPr="0013186E">
              <w:rPr>
                <w:rFonts w:hint="cs"/>
                <w:position w:val="2"/>
                <w:rtl/>
                <w:lang w:bidi="ar"/>
              </w:rPr>
              <w:t>وسيُنظر في تحسينات أخرى ممكنة في هذه العملية؛ وتقييم ما إذا كان ذلك أداةً مفيدةً، وكيف يمكن تعزيز عمليات الرقابة الداخلية بشكل أكبر.</w:t>
            </w:r>
          </w:p>
        </w:tc>
      </w:tr>
      <w:tr w:rsidR="00C12669" w:rsidRPr="00C12669" w14:paraId="050B69F2"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01CF9" w14:textId="77777777" w:rsidR="00C12669" w:rsidRPr="0013186E" w:rsidRDefault="00C12669" w:rsidP="004F407E">
            <w:pPr>
              <w:pStyle w:val="Tabletexte"/>
              <w:tabs>
                <w:tab w:val="clear" w:pos="794"/>
                <w:tab w:val="left" w:pos="489"/>
              </w:tabs>
              <w:spacing w:line="280" w:lineRule="exact"/>
              <w:rPr>
                <w:position w:val="2"/>
              </w:rPr>
            </w:pPr>
            <w:r w:rsidRPr="0013186E">
              <w:rPr>
                <w:position w:val="2"/>
              </w:rPr>
              <w:t>13</w:t>
            </w:r>
            <w:r w:rsidRPr="0013186E">
              <w:rPr>
                <w:position w:val="2"/>
                <w:rtl/>
              </w:rPr>
              <w:tab/>
              <w:t>حصول الموظفين في جميع المستويات على معلومات موثوقـة وذات صلة تدعم عملية اتخاذ القرارات بما يتماشى مع السلطات المفوضة لهم، ووجـود نظـام للاتصالات الداخلية والخارجية لدى المنظمة.</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46D85" w14:textId="77777777" w:rsidR="00C12669" w:rsidRPr="0013186E" w:rsidRDefault="00C12669" w:rsidP="004F407E">
            <w:pPr>
              <w:pStyle w:val="Tabletexte"/>
              <w:spacing w:line="280" w:lineRule="exact"/>
              <w:rPr>
                <w:position w:val="2"/>
              </w:rPr>
            </w:pPr>
            <w:r w:rsidRPr="0013186E">
              <w:rPr>
                <w:position w:val="2"/>
                <w:rtl/>
              </w:rPr>
              <w:t>وجود نظام لتخطيط الموارد المؤسسية أو نظام مماثل لجمع المعلومات ذات الصلة وتوثيقها</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6BA8B30" w14:textId="6E0C1D33" w:rsidR="00C12669" w:rsidRPr="0013186E" w:rsidRDefault="00C12669" w:rsidP="004F407E">
            <w:pPr>
              <w:pStyle w:val="Tabletexte"/>
              <w:spacing w:line="280" w:lineRule="exact"/>
              <w:jc w:val="center"/>
              <w:rPr>
                <w:position w:val="2"/>
              </w:rPr>
            </w:pPr>
            <w:r w:rsidRPr="0013186E">
              <w:rPr>
                <w:rFonts w:hint="cs"/>
                <w:position w:val="2"/>
                <w:rtl/>
              </w:rPr>
              <w:t>مستمرة</w:t>
            </w:r>
          </w:p>
        </w:tc>
        <w:tc>
          <w:tcPr>
            <w:tcW w:w="6373" w:type="dxa"/>
            <w:vMerge w:val="restart"/>
            <w:tcBorders>
              <w:top w:val="single" w:sz="4" w:space="0" w:color="auto"/>
              <w:left w:val="single" w:sz="4" w:space="0" w:color="auto"/>
              <w:bottom w:val="single" w:sz="4" w:space="0" w:color="auto"/>
              <w:right w:val="single" w:sz="4" w:space="0" w:color="auto"/>
            </w:tcBorders>
            <w:vAlign w:val="center"/>
            <w:hideMark/>
          </w:tcPr>
          <w:p w14:paraId="1D7AA4A7" w14:textId="72C78152" w:rsidR="00C12669" w:rsidRPr="0013186E" w:rsidRDefault="00C12669" w:rsidP="00DD5757">
            <w:pPr>
              <w:pStyle w:val="Tabletexte"/>
              <w:spacing w:line="280" w:lineRule="exact"/>
              <w:jc w:val="left"/>
              <w:rPr>
                <w:position w:val="2"/>
                <w:lang w:val="fr-FR"/>
              </w:rPr>
            </w:pPr>
            <w:r w:rsidRPr="0013186E">
              <w:rPr>
                <w:position w:val="2"/>
                <w:rtl/>
              </w:rPr>
              <w:t xml:space="preserve">يدير الاتحاد المعلومات والمعرفة من خلال إدارة موحدة للمعلومات، مثل نظام تخطيط الموارد المؤسسية </w:t>
            </w:r>
            <w:r w:rsidR="00ED3141" w:rsidRPr="0013186E">
              <w:rPr>
                <w:position w:val="2"/>
              </w:rPr>
              <w:t>(ERP)</w:t>
            </w:r>
            <w:r w:rsidR="00ED3141" w:rsidRPr="0013186E">
              <w:rPr>
                <w:rFonts w:hint="cs"/>
                <w:position w:val="2"/>
                <w:rtl/>
                <w:lang w:bidi="ar-SA"/>
              </w:rPr>
              <w:t xml:space="preserve"> </w:t>
            </w:r>
            <w:r w:rsidRPr="0013186E">
              <w:rPr>
                <w:position w:val="2"/>
                <w:rtl/>
              </w:rPr>
              <w:t>أو نظام </w:t>
            </w:r>
            <w:r w:rsidRPr="0013186E">
              <w:rPr>
                <w:position w:val="2"/>
              </w:rPr>
              <w:t>SharePoint</w:t>
            </w:r>
            <w:r w:rsidRPr="0013186E">
              <w:rPr>
                <w:position w:val="2"/>
                <w:rtl/>
              </w:rPr>
              <w:t xml:space="preserve"> أو مستودعات الملفات أو أدوات معلومات</w:t>
            </w:r>
            <w:r w:rsidR="0074488F" w:rsidRPr="0013186E">
              <w:rPr>
                <w:rFonts w:hint="cs"/>
                <w:position w:val="2"/>
                <w:rtl/>
              </w:rPr>
              <w:t xml:space="preserve"> الأعمال</w:t>
            </w:r>
            <w:r w:rsidRPr="0013186E">
              <w:rPr>
                <w:position w:val="2"/>
                <w:rtl/>
              </w:rPr>
              <w:t xml:space="preserve"> التي توفر للموظفين إمكانية الحصول على المعلومات على أساس الدور والوظيفة.</w:t>
            </w:r>
            <w:r w:rsidR="00487D93" w:rsidRPr="0013186E">
              <w:rPr>
                <w:rFonts w:hint="cs"/>
                <w:position w:val="2"/>
                <w:rtl/>
              </w:rPr>
              <w:t xml:space="preserve"> </w:t>
            </w:r>
            <w:r w:rsidR="00DB3712" w:rsidRPr="0013186E">
              <w:rPr>
                <w:rFonts w:hint="cs"/>
                <w:position w:val="2"/>
                <w:rtl/>
                <w:lang w:bidi="ar"/>
              </w:rPr>
              <w:t>وستُستعرض مسألة المعلومات ذات الصلة والموثوقة من أجل دعم اتخاذ القرار، إلى جانب التحسينات المطلوبة في هذا المجال.</w:t>
            </w:r>
          </w:p>
        </w:tc>
      </w:tr>
      <w:tr w:rsidR="00C12669" w:rsidRPr="00C12669" w14:paraId="44924F6B"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21EC2323"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CAE5B" w14:textId="77777777" w:rsidR="00C12669" w:rsidRPr="0013186E" w:rsidRDefault="00C12669" w:rsidP="004F407E">
            <w:pPr>
              <w:pStyle w:val="Tabletexte"/>
              <w:spacing w:line="280" w:lineRule="exact"/>
              <w:rPr>
                <w:position w:val="2"/>
                <w:rtl/>
              </w:rPr>
            </w:pPr>
            <w:r w:rsidRPr="0013186E">
              <w:rPr>
                <w:position w:val="2"/>
                <w:rtl/>
              </w:rPr>
              <w:t>استغلال قنوات الاتصال الداخلية استغلالاً تاماً</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089E58D" w14:textId="7D9034D1" w:rsidR="00C12669" w:rsidRPr="0013186E" w:rsidRDefault="00C12669" w:rsidP="004F407E">
            <w:pPr>
              <w:pStyle w:val="Tabletexte"/>
              <w:spacing w:line="280" w:lineRule="exact"/>
              <w:jc w:val="center"/>
              <w:rPr>
                <w:position w:val="2"/>
              </w:rPr>
            </w:pPr>
            <w:r w:rsidRPr="0013186E">
              <w:rPr>
                <w:rFonts w:hint="cs"/>
                <w:position w:val="2"/>
                <w:rtl/>
              </w:rPr>
              <w:t>مستمرة</w:t>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35381BE1" w14:textId="77777777" w:rsidR="00C12669" w:rsidRPr="0013186E" w:rsidRDefault="00C12669" w:rsidP="004F407E">
            <w:pPr>
              <w:spacing w:before="60" w:after="60" w:line="280" w:lineRule="exact"/>
              <w:jc w:val="left"/>
              <w:rPr>
                <w:rFonts w:eastAsia="Times New Roman"/>
                <w:position w:val="2"/>
                <w:sz w:val="20"/>
                <w:szCs w:val="20"/>
                <w:lang w:val="fr-FR" w:eastAsia="en-US" w:bidi="ar-EG"/>
              </w:rPr>
            </w:pPr>
          </w:p>
        </w:tc>
      </w:tr>
      <w:tr w:rsidR="00C12669" w:rsidRPr="00C12669" w14:paraId="4CEA3472"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3BFD9D0E"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EEC1E" w14:textId="77777777" w:rsidR="00C12669" w:rsidRPr="0013186E" w:rsidRDefault="00C12669" w:rsidP="004F407E">
            <w:pPr>
              <w:pStyle w:val="Tabletexte"/>
              <w:spacing w:line="280" w:lineRule="exact"/>
              <w:rPr>
                <w:position w:val="2"/>
              </w:rPr>
            </w:pPr>
            <w:r w:rsidRPr="0013186E">
              <w:rPr>
                <w:position w:val="2"/>
                <w:rtl/>
              </w:rPr>
              <w:t>وجود سياسات للكشف عن المعلومات</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F35000F" w14:textId="64B29BCD" w:rsidR="00C12669" w:rsidRPr="0013186E" w:rsidRDefault="00C12669" w:rsidP="004F407E">
            <w:pPr>
              <w:pStyle w:val="Tabletexte"/>
              <w:spacing w:line="280" w:lineRule="exact"/>
              <w:jc w:val="center"/>
              <w:rPr>
                <w:position w:val="2"/>
              </w:rPr>
            </w:pPr>
            <w:r w:rsidRPr="0013186E">
              <w:rPr>
                <w:rFonts w:hint="cs"/>
                <w:position w:val="2"/>
                <w:rtl/>
              </w:rPr>
              <w:t>مستمرة</w:t>
            </w:r>
          </w:p>
        </w:tc>
        <w:tc>
          <w:tcPr>
            <w:tcW w:w="6373" w:type="dxa"/>
            <w:vMerge/>
            <w:tcBorders>
              <w:top w:val="single" w:sz="4" w:space="0" w:color="auto"/>
              <w:left w:val="single" w:sz="4" w:space="0" w:color="auto"/>
              <w:bottom w:val="single" w:sz="4" w:space="0" w:color="auto"/>
              <w:right w:val="single" w:sz="4" w:space="0" w:color="auto"/>
            </w:tcBorders>
            <w:vAlign w:val="center"/>
            <w:hideMark/>
          </w:tcPr>
          <w:p w14:paraId="4F500C06" w14:textId="77777777" w:rsidR="00C12669" w:rsidRPr="0013186E" w:rsidRDefault="00C12669" w:rsidP="004F407E">
            <w:pPr>
              <w:spacing w:before="60" w:after="60" w:line="280" w:lineRule="exact"/>
              <w:jc w:val="left"/>
              <w:rPr>
                <w:rFonts w:eastAsia="Times New Roman"/>
                <w:position w:val="2"/>
                <w:sz w:val="20"/>
                <w:szCs w:val="20"/>
                <w:lang w:val="fr-FR" w:eastAsia="en-US" w:bidi="ar-EG"/>
              </w:rPr>
            </w:pPr>
          </w:p>
        </w:tc>
      </w:tr>
      <w:tr w:rsidR="00C12669" w:rsidRPr="00C12669" w14:paraId="015084E1"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AD354" w14:textId="77777777" w:rsidR="00C12669" w:rsidRPr="0013186E" w:rsidRDefault="00C12669" w:rsidP="004F407E">
            <w:pPr>
              <w:pStyle w:val="Tabletexte"/>
              <w:tabs>
                <w:tab w:val="clear" w:pos="794"/>
                <w:tab w:val="left" w:pos="489"/>
              </w:tabs>
              <w:spacing w:line="280" w:lineRule="exact"/>
              <w:rPr>
                <w:position w:val="2"/>
              </w:rPr>
            </w:pPr>
            <w:r w:rsidRPr="0013186E">
              <w:rPr>
                <w:position w:val="2"/>
              </w:rPr>
              <w:t>14</w:t>
            </w:r>
            <w:r w:rsidRPr="0013186E">
              <w:rPr>
                <w:position w:val="2"/>
                <w:rtl/>
              </w:rPr>
              <w:tab/>
              <w:t>رصد أداء الرؤساء التنفيذيين وكبار المـديرين والمـوظفين واتخـاذ إجراءات تصحيحية حسب الاقتضاء.</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A1627" w14:textId="5BD13999" w:rsidR="00C12669" w:rsidRPr="00DD5757" w:rsidRDefault="00C12669" w:rsidP="004F407E">
            <w:pPr>
              <w:pStyle w:val="Tabletexte"/>
              <w:spacing w:line="280" w:lineRule="exact"/>
              <w:rPr>
                <w:spacing w:val="6"/>
                <w:position w:val="2"/>
              </w:rPr>
            </w:pPr>
            <w:r w:rsidRPr="00DD5757">
              <w:rPr>
                <w:spacing w:val="6"/>
                <w:position w:val="2"/>
                <w:rtl/>
              </w:rPr>
              <w:t>تقييمات أداء الموظفين على جميع المستويات، بما</w:t>
            </w:r>
            <w:r w:rsidR="006613A9" w:rsidRPr="00DD5757">
              <w:rPr>
                <w:rFonts w:hint="cs"/>
                <w:spacing w:val="6"/>
                <w:position w:val="2"/>
                <w:rtl/>
              </w:rPr>
              <w:t> </w:t>
            </w:r>
            <w:r w:rsidRPr="00DD5757">
              <w:rPr>
                <w:spacing w:val="6"/>
                <w:position w:val="2"/>
                <w:rtl/>
              </w:rPr>
              <w:t xml:space="preserve">في ذلـك اسـتقاء الآراء والتعليقات على نطاق </w:t>
            </w:r>
            <w:r w:rsidRPr="00DD5757">
              <w:rPr>
                <w:spacing w:val="6"/>
                <w:position w:val="2"/>
              </w:rPr>
              <w:t>360</w:t>
            </w:r>
            <w:r w:rsidR="006613A9" w:rsidRPr="00DD5757">
              <w:rPr>
                <w:rFonts w:hint="cs"/>
                <w:spacing w:val="6"/>
                <w:position w:val="2"/>
                <w:rtl/>
              </w:rPr>
              <w:t> </w:t>
            </w:r>
            <w:r w:rsidRPr="00DD5757">
              <w:rPr>
                <w:spacing w:val="6"/>
                <w:position w:val="2"/>
                <w:rtl/>
              </w:rPr>
              <w:t>درجة</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0D1CD" w14:textId="6B6E7419" w:rsidR="00C12669" w:rsidRPr="0013186E" w:rsidRDefault="00C12669" w:rsidP="004F407E">
            <w:pPr>
              <w:pStyle w:val="Tabletexte"/>
              <w:spacing w:line="280" w:lineRule="exact"/>
              <w:jc w:val="center"/>
              <w:rPr>
                <w:position w:val="2"/>
              </w:rPr>
            </w:pPr>
            <w:r w:rsidRPr="0013186E">
              <w:rPr>
                <w:position w:val="2"/>
                <w:rtl/>
              </w:rPr>
              <w:t>لا تنطبق</w:t>
            </w:r>
          </w:p>
        </w:tc>
        <w:tc>
          <w:tcPr>
            <w:tcW w:w="6373" w:type="dxa"/>
            <w:tcBorders>
              <w:top w:val="single" w:sz="4" w:space="0" w:color="auto"/>
              <w:left w:val="single" w:sz="4" w:space="0" w:color="auto"/>
              <w:bottom w:val="single" w:sz="4" w:space="0" w:color="auto"/>
              <w:right w:val="single" w:sz="4" w:space="0" w:color="auto"/>
            </w:tcBorders>
            <w:vAlign w:val="center"/>
            <w:hideMark/>
          </w:tcPr>
          <w:p w14:paraId="08AD743A" w14:textId="373E7A87" w:rsidR="00487D93" w:rsidRPr="0013186E" w:rsidRDefault="00C12669" w:rsidP="00DD5757">
            <w:pPr>
              <w:pStyle w:val="Tabletexte"/>
              <w:spacing w:line="280" w:lineRule="exact"/>
              <w:jc w:val="left"/>
              <w:rPr>
                <w:position w:val="2"/>
                <w:lang w:val="fr-FR"/>
              </w:rPr>
            </w:pPr>
            <w:r w:rsidRPr="0013186E">
              <w:rPr>
                <w:position w:val="2"/>
                <w:rtl/>
              </w:rPr>
              <w:t xml:space="preserve">لا يشمل نظام التقييم الجديد اسـتقاء الآراء والتعليقات على نطاق </w:t>
            </w:r>
            <w:r w:rsidRPr="0013186E">
              <w:rPr>
                <w:position w:val="2"/>
              </w:rPr>
              <w:t>360</w:t>
            </w:r>
            <w:r w:rsidRPr="0013186E">
              <w:rPr>
                <w:position w:val="2"/>
                <w:rtl/>
              </w:rPr>
              <w:t xml:space="preserve"> درجة.</w:t>
            </w:r>
            <w:r w:rsidR="00DD5757">
              <w:rPr>
                <w:rFonts w:hint="cs"/>
                <w:position w:val="2"/>
                <w:rtl/>
              </w:rPr>
              <w:t xml:space="preserve"> </w:t>
            </w:r>
            <w:r w:rsidR="00DB3712" w:rsidRPr="0013186E">
              <w:rPr>
                <w:rFonts w:hint="cs"/>
                <w:position w:val="2"/>
                <w:rtl/>
                <w:lang w:bidi="ar"/>
              </w:rPr>
              <w:t>وسيُنظر في وضع مشروع تجريبي لاستكشاف فوائد هذه الآلية وتحليلها.</w:t>
            </w:r>
          </w:p>
        </w:tc>
      </w:tr>
      <w:tr w:rsidR="00C12669" w:rsidRPr="00C12669" w14:paraId="58004E59"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09065ADF"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8DA27" w14:textId="77777777" w:rsidR="00C12669" w:rsidRPr="0013186E" w:rsidRDefault="00C12669" w:rsidP="004F407E">
            <w:pPr>
              <w:pStyle w:val="Tabletexte"/>
              <w:spacing w:line="280" w:lineRule="exact"/>
              <w:rPr>
                <w:position w:val="2"/>
                <w:rtl/>
              </w:rPr>
            </w:pPr>
            <w:r w:rsidRPr="0013186E">
              <w:rPr>
                <w:position w:val="2"/>
                <w:rtl/>
              </w:rPr>
              <w:t>اتفاقات كبار الموظفين أو أدوات من نوع سجلات النتائج</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135F7E7" w14:textId="63E56E9B" w:rsidR="00C12669" w:rsidRPr="0013186E" w:rsidRDefault="00C12669" w:rsidP="004F407E">
            <w:pPr>
              <w:pStyle w:val="Tabletexte"/>
              <w:spacing w:line="280" w:lineRule="exact"/>
              <w:jc w:val="center"/>
              <w:rPr>
                <w:position w:val="2"/>
              </w:rPr>
            </w:pPr>
            <w:r w:rsidRPr="0013186E">
              <w:rPr>
                <w:rFonts w:hint="cs"/>
                <w:position w:val="2"/>
                <w:rtl/>
              </w:rPr>
              <w:t>مستمرة</w:t>
            </w:r>
          </w:p>
        </w:tc>
        <w:tc>
          <w:tcPr>
            <w:tcW w:w="6373" w:type="dxa"/>
            <w:tcBorders>
              <w:top w:val="single" w:sz="4" w:space="0" w:color="auto"/>
              <w:left w:val="single" w:sz="4" w:space="0" w:color="auto"/>
              <w:bottom w:val="single" w:sz="4" w:space="0" w:color="auto"/>
              <w:right w:val="single" w:sz="4" w:space="0" w:color="auto"/>
            </w:tcBorders>
            <w:vAlign w:val="center"/>
          </w:tcPr>
          <w:p w14:paraId="4E742019" w14:textId="34B9CC1F" w:rsidR="00C12669" w:rsidRPr="0013186E" w:rsidRDefault="00DB3712" w:rsidP="004F407E">
            <w:pPr>
              <w:pStyle w:val="Tabletext12"/>
              <w:jc w:val="left"/>
              <w:rPr>
                <w:rFonts w:ascii="Dubai" w:hAnsi="Dubai" w:cs="Dubai"/>
                <w:position w:val="2"/>
                <w:sz w:val="20"/>
                <w:szCs w:val="20"/>
              </w:rPr>
            </w:pPr>
            <w:r w:rsidRPr="0013186E">
              <w:rPr>
                <w:rFonts w:ascii="Dubai" w:hAnsi="Dubai" w:cs="Dubai"/>
                <w:position w:val="2"/>
                <w:sz w:val="20"/>
                <w:szCs w:val="20"/>
                <w:rtl/>
                <w:lang w:bidi="ar-SA"/>
              </w:rPr>
              <w:t>لوحة معلومات</w:t>
            </w:r>
            <w:r w:rsidRPr="0013186E">
              <w:rPr>
                <w:rFonts w:ascii="Dubai" w:hAnsi="Dubai" w:cs="Dubai" w:hint="cs"/>
                <w:position w:val="2"/>
                <w:sz w:val="20"/>
                <w:szCs w:val="20"/>
                <w:rtl/>
                <w:lang w:bidi="ar-SA"/>
              </w:rPr>
              <w:t xml:space="preserve"> قيد الإعداد</w:t>
            </w:r>
          </w:p>
        </w:tc>
      </w:tr>
      <w:tr w:rsidR="00C12669" w:rsidRPr="00C12669" w14:paraId="7E04B6BA"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1ECAA26C" w14:textId="77777777" w:rsidR="00C12669" w:rsidRPr="0013186E" w:rsidRDefault="00C12669" w:rsidP="004F407E">
            <w:pPr>
              <w:tabs>
                <w:tab w:val="clear" w:pos="794"/>
                <w:tab w:val="left" w:pos="489"/>
              </w:tab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5C6E6" w14:textId="77777777" w:rsidR="00C12669" w:rsidRPr="0013186E" w:rsidRDefault="00C12669" w:rsidP="004F407E">
            <w:pPr>
              <w:pStyle w:val="Tabletexte"/>
              <w:spacing w:line="280" w:lineRule="exact"/>
              <w:rPr>
                <w:position w:val="2"/>
                <w:rtl/>
              </w:rPr>
            </w:pPr>
            <w:r w:rsidRPr="0013186E">
              <w:rPr>
                <w:position w:val="2"/>
                <w:rtl/>
              </w:rPr>
              <w:t>تدابير تصحيحية للأصول غير المنتجة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46C5233" w14:textId="77777777" w:rsidR="00C12669" w:rsidRPr="0013186E" w:rsidRDefault="00C12669" w:rsidP="004F407E">
            <w:pPr>
              <w:pStyle w:val="Tabletexte"/>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2A9A56E7" w14:textId="77777777" w:rsidR="00C12669" w:rsidRPr="0013186E" w:rsidRDefault="00C12669" w:rsidP="004F407E">
            <w:pPr>
              <w:pStyle w:val="Tabletexte"/>
              <w:spacing w:line="280" w:lineRule="exact"/>
              <w:jc w:val="left"/>
              <w:rPr>
                <w:position w:val="2"/>
              </w:rPr>
            </w:pPr>
            <w:r w:rsidRPr="0013186E">
              <w:rPr>
                <w:position w:val="2"/>
                <w:rtl/>
              </w:rPr>
              <w:t>الموظفون مدعوون إلى اتخاذ إجراءات من خلال وضع خطط تدريب لمعالجة الوضع بالتعاون مع مشرفيهم.</w:t>
            </w:r>
          </w:p>
        </w:tc>
      </w:tr>
      <w:tr w:rsidR="00C12669" w:rsidRPr="00C12669" w14:paraId="798C6797" w14:textId="77777777" w:rsidTr="0013186E">
        <w:trPr>
          <w:cantSplit/>
        </w:trPr>
        <w:tc>
          <w:tcPr>
            <w:tcW w:w="291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30378" w14:textId="72EF6A07" w:rsidR="00C12669" w:rsidRPr="0013186E" w:rsidRDefault="00C12669" w:rsidP="004F407E">
            <w:pPr>
              <w:pStyle w:val="Tabletexte"/>
              <w:keepNext/>
              <w:keepLines/>
              <w:tabs>
                <w:tab w:val="clear" w:pos="794"/>
                <w:tab w:val="left" w:pos="489"/>
              </w:tabs>
              <w:spacing w:line="280" w:lineRule="exact"/>
              <w:rPr>
                <w:position w:val="2"/>
                <w:rtl/>
              </w:rPr>
            </w:pPr>
            <w:r w:rsidRPr="0013186E">
              <w:rPr>
                <w:position w:val="2"/>
              </w:rPr>
              <w:lastRenderedPageBreak/>
              <w:t>15</w:t>
            </w:r>
            <w:r w:rsidRPr="0013186E">
              <w:rPr>
                <w:position w:val="2"/>
                <w:rtl/>
              </w:rPr>
              <w:tab/>
              <w:t>تَتبُّع توصيات هيئات الرقابة/</w:t>
            </w:r>
            <w:r w:rsidR="00DD5757">
              <w:rPr>
                <w:rFonts w:hint="cs"/>
                <w:position w:val="2"/>
                <w:rtl/>
              </w:rPr>
              <w:t xml:space="preserve"> </w:t>
            </w:r>
            <w:r w:rsidRPr="0013186E">
              <w:rPr>
                <w:position w:val="2"/>
                <w:rtl/>
              </w:rPr>
              <w:t>عمليات المراجعة والتقيـيم الداخليـة وتنفيذها، أو تقديم تبريرات واضحة في حال عدم فعل ذلك.</w:t>
            </w: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8DCD9" w14:textId="77777777" w:rsidR="00C12669" w:rsidRPr="0013186E" w:rsidRDefault="00C12669" w:rsidP="004F407E">
            <w:pPr>
              <w:pStyle w:val="Tabletexte"/>
              <w:keepNext/>
              <w:keepLines/>
              <w:spacing w:line="280" w:lineRule="exact"/>
              <w:rPr>
                <w:position w:val="2"/>
              </w:rPr>
            </w:pPr>
            <w:r w:rsidRPr="0013186E">
              <w:rPr>
                <w:position w:val="2"/>
                <w:rtl/>
              </w:rPr>
              <w:t>سياسة الإفصاح عن المعلومات</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C0D4AE6" w14:textId="463FE055" w:rsidR="00C12669"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74FF19C4" w14:textId="6CF52524" w:rsidR="00C12669" w:rsidRPr="0013186E" w:rsidRDefault="0074488F" w:rsidP="004F407E">
            <w:pPr>
              <w:pStyle w:val="Tabletexte"/>
              <w:keepNext/>
              <w:keepLines/>
              <w:spacing w:line="280" w:lineRule="exact"/>
              <w:jc w:val="left"/>
              <w:rPr>
                <w:position w:val="2"/>
              </w:rPr>
            </w:pPr>
            <w:r w:rsidRPr="0013186E">
              <w:rPr>
                <w:rFonts w:hint="cs"/>
                <w:position w:val="2"/>
                <w:rtl/>
              </w:rPr>
              <w:t>دخلت</w:t>
            </w:r>
            <w:r w:rsidR="00C12669" w:rsidRPr="0013186E">
              <w:rPr>
                <w:position w:val="2"/>
                <w:rtl/>
              </w:rPr>
              <w:t xml:space="preserve"> سياسة الاتحاد بشأن النفاذ إلى المعلومات/الوثائق حيز النفاذ في </w:t>
            </w:r>
            <w:r w:rsidR="00C12669" w:rsidRPr="0013186E">
              <w:rPr>
                <w:position w:val="2"/>
              </w:rPr>
              <w:t>1</w:t>
            </w:r>
            <w:r w:rsidR="00C12669" w:rsidRPr="0013186E">
              <w:rPr>
                <w:position w:val="2"/>
                <w:rtl/>
              </w:rPr>
              <w:t> يناير </w:t>
            </w:r>
            <w:r w:rsidR="00C12669" w:rsidRPr="0013186E">
              <w:rPr>
                <w:position w:val="2"/>
              </w:rPr>
              <w:t>2017</w:t>
            </w:r>
            <w:r w:rsidR="00C12669" w:rsidRPr="0013186E">
              <w:rPr>
                <w:position w:val="2"/>
                <w:rtl/>
              </w:rPr>
              <w:t>.</w:t>
            </w:r>
          </w:p>
        </w:tc>
      </w:tr>
      <w:tr w:rsidR="00C12669" w:rsidRPr="00C12669" w14:paraId="378DB87D"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1A6F0192" w14:textId="77777777" w:rsidR="00C12669" w:rsidRPr="0013186E" w:rsidRDefault="00C12669" w:rsidP="004F407E">
            <w:pPr>
              <w:keepNext/>
              <w:keepLine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BFF4E" w14:textId="77777777" w:rsidR="00C12669" w:rsidRPr="0013186E" w:rsidRDefault="00C12669" w:rsidP="004F407E">
            <w:pPr>
              <w:pStyle w:val="Tabletexte"/>
              <w:keepNext/>
              <w:keepLines/>
              <w:spacing w:line="280" w:lineRule="exact"/>
              <w:rPr>
                <w:position w:val="2"/>
              </w:rPr>
            </w:pPr>
            <w:r w:rsidRPr="0013186E">
              <w:rPr>
                <w:position w:val="2"/>
                <w:rtl/>
              </w:rPr>
              <w:t>إبلاغ توصيات الرقابة الخارجية والداخلية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E9E0ED5" w14:textId="77777777" w:rsidR="00C12669"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60ABBD65" w14:textId="77777777" w:rsidR="00C12669" w:rsidRPr="0013186E" w:rsidRDefault="00C12669" w:rsidP="004F407E">
            <w:pPr>
              <w:pStyle w:val="Tabletexte"/>
              <w:keepNext/>
              <w:keepLines/>
              <w:spacing w:line="280" w:lineRule="exact"/>
              <w:jc w:val="left"/>
              <w:rPr>
                <w:position w:val="2"/>
              </w:rPr>
            </w:pPr>
            <w:r w:rsidRPr="0013186E">
              <w:rPr>
                <w:position w:val="2"/>
                <w:rtl/>
              </w:rPr>
              <w:t>يحصل الأمين العام واللجنة الاستشارية المستقلة للإدارة على تحديثات منتظمة بشأن تنفيذ توصيات التدقيق الداخلي والتدقيق الخارجي.</w:t>
            </w:r>
          </w:p>
        </w:tc>
      </w:tr>
      <w:tr w:rsidR="00C12669" w:rsidRPr="00C12669" w14:paraId="688E333D" w14:textId="77777777" w:rsidTr="0013186E">
        <w:trPr>
          <w:cantSplit/>
        </w:trPr>
        <w:tc>
          <w:tcPr>
            <w:tcW w:w="2912" w:type="dxa"/>
            <w:vMerge/>
            <w:tcBorders>
              <w:top w:val="single" w:sz="4" w:space="0" w:color="auto"/>
              <w:left w:val="single" w:sz="4" w:space="0" w:color="auto"/>
              <w:bottom w:val="single" w:sz="4" w:space="0" w:color="auto"/>
              <w:right w:val="single" w:sz="4" w:space="0" w:color="auto"/>
            </w:tcBorders>
            <w:vAlign w:val="center"/>
            <w:hideMark/>
          </w:tcPr>
          <w:p w14:paraId="52EB635C" w14:textId="77777777" w:rsidR="00C12669" w:rsidRPr="0013186E" w:rsidRDefault="00C12669" w:rsidP="004F407E">
            <w:pPr>
              <w:keepNext/>
              <w:keepLines/>
              <w:spacing w:before="60" w:after="60" w:line="280" w:lineRule="exact"/>
              <w:jc w:val="left"/>
              <w:rPr>
                <w:rFonts w:eastAsia="Times New Roman"/>
                <w:position w:val="2"/>
                <w:sz w:val="20"/>
                <w:szCs w:val="20"/>
                <w:lang w:val="fr-FR" w:eastAsia="en-US" w:bidi="ar-EG"/>
              </w:rPr>
            </w:pPr>
          </w:p>
        </w:tc>
        <w:tc>
          <w:tcPr>
            <w:tcW w:w="3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F92FF" w14:textId="77777777" w:rsidR="00C12669" w:rsidRPr="0013186E" w:rsidRDefault="00C12669" w:rsidP="004F407E">
            <w:pPr>
              <w:pStyle w:val="Tabletexte"/>
              <w:keepNext/>
              <w:keepLines/>
              <w:spacing w:line="280" w:lineRule="exact"/>
              <w:rPr>
                <w:position w:val="2"/>
              </w:rPr>
            </w:pPr>
            <w:r w:rsidRPr="0013186E">
              <w:rPr>
                <w:position w:val="2"/>
                <w:rtl/>
              </w:rPr>
              <w:t>تتبُّع توصيات عمليات المراجعة الداخلية والخارجيـة وهيئـات الرقابـة والتقييمات الداخلية والمستقلة والتقييمات الذاتية</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6C6FA8F" w14:textId="77777777" w:rsidR="00C12669" w:rsidRPr="0013186E" w:rsidRDefault="00C12669" w:rsidP="004F407E">
            <w:pPr>
              <w:pStyle w:val="Tabletexte"/>
              <w:keepNext/>
              <w:keepLines/>
              <w:spacing w:line="280" w:lineRule="exact"/>
              <w:jc w:val="center"/>
              <w:rPr>
                <w:position w:val="2"/>
              </w:rPr>
            </w:pPr>
            <w:r w:rsidRPr="0013186E">
              <w:rPr>
                <w:position w:val="2"/>
              </w:rPr>
              <w:sym w:font="Wingdings" w:char="F0FC"/>
            </w:r>
          </w:p>
        </w:tc>
        <w:tc>
          <w:tcPr>
            <w:tcW w:w="6373" w:type="dxa"/>
            <w:tcBorders>
              <w:top w:val="single" w:sz="4" w:space="0" w:color="auto"/>
              <w:left w:val="single" w:sz="4" w:space="0" w:color="auto"/>
              <w:bottom w:val="single" w:sz="4" w:space="0" w:color="auto"/>
              <w:right w:val="single" w:sz="4" w:space="0" w:color="auto"/>
            </w:tcBorders>
            <w:vAlign w:val="center"/>
            <w:hideMark/>
          </w:tcPr>
          <w:p w14:paraId="3A870316" w14:textId="77777777" w:rsidR="00C12669" w:rsidRPr="00DD5757" w:rsidRDefault="00C12669" w:rsidP="004F407E">
            <w:pPr>
              <w:pStyle w:val="Tabletexte"/>
              <w:keepNext/>
              <w:keepLines/>
              <w:spacing w:line="280" w:lineRule="exact"/>
              <w:jc w:val="left"/>
              <w:rPr>
                <w:spacing w:val="-2"/>
                <w:position w:val="2"/>
              </w:rPr>
            </w:pPr>
            <w:r w:rsidRPr="00DD5757">
              <w:rPr>
                <w:spacing w:val="-2"/>
                <w:position w:val="2"/>
                <w:rtl/>
              </w:rPr>
              <w:t>يتابع فريق</w:t>
            </w:r>
            <w:r w:rsidRPr="00DD5757">
              <w:rPr>
                <w:spacing w:val="-2"/>
                <w:position w:val="2"/>
              </w:rPr>
              <w:t> </w:t>
            </w:r>
            <w:r w:rsidRPr="00DD5757">
              <w:rPr>
                <w:spacing w:val="-2"/>
                <w:position w:val="2"/>
                <w:rtl/>
              </w:rPr>
              <w:t xml:space="preserve">العمل التابع للمجلس والمعني بالموارد المالية والبشرية جميع توصيات المدققين الخارجيين واللجنة الاستشارية المستقلة للإدارة ويشرف عليها. ويُعكف على تتبع توصيات اللجنة وتنفيذها وترفع النتائج إلى فريق العمل والمجلس في تقارير مفصلة. </w:t>
            </w:r>
          </w:p>
        </w:tc>
      </w:tr>
    </w:tbl>
    <w:p w14:paraId="2718A7A4" w14:textId="77777777" w:rsidR="00487D93" w:rsidRDefault="00487D93" w:rsidP="00953826">
      <w:pPr>
        <w:pStyle w:val="Headingb"/>
        <w:rPr>
          <w:rtl/>
        </w:rPr>
      </w:pPr>
    </w:p>
    <w:p w14:paraId="7FAFCA68" w14:textId="77777777" w:rsidR="00487D93" w:rsidRDefault="00487D93">
      <w:pPr>
        <w:tabs>
          <w:tab w:val="clear" w:pos="794"/>
        </w:tabs>
        <w:bidi w:val="0"/>
        <w:spacing w:before="0" w:after="160" w:line="259" w:lineRule="auto"/>
        <w:jc w:val="left"/>
        <w:rPr>
          <w:b/>
          <w:bCs/>
          <w:rtl/>
        </w:rPr>
      </w:pPr>
      <w:r>
        <w:rPr>
          <w:rtl/>
        </w:rPr>
        <w:br w:type="page"/>
      </w:r>
    </w:p>
    <w:p w14:paraId="3250999B" w14:textId="77E3F80C" w:rsidR="00F9353A" w:rsidRDefault="00F9353A" w:rsidP="00DD5757">
      <w:pPr>
        <w:pStyle w:val="Headingb"/>
        <w:spacing w:after="120"/>
        <w:rPr>
          <w:rFonts w:ascii="Calibri" w:eastAsia="Times New Roman" w:hAnsi="Calibri" w:cs="Traditional Arabic"/>
          <w:sz w:val="24"/>
          <w:szCs w:val="32"/>
          <w:lang w:eastAsia="en-US"/>
        </w:rPr>
      </w:pPr>
      <w:r>
        <w:rPr>
          <w:rtl/>
        </w:rPr>
        <w:lastRenderedPageBreak/>
        <w:t xml:space="preserve">الدعامة </w:t>
      </w:r>
      <w:r>
        <w:t>3</w:t>
      </w:r>
    </w:p>
    <w:tbl>
      <w:tblPr>
        <w:tblStyle w:val="TableGrid"/>
        <w:bidiVisual/>
        <w:tblW w:w="5000" w:type="pct"/>
        <w:tblInd w:w="-5" w:type="dxa"/>
        <w:tblLayout w:type="fixed"/>
        <w:tblLook w:val="04A0" w:firstRow="1" w:lastRow="0" w:firstColumn="1" w:lastColumn="0" w:noHBand="0" w:noVBand="1"/>
      </w:tblPr>
      <w:tblGrid>
        <w:gridCol w:w="2636"/>
        <w:gridCol w:w="4157"/>
        <w:gridCol w:w="1113"/>
        <w:gridCol w:w="6372"/>
      </w:tblGrid>
      <w:tr w:rsidR="00F9353A" w:rsidRPr="00DD5757" w14:paraId="3F6FD526" w14:textId="77777777" w:rsidTr="00487D93">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9219F1B" w14:textId="77777777" w:rsidR="00F9353A" w:rsidRPr="00DD5757" w:rsidRDefault="00F9353A" w:rsidP="00DD5757">
            <w:pPr>
              <w:pStyle w:val="Tablehead0"/>
              <w:bidi/>
              <w:spacing w:line="280" w:lineRule="exact"/>
              <w:rPr>
                <w:position w:val="2"/>
                <w:sz w:val="20"/>
                <w:szCs w:val="20"/>
              </w:rPr>
            </w:pPr>
            <w:r w:rsidRPr="00DD5757">
              <w:rPr>
                <w:position w:val="2"/>
                <w:sz w:val="20"/>
                <w:szCs w:val="20"/>
                <w:rtl/>
              </w:rPr>
              <w:t>المعيار المرجعي</w:t>
            </w:r>
          </w:p>
        </w:tc>
        <w:tc>
          <w:tcPr>
            <w:tcW w:w="415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E1B9CE" w14:textId="77777777" w:rsidR="00F9353A" w:rsidRPr="00DD5757" w:rsidRDefault="00F9353A" w:rsidP="00DD5757">
            <w:pPr>
              <w:pStyle w:val="Tablehead0"/>
              <w:bidi/>
              <w:spacing w:line="280" w:lineRule="exact"/>
              <w:rPr>
                <w:position w:val="2"/>
                <w:sz w:val="20"/>
                <w:szCs w:val="20"/>
              </w:rPr>
            </w:pPr>
            <w:r w:rsidRPr="00DD5757">
              <w:rPr>
                <w:position w:val="2"/>
                <w:sz w:val="20"/>
                <w:szCs w:val="20"/>
                <w:rtl/>
              </w:rPr>
              <w:t>الأدوات</w:t>
            </w:r>
          </w:p>
        </w:tc>
        <w:tc>
          <w:tcPr>
            <w:tcW w:w="11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A1FC5C" w14:textId="77777777" w:rsidR="00F9353A" w:rsidRPr="00DD5757" w:rsidRDefault="00F9353A" w:rsidP="00DD5757">
            <w:pPr>
              <w:pStyle w:val="Tablehead0"/>
              <w:bidi/>
              <w:spacing w:line="280" w:lineRule="exact"/>
              <w:rPr>
                <w:position w:val="2"/>
                <w:sz w:val="20"/>
                <w:szCs w:val="20"/>
              </w:rPr>
            </w:pPr>
            <w:r w:rsidRPr="00DD5757">
              <w:rPr>
                <w:position w:val="2"/>
                <w:sz w:val="20"/>
                <w:szCs w:val="20"/>
                <w:rtl/>
              </w:rPr>
              <w:t>الحالة</w:t>
            </w:r>
          </w:p>
        </w:tc>
        <w:tc>
          <w:tcPr>
            <w:tcW w:w="637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5B3E3F" w14:textId="77777777" w:rsidR="00F9353A" w:rsidRPr="00DD5757" w:rsidRDefault="00F9353A" w:rsidP="00DD5757">
            <w:pPr>
              <w:pStyle w:val="Tablehead0"/>
              <w:bidi/>
              <w:spacing w:line="280" w:lineRule="exact"/>
              <w:rPr>
                <w:position w:val="2"/>
                <w:sz w:val="20"/>
                <w:szCs w:val="20"/>
              </w:rPr>
            </w:pPr>
            <w:r w:rsidRPr="00DD5757">
              <w:rPr>
                <w:position w:val="2"/>
                <w:sz w:val="20"/>
                <w:szCs w:val="20"/>
                <w:rtl/>
              </w:rPr>
              <w:t>التعليق</w:t>
            </w:r>
          </w:p>
        </w:tc>
      </w:tr>
      <w:tr w:rsidR="00F9353A" w:rsidRPr="00DD5757" w14:paraId="7D29149F" w14:textId="77777777" w:rsidTr="00DD5757">
        <w:tc>
          <w:tcPr>
            <w:tcW w:w="263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0D99D" w14:textId="77777777" w:rsidR="00F9353A" w:rsidRPr="00DD5757" w:rsidRDefault="00F9353A" w:rsidP="00DD5757">
            <w:pPr>
              <w:pStyle w:val="Tabletexte"/>
              <w:tabs>
                <w:tab w:val="clear" w:pos="794"/>
                <w:tab w:val="left" w:pos="489"/>
              </w:tabs>
              <w:spacing w:line="280" w:lineRule="exact"/>
              <w:rPr>
                <w:spacing w:val="-4"/>
                <w:position w:val="2"/>
              </w:rPr>
            </w:pPr>
            <w:r w:rsidRPr="00DD5757">
              <w:rPr>
                <w:spacing w:val="-4"/>
                <w:position w:val="2"/>
              </w:rPr>
              <w:t>16</w:t>
            </w:r>
            <w:r w:rsidRPr="00DD5757">
              <w:rPr>
                <w:spacing w:val="-4"/>
                <w:position w:val="2"/>
                <w:rtl/>
              </w:rPr>
              <w:tab/>
              <w:t>لجوء الموظفين إلى آليات الشكاوى غير الرسمية</w:t>
            </w:r>
            <w:r w:rsidRPr="00DD5757">
              <w:rPr>
                <w:spacing w:val="-4"/>
                <w:position w:val="2"/>
              </w:rPr>
              <w:t>.</w:t>
            </w:r>
          </w:p>
        </w:tc>
        <w:tc>
          <w:tcPr>
            <w:tcW w:w="41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92875" w14:textId="77777777" w:rsidR="00F9353A" w:rsidRPr="00DD5757" w:rsidRDefault="00F9353A" w:rsidP="00DD5757">
            <w:pPr>
              <w:pStyle w:val="Tabletexte"/>
              <w:spacing w:line="280" w:lineRule="exact"/>
              <w:rPr>
                <w:position w:val="2"/>
              </w:rPr>
            </w:pPr>
            <w:r w:rsidRPr="00DD5757">
              <w:rPr>
                <w:position w:val="2"/>
                <w:rtl/>
              </w:rPr>
              <w:t>عرض إجراءات التظلم/النقض غير الرسمية في وثيقة و/أو كتيب سياسات</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2521B32" w14:textId="77777777" w:rsidR="00F9353A" w:rsidRPr="00DD5757" w:rsidRDefault="00F9353A" w:rsidP="00DD5757">
            <w:pPr>
              <w:pStyle w:val="Tabletexte"/>
              <w:spacing w:line="280" w:lineRule="exact"/>
              <w:jc w:val="center"/>
              <w:rPr>
                <w:position w:val="2"/>
              </w:rPr>
            </w:pPr>
            <w:r w:rsidRPr="00DD5757">
              <w:rPr>
                <w:position w:val="2"/>
                <w:rtl/>
              </w:rPr>
              <w:t>لا تنطبق</w:t>
            </w:r>
          </w:p>
        </w:tc>
        <w:tc>
          <w:tcPr>
            <w:tcW w:w="6372" w:type="dxa"/>
            <w:tcBorders>
              <w:top w:val="single" w:sz="4" w:space="0" w:color="auto"/>
              <w:left w:val="single" w:sz="4" w:space="0" w:color="auto"/>
              <w:bottom w:val="single" w:sz="4" w:space="0" w:color="auto"/>
              <w:right w:val="single" w:sz="4" w:space="0" w:color="auto"/>
            </w:tcBorders>
            <w:vAlign w:val="center"/>
            <w:hideMark/>
          </w:tcPr>
          <w:p w14:paraId="52EA2F65" w14:textId="77777777" w:rsidR="00F9353A" w:rsidRPr="00DD5757" w:rsidRDefault="00F9353A" w:rsidP="00DD5757">
            <w:pPr>
              <w:pStyle w:val="Tabletexte"/>
              <w:spacing w:line="280" w:lineRule="exact"/>
              <w:jc w:val="left"/>
              <w:rPr>
                <w:position w:val="2"/>
              </w:rPr>
            </w:pPr>
            <w:r w:rsidRPr="00DD5757">
              <w:rPr>
                <w:position w:val="2"/>
                <w:rtl/>
              </w:rPr>
              <w:t>كل إجراء مدرج في الأمر الإداري ذي الصلة.</w:t>
            </w:r>
          </w:p>
        </w:tc>
      </w:tr>
      <w:tr w:rsidR="00F9353A" w:rsidRPr="00DD5757" w14:paraId="3BFF5BB2" w14:textId="77777777" w:rsidTr="00DD5757">
        <w:tc>
          <w:tcPr>
            <w:tcW w:w="2636" w:type="dxa"/>
            <w:vMerge/>
            <w:tcBorders>
              <w:top w:val="single" w:sz="4" w:space="0" w:color="auto"/>
              <w:left w:val="single" w:sz="4" w:space="0" w:color="auto"/>
              <w:bottom w:val="single" w:sz="4" w:space="0" w:color="auto"/>
              <w:right w:val="single" w:sz="4" w:space="0" w:color="auto"/>
            </w:tcBorders>
            <w:vAlign w:val="center"/>
            <w:hideMark/>
          </w:tcPr>
          <w:p w14:paraId="2C091D49" w14:textId="77777777" w:rsidR="00F9353A" w:rsidRPr="00DD5757" w:rsidRDefault="00F9353A" w:rsidP="00DD5757">
            <w:pPr>
              <w:tabs>
                <w:tab w:val="clear" w:pos="794"/>
                <w:tab w:val="left" w:pos="489"/>
              </w:tabs>
              <w:spacing w:before="60" w:after="60" w:line="280" w:lineRule="exact"/>
              <w:jc w:val="left"/>
              <w:rPr>
                <w:rFonts w:ascii="Calibri" w:eastAsia="Times New Roman" w:hAnsi="Calibri" w:cs="Traditional Arabic"/>
                <w:position w:val="2"/>
                <w:sz w:val="20"/>
                <w:szCs w:val="20"/>
                <w:lang w:val="fr-FR" w:eastAsia="en-US" w:bidi="ar-EG"/>
              </w:rPr>
            </w:pPr>
          </w:p>
        </w:tc>
        <w:tc>
          <w:tcPr>
            <w:tcW w:w="41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5475E" w14:textId="77777777" w:rsidR="00F9353A" w:rsidRPr="00DD5757" w:rsidRDefault="00F9353A" w:rsidP="00DD5757">
            <w:pPr>
              <w:pStyle w:val="Tabletexte"/>
              <w:spacing w:line="280" w:lineRule="exact"/>
              <w:rPr>
                <w:position w:val="2"/>
              </w:rPr>
            </w:pPr>
            <w:r w:rsidRPr="00DD5757">
              <w:rPr>
                <w:position w:val="2"/>
                <w:rtl/>
              </w:rPr>
              <w:t>وجود وظيفة وسيط أو أمين مظالم</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97FD6C9" w14:textId="77777777" w:rsidR="00F9353A" w:rsidRPr="00DD5757" w:rsidRDefault="00F9353A" w:rsidP="00DD5757">
            <w:pPr>
              <w:pStyle w:val="Tabletexte"/>
              <w:spacing w:line="280" w:lineRule="exact"/>
              <w:jc w:val="center"/>
              <w:rPr>
                <w:position w:val="2"/>
              </w:rPr>
            </w:pPr>
            <w:r w:rsidRPr="00DD5757">
              <w:rPr>
                <w:position w:val="2"/>
              </w:rPr>
              <w:sym w:font="Wingdings" w:char="F0FC"/>
            </w:r>
          </w:p>
        </w:tc>
        <w:tc>
          <w:tcPr>
            <w:tcW w:w="6372" w:type="dxa"/>
            <w:tcBorders>
              <w:top w:val="single" w:sz="4" w:space="0" w:color="auto"/>
              <w:left w:val="single" w:sz="4" w:space="0" w:color="auto"/>
              <w:bottom w:val="single" w:sz="4" w:space="0" w:color="auto"/>
              <w:right w:val="single" w:sz="4" w:space="0" w:color="auto"/>
            </w:tcBorders>
            <w:vAlign w:val="center"/>
          </w:tcPr>
          <w:p w14:paraId="685FBDC0" w14:textId="77777777" w:rsidR="00F9353A" w:rsidRPr="00DD5757" w:rsidRDefault="00F9353A" w:rsidP="00DD5757">
            <w:pPr>
              <w:pStyle w:val="Tabletext12"/>
              <w:jc w:val="left"/>
              <w:rPr>
                <w:position w:val="2"/>
                <w:sz w:val="20"/>
                <w:szCs w:val="20"/>
              </w:rPr>
            </w:pPr>
          </w:p>
        </w:tc>
      </w:tr>
      <w:tr w:rsidR="00DD5757" w:rsidRPr="00DD5757" w14:paraId="2D7FB1F1" w14:textId="77777777" w:rsidTr="00F73F25">
        <w:tc>
          <w:tcPr>
            <w:tcW w:w="2636" w:type="dxa"/>
            <w:vMerge w:val="restart"/>
            <w:tcBorders>
              <w:top w:val="single" w:sz="4" w:space="0" w:color="auto"/>
              <w:left w:val="single" w:sz="4" w:space="0" w:color="auto"/>
              <w:right w:val="single" w:sz="4" w:space="0" w:color="auto"/>
            </w:tcBorders>
            <w:shd w:val="clear" w:color="auto" w:fill="FFFFFF" w:themeFill="background1"/>
            <w:hideMark/>
          </w:tcPr>
          <w:p w14:paraId="4E6D998C" w14:textId="5A46171E" w:rsidR="00DD5757" w:rsidRPr="00DD5757" w:rsidRDefault="00DD5757" w:rsidP="00DD5757">
            <w:pPr>
              <w:pStyle w:val="Tabletexte"/>
              <w:tabs>
                <w:tab w:val="clear" w:pos="794"/>
                <w:tab w:val="left" w:pos="489"/>
              </w:tabs>
              <w:spacing w:line="280" w:lineRule="exact"/>
              <w:rPr>
                <w:position w:val="2"/>
              </w:rPr>
            </w:pPr>
            <w:r w:rsidRPr="00DD5757">
              <w:rPr>
                <w:position w:val="2"/>
              </w:rPr>
              <w:t>17</w:t>
            </w:r>
            <w:r w:rsidRPr="00DD5757">
              <w:rPr>
                <w:position w:val="2"/>
                <w:rtl/>
              </w:rPr>
              <w:tab/>
            </w:r>
            <w:r w:rsidRPr="00DD5757">
              <w:rPr>
                <w:spacing w:val="4"/>
                <w:position w:val="2"/>
                <w:rtl/>
              </w:rPr>
              <w:t>إمكانية لجوء الموظفين والمستشارين وغـير المـوظفين وأصـحاب المصلحة/المستفيدين إلى آليات الشكاوى الرسمية ووجود آليات لدى المنظمات للاستجابة لتلك الشكاوى</w:t>
            </w:r>
          </w:p>
        </w:tc>
        <w:tc>
          <w:tcPr>
            <w:tcW w:w="41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8808D" w14:textId="77777777" w:rsidR="00DD5757" w:rsidRPr="00DD5757" w:rsidRDefault="00DD5757" w:rsidP="00DD5757">
            <w:pPr>
              <w:pStyle w:val="Tabletexte"/>
              <w:spacing w:line="280" w:lineRule="exact"/>
              <w:rPr>
                <w:position w:val="2"/>
              </w:rPr>
            </w:pPr>
            <w:r w:rsidRPr="00DD5757">
              <w:rPr>
                <w:position w:val="2"/>
                <w:rtl/>
              </w:rPr>
              <w:t>وظيفة التحقيق، وخطوط الاتصال المباشـر، واسـتمارات الـشكاوى، للموظفين والأفراد الخارجيين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4588242" w14:textId="77777777" w:rsidR="00DD5757" w:rsidRPr="00DD5757" w:rsidRDefault="00DD5757" w:rsidP="00DD5757">
            <w:pPr>
              <w:pStyle w:val="Tabletexte"/>
              <w:spacing w:line="280" w:lineRule="exact"/>
              <w:jc w:val="center"/>
              <w:rPr>
                <w:position w:val="2"/>
              </w:rPr>
            </w:pPr>
            <w:r w:rsidRPr="00DD5757">
              <w:rPr>
                <w:position w:val="2"/>
              </w:rPr>
              <w:sym w:font="Wingdings" w:char="F0FC"/>
            </w:r>
          </w:p>
        </w:tc>
        <w:tc>
          <w:tcPr>
            <w:tcW w:w="6372" w:type="dxa"/>
            <w:tcBorders>
              <w:top w:val="single" w:sz="4" w:space="0" w:color="auto"/>
              <w:left w:val="single" w:sz="4" w:space="0" w:color="auto"/>
              <w:bottom w:val="single" w:sz="4" w:space="0" w:color="auto"/>
              <w:right w:val="single" w:sz="4" w:space="0" w:color="auto"/>
            </w:tcBorders>
            <w:vAlign w:val="center"/>
            <w:hideMark/>
          </w:tcPr>
          <w:p w14:paraId="7289DA11" w14:textId="3723578A" w:rsidR="00DD5757" w:rsidRPr="00DD5757" w:rsidRDefault="00DD5757" w:rsidP="00DD5757">
            <w:pPr>
              <w:pStyle w:val="Tabletexte"/>
              <w:spacing w:line="280" w:lineRule="exact"/>
              <w:jc w:val="left"/>
              <w:rPr>
                <w:position w:val="2"/>
              </w:rPr>
            </w:pPr>
            <w:r w:rsidRPr="00DD5757">
              <w:rPr>
                <w:rFonts w:hint="cs"/>
                <w:position w:val="2"/>
                <w:rtl/>
              </w:rPr>
              <w:t>لا يمكن</w:t>
            </w:r>
            <w:r w:rsidRPr="00DD5757">
              <w:rPr>
                <w:position w:val="2"/>
                <w:rtl/>
              </w:rPr>
              <w:t xml:space="preserve"> </w:t>
            </w:r>
            <w:r w:rsidRPr="00DD5757">
              <w:rPr>
                <w:rFonts w:hint="cs"/>
                <w:position w:val="2"/>
                <w:rtl/>
              </w:rPr>
              <w:t>لل</w:t>
            </w:r>
            <w:r w:rsidRPr="00DD5757">
              <w:rPr>
                <w:position w:val="2"/>
                <w:rtl/>
              </w:rPr>
              <w:t xml:space="preserve">استشاريين وغير الموظفين الوصول إلى المحكمة الإدارية لمنظمـة العمل الدولية ومحكمة الأمم المتحدة للمنازعات. وتتضمن اتفاقات الخدمة الخاصة </w:t>
            </w:r>
            <w:r w:rsidRPr="00DD5757">
              <w:rPr>
                <w:position w:val="2"/>
              </w:rPr>
              <w:t>(SSA)</w:t>
            </w:r>
            <w:r w:rsidRPr="00DD5757">
              <w:rPr>
                <w:position w:val="2"/>
                <w:rtl/>
              </w:rPr>
              <w:t xml:space="preserve"> حكماً بشأن تسوية المنازعات بطريقة غير رسمية واللجوء إلى التحكيم.</w:t>
            </w:r>
          </w:p>
        </w:tc>
      </w:tr>
      <w:tr w:rsidR="00DD5757" w:rsidRPr="00DD5757" w14:paraId="67ADE5B4" w14:textId="77777777" w:rsidTr="00F73F25">
        <w:trPr>
          <w:trHeight w:val="779"/>
        </w:trPr>
        <w:tc>
          <w:tcPr>
            <w:tcW w:w="2636" w:type="dxa"/>
            <w:vMerge/>
            <w:tcBorders>
              <w:left w:val="single" w:sz="4" w:space="0" w:color="auto"/>
              <w:right w:val="single" w:sz="4" w:space="0" w:color="auto"/>
            </w:tcBorders>
            <w:vAlign w:val="center"/>
            <w:hideMark/>
          </w:tcPr>
          <w:p w14:paraId="16DA3675" w14:textId="77777777" w:rsidR="00DD5757" w:rsidRPr="00DD5757" w:rsidRDefault="00DD5757" w:rsidP="00DD5757">
            <w:pPr>
              <w:spacing w:before="60" w:after="60" w:line="280" w:lineRule="exact"/>
              <w:jc w:val="left"/>
              <w:rPr>
                <w:rFonts w:ascii="Calibri" w:eastAsia="Times New Roman" w:hAnsi="Calibri" w:cs="Traditional Arabic"/>
                <w:position w:val="2"/>
                <w:sz w:val="20"/>
                <w:szCs w:val="20"/>
                <w:lang w:val="fr-FR" w:eastAsia="en-US" w:bidi="ar-EG"/>
              </w:rPr>
            </w:pPr>
          </w:p>
        </w:tc>
        <w:tc>
          <w:tcPr>
            <w:tcW w:w="41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7DA0E" w14:textId="77777777" w:rsidR="00DD5757" w:rsidRPr="00DD5757" w:rsidRDefault="00DD5757" w:rsidP="00DD5757">
            <w:pPr>
              <w:pStyle w:val="Tabletexte"/>
              <w:spacing w:line="280" w:lineRule="exact"/>
              <w:rPr>
                <w:spacing w:val="-2"/>
                <w:position w:val="2"/>
              </w:rPr>
            </w:pPr>
            <w:r w:rsidRPr="00DD5757">
              <w:rPr>
                <w:spacing w:val="-2"/>
                <w:position w:val="2"/>
                <w:rtl/>
              </w:rPr>
              <w:t>آليات التظلم: محكمة الأمم المتحدة للمنازعات والمحكمة الإدارية لمنظمـة العمل الدولية</w:t>
            </w:r>
          </w:p>
        </w:tc>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523BA" w14:textId="77777777" w:rsidR="00DD5757" w:rsidRPr="00DD5757" w:rsidRDefault="00DD5757" w:rsidP="00DD5757">
            <w:pPr>
              <w:pStyle w:val="Tabletexte"/>
              <w:spacing w:line="280" w:lineRule="exact"/>
              <w:jc w:val="center"/>
              <w:rPr>
                <w:position w:val="2"/>
              </w:rPr>
            </w:pPr>
            <w:r w:rsidRPr="00DD5757">
              <w:rPr>
                <w:position w:val="2"/>
              </w:rPr>
              <w:sym w:font="Wingdings" w:char="F0FC"/>
            </w:r>
          </w:p>
        </w:tc>
        <w:tc>
          <w:tcPr>
            <w:tcW w:w="6372" w:type="dxa"/>
            <w:tcBorders>
              <w:top w:val="single" w:sz="4" w:space="0" w:color="auto"/>
              <w:left w:val="single" w:sz="4" w:space="0" w:color="auto"/>
              <w:bottom w:val="single" w:sz="4" w:space="0" w:color="auto"/>
              <w:right w:val="single" w:sz="4" w:space="0" w:color="auto"/>
            </w:tcBorders>
            <w:vAlign w:val="center"/>
            <w:hideMark/>
          </w:tcPr>
          <w:p w14:paraId="76D86BD6" w14:textId="77777777" w:rsidR="00DD5757" w:rsidRPr="00DD5757" w:rsidRDefault="00DD5757" w:rsidP="00DD5757">
            <w:pPr>
              <w:pStyle w:val="Tabletexte"/>
              <w:spacing w:line="280" w:lineRule="exact"/>
              <w:jc w:val="left"/>
              <w:rPr>
                <w:position w:val="2"/>
              </w:rPr>
            </w:pPr>
            <w:r w:rsidRPr="00DD5757">
              <w:rPr>
                <w:position w:val="2"/>
                <w:rtl/>
              </w:rPr>
              <w:t>متاحة للموظفين المنتظمين والموظفين بعقود قصيرة المدة، والتحكيم للاستشاريين وغير الموظفين.</w:t>
            </w:r>
          </w:p>
        </w:tc>
      </w:tr>
      <w:tr w:rsidR="00DD5757" w:rsidRPr="00DD5757" w14:paraId="3A63F805" w14:textId="77777777" w:rsidTr="00DD5757">
        <w:trPr>
          <w:trHeight w:val="476"/>
        </w:trPr>
        <w:tc>
          <w:tcPr>
            <w:tcW w:w="2636" w:type="dxa"/>
            <w:vMerge/>
            <w:tcBorders>
              <w:left w:val="single" w:sz="4" w:space="0" w:color="auto"/>
              <w:bottom w:val="single" w:sz="4" w:space="0" w:color="auto"/>
              <w:right w:val="single" w:sz="4" w:space="0" w:color="auto"/>
            </w:tcBorders>
            <w:vAlign w:val="center"/>
          </w:tcPr>
          <w:p w14:paraId="0ACC38F3" w14:textId="77777777" w:rsidR="00DD5757" w:rsidRPr="00DD5757" w:rsidRDefault="00DD5757" w:rsidP="00DD5757">
            <w:pPr>
              <w:spacing w:before="60" w:after="60" w:line="280" w:lineRule="exact"/>
              <w:jc w:val="left"/>
              <w:rPr>
                <w:rFonts w:ascii="Calibri" w:eastAsia="Times New Roman" w:hAnsi="Calibri" w:cs="Traditional Arabic"/>
                <w:position w:val="2"/>
                <w:sz w:val="20"/>
                <w:szCs w:val="20"/>
                <w:lang w:val="fr-FR" w:eastAsia="en-US" w:bidi="ar-EG"/>
              </w:rPr>
            </w:pPr>
          </w:p>
        </w:tc>
        <w:tc>
          <w:tcPr>
            <w:tcW w:w="4157" w:type="dxa"/>
            <w:tcBorders>
              <w:top w:val="single" w:sz="4" w:space="0" w:color="auto"/>
              <w:left w:val="single" w:sz="4" w:space="0" w:color="auto"/>
              <w:right w:val="single" w:sz="4" w:space="0" w:color="auto"/>
            </w:tcBorders>
            <w:shd w:val="clear" w:color="auto" w:fill="FFFFFF" w:themeFill="background1"/>
          </w:tcPr>
          <w:p w14:paraId="57B166D7" w14:textId="77777777" w:rsidR="00DD5757" w:rsidRPr="00DD5757" w:rsidRDefault="00DD5757" w:rsidP="00DD5757">
            <w:pPr>
              <w:pStyle w:val="Tabletexte"/>
              <w:spacing w:line="280" w:lineRule="exact"/>
              <w:rPr>
                <w:spacing w:val="-2"/>
                <w:position w:val="2"/>
                <w:rtl/>
              </w:rPr>
            </w:pPr>
          </w:p>
        </w:tc>
        <w:tc>
          <w:tcPr>
            <w:tcW w:w="1113" w:type="dxa"/>
            <w:tcBorders>
              <w:top w:val="single" w:sz="4" w:space="0" w:color="auto"/>
              <w:left w:val="single" w:sz="4" w:space="0" w:color="auto"/>
              <w:right w:val="single" w:sz="4" w:space="0" w:color="auto"/>
            </w:tcBorders>
            <w:shd w:val="clear" w:color="auto" w:fill="FFFFFF" w:themeFill="background1"/>
            <w:vAlign w:val="center"/>
          </w:tcPr>
          <w:p w14:paraId="4BC33885" w14:textId="77777777" w:rsidR="00DD5757" w:rsidRPr="00DD5757" w:rsidRDefault="00DD5757" w:rsidP="00DD5757">
            <w:pPr>
              <w:pStyle w:val="Tabletexte"/>
              <w:spacing w:line="280" w:lineRule="exact"/>
              <w:jc w:val="center"/>
              <w:rPr>
                <w:position w:val="2"/>
              </w:rPr>
            </w:pPr>
          </w:p>
        </w:tc>
        <w:tc>
          <w:tcPr>
            <w:tcW w:w="6372" w:type="dxa"/>
            <w:tcBorders>
              <w:top w:val="single" w:sz="4" w:space="0" w:color="auto"/>
              <w:left w:val="single" w:sz="4" w:space="0" w:color="auto"/>
              <w:right w:val="single" w:sz="4" w:space="0" w:color="auto"/>
            </w:tcBorders>
            <w:vAlign w:val="center"/>
          </w:tcPr>
          <w:p w14:paraId="1B5C2E2B" w14:textId="77777777" w:rsidR="00DD5757" w:rsidRPr="00DD5757" w:rsidRDefault="00DD5757" w:rsidP="00DD5757">
            <w:pPr>
              <w:pStyle w:val="Tabletexte"/>
              <w:spacing w:line="280" w:lineRule="exact"/>
              <w:jc w:val="left"/>
              <w:rPr>
                <w:position w:val="2"/>
                <w:rtl/>
              </w:rPr>
            </w:pPr>
          </w:p>
        </w:tc>
      </w:tr>
    </w:tbl>
    <w:p w14:paraId="373F2A40" w14:textId="0AB8B005" w:rsidR="00BB7213" w:rsidRPr="00DD5757" w:rsidRDefault="00DD5757" w:rsidP="00BB7213">
      <w:pPr>
        <w:spacing w:before="600"/>
        <w:jc w:val="center"/>
        <w:rPr>
          <w:rFonts w:ascii="Traditional Arabic" w:hAnsi="Traditional Arabic" w:cs="Traditional Arabic"/>
          <w:sz w:val="30"/>
          <w:szCs w:val="30"/>
          <w:rtl/>
          <w:lang w:bidi="ar-EG"/>
        </w:rPr>
      </w:pPr>
      <w:r w:rsidRPr="00DD5757">
        <w:rPr>
          <w:rFonts w:ascii="Traditional Arabic" w:hAnsi="Traditional Arabic" w:cs="Traditional Arabic"/>
          <w:sz w:val="30"/>
          <w:szCs w:val="30"/>
          <w:rtl/>
          <w:lang w:bidi="ar-EG"/>
        </w:rPr>
        <w:t>___________</w:t>
      </w:r>
    </w:p>
    <w:sectPr w:rsidR="00BB7213" w:rsidRPr="00DD5757" w:rsidSect="00F9353A">
      <w:headerReference w:type="first" r:id="rId22"/>
      <w:footerReference w:type="first" r:id="rId23"/>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2845" w14:textId="77777777" w:rsidR="00F9353A" w:rsidRDefault="00F9353A" w:rsidP="006C3242">
      <w:pPr>
        <w:spacing w:before="0" w:line="240" w:lineRule="auto"/>
      </w:pPr>
      <w:r>
        <w:separator/>
      </w:r>
    </w:p>
  </w:endnote>
  <w:endnote w:type="continuationSeparator" w:id="0">
    <w:p w14:paraId="6F6918E3" w14:textId="77777777" w:rsidR="00F9353A" w:rsidRDefault="00F9353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A8EF" w14:textId="77777777" w:rsidR="00055D6B" w:rsidRDefault="0005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28BD" w14:textId="7A8F3396" w:rsidR="006C3242" w:rsidRPr="00055D6B" w:rsidRDefault="006C3242" w:rsidP="00055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8557" w14:textId="77777777" w:rsidR="006C3242" w:rsidRPr="0026373E" w:rsidRDefault="006C3242"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1985" w14:textId="2A1B761E" w:rsidR="00F9353A" w:rsidRPr="00055D6B" w:rsidRDefault="00F9353A" w:rsidP="0005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F44E5" w14:textId="77777777" w:rsidR="00F9353A" w:rsidRDefault="00F9353A" w:rsidP="006C3242">
      <w:pPr>
        <w:spacing w:before="0" w:line="240" w:lineRule="auto"/>
      </w:pPr>
      <w:r>
        <w:separator/>
      </w:r>
    </w:p>
  </w:footnote>
  <w:footnote w:type="continuationSeparator" w:id="0">
    <w:p w14:paraId="0D43A511" w14:textId="77777777" w:rsidR="00F9353A" w:rsidRDefault="00F9353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8F27" w14:textId="77777777" w:rsidR="00055D6B" w:rsidRDefault="00055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F14E3" w14:textId="4740F295" w:rsidR="00447F32" w:rsidRPr="00447F32" w:rsidRDefault="00055D6B"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953826">
          <w:rPr>
            <w:rFonts w:cs="Calibri"/>
            <w:noProof/>
            <w:sz w:val="20"/>
            <w:szCs w:val="20"/>
          </w:rPr>
          <w:t>43</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0CAF4" w14:textId="77777777" w:rsidR="00055D6B" w:rsidRDefault="00055D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E62B4" w14:textId="758D0227" w:rsidR="00F9353A" w:rsidRDefault="00055D6B" w:rsidP="00F9353A">
    <w:pPr>
      <w:pStyle w:val="Header"/>
      <w:bidi w:val="0"/>
      <w:spacing w:before="120" w:after="240" w:line="192" w:lineRule="auto"/>
      <w:jc w:val="center"/>
    </w:pPr>
    <w:sdt>
      <w:sdtPr>
        <w:id w:val="175468928"/>
        <w:docPartObj>
          <w:docPartGallery w:val="Page Numbers (Top of Page)"/>
          <w:docPartUnique/>
        </w:docPartObj>
      </w:sdtPr>
      <w:sdtEndPr>
        <w:rPr>
          <w:rFonts w:cs="Calibri"/>
          <w:noProof/>
          <w:sz w:val="20"/>
          <w:szCs w:val="20"/>
        </w:rPr>
      </w:sdtEndPr>
      <w:sdtContent>
        <w:r w:rsidR="00F9353A" w:rsidRPr="00447F32">
          <w:rPr>
            <w:rFonts w:cs="Calibri"/>
            <w:sz w:val="20"/>
            <w:szCs w:val="20"/>
          </w:rPr>
          <w:fldChar w:fldCharType="begin"/>
        </w:r>
        <w:r w:rsidR="00F9353A" w:rsidRPr="00447F32">
          <w:rPr>
            <w:rFonts w:cs="Calibri"/>
            <w:sz w:val="20"/>
            <w:szCs w:val="20"/>
          </w:rPr>
          <w:instrText xml:space="preserve"> PAGE   \* MERGEFORMAT </w:instrText>
        </w:r>
        <w:r w:rsidR="00F9353A" w:rsidRPr="00447F32">
          <w:rPr>
            <w:rFonts w:cs="Calibri"/>
            <w:sz w:val="20"/>
            <w:szCs w:val="20"/>
          </w:rPr>
          <w:fldChar w:fldCharType="separate"/>
        </w:r>
        <w:r w:rsidR="00F9353A">
          <w:rPr>
            <w:rFonts w:cs="Calibri"/>
            <w:sz w:val="20"/>
            <w:szCs w:val="20"/>
          </w:rPr>
          <w:t>4</w:t>
        </w:r>
        <w:r w:rsidR="00F9353A" w:rsidRPr="00447F32">
          <w:rPr>
            <w:rFonts w:cs="Calibri"/>
            <w:noProof/>
            <w:sz w:val="20"/>
            <w:szCs w:val="20"/>
          </w:rPr>
          <w:fldChar w:fldCharType="end"/>
        </w:r>
        <w:r w:rsidR="00F9353A" w:rsidRPr="00447F32">
          <w:rPr>
            <w:rFonts w:cs="Calibri"/>
            <w:noProof/>
            <w:sz w:val="20"/>
            <w:szCs w:val="20"/>
          </w:rPr>
          <w:br/>
          <w:t>C</w:t>
        </w:r>
        <w:r w:rsidR="00F9353A">
          <w:rPr>
            <w:rFonts w:cs="Calibri"/>
            <w:noProof/>
            <w:sz w:val="20"/>
            <w:szCs w:val="20"/>
          </w:rPr>
          <w:t>20</w:t>
        </w:r>
        <w:r w:rsidR="00F9353A" w:rsidRPr="00447F32">
          <w:rPr>
            <w:rFonts w:cs="Calibri"/>
            <w:noProof/>
            <w:sz w:val="20"/>
            <w:szCs w:val="20"/>
          </w:rPr>
          <w:t>/</w:t>
        </w:r>
        <w:r w:rsidR="00953826">
          <w:rPr>
            <w:rFonts w:cs="Calibri"/>
            <w:noProof/>
            <w:sz w:val="20"/>
            <w:szCs w:val="20"/>
          </w:rPr>
          <w:t>43</w:t>
        </w:r>
        <w:r w:rsidR="00F9353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3A"/>
    <w:rsid w:val="00022215"/>
    <w:rsid w:val="00042836"/>
    <w:rsid w:val="00052583"/>
    <w:rsid w:val="00055D6B"/>
    <w:rsid w:val="00090574"/>
    <w:rsid w:val="00096657"/>
    <w:rsid w:val="000C1C0E"/>
    <w:rsid w:val="000C548A"/>
    <w:rsid w:val="0013186E"/>
    <w:rsid w:val="001B6E01"/>
    <w:rsid w:val="001C0169"/>
    <w:rsid w:val="001D1D50"/>
    <w:rsid w:val="001D6745"/>
    <w:rsid w:val="001E446E"/>
    <w:rsid w:val="00214009"/>
    <w:rsid w:val="002154EE"/>
    <w:rsid w:val="002276D2"/>
    <w:rsid w:val="0023283D"/>
    <w:rsid w:val="00232C13"/>
    <w:rsid w:val="002625AF"/>
    <w:rsid w:val="0026373E"/>
    <w:rsid w:val="00271C43"/>
    <w:rsid w:val="00277233"/>
    <w:rsid w:val="00290728"/>
    <w:rsid w:val="002978F4"/>
    <w:rsid w:val="002B028D"/>
    <w:rsid w:val="002B08CE"/>
    <w:rsid w:val="002E595F"/>
    <w:rsid w:val="002E6541"/>
    <w:rsid w:val="002F71D8"/>
    <w:rsid w:val="00334924"/>
    <w:rsid w:val="003409BC"/>
    <w:rsid w:val="00357185"/>
    <w:rsid w:val="00383829"/>
    <w:rsid w:val="003C2116"/>
    <w:rsid w:val="003C6B4F"/>
    <w:rsid w:val="003E641A"/>
    <w:rsid w:val="003F4B29"/>
    <w:rsid w:val="00421B03"/>
    <w:rsid w:val="0042686F"/>
    <w:rsid w:val="004317D8"/>
    <w:rsid w:val="00434183"/>
    <w:rsid w:val="00443869"/>
    <w:rsid w:val="0044625B"/>
    <w:rsid w:val="00447F32"/>
    <w:rsid w:val="00475D11"/>
    <w:rsid w:val="0048036A"/>
    <w:rsid w:val="00487D93"/>
    <w:rsid w:val="004E11DC"/>
    <w:rsid w:val="004F407E"/>
    <w:rsid w:val="005409AC"/>
    <w:rsid w:val="0055516A"/>
    <w:rsid w:val="0058491B"/>
    <w:rsid w:val="00592EA5"/>
    <w:rsid w:val="005A3170"/>
    <w:rsid w:val="005C0C3A"/>
    <w:rsid w:val="005E466F"/>
    <w:rsid w:val="00614855"/>
    <w:rsid w:val="00657CCF"/>
    <w:rsid w:val="006613A9"/>
    <w:rsid w:val="00677396"/>
    <w:rsid w:val="0069200F"/>
    <w:rsid w:val="006A65CB"/>
    <w:rsid w:val="006A793B"/>
    <w:rsid w:val="006C3242"/>
    <w:rsid w:val="006C7CC0"/>
    <w:rsid w:val="006F1A76"/>
    <w:rsid w:val="006F63F7"/>
    <w:rsid w:val="007025C7"/>
    <w:rsid w:val="00706D7A"/>
    <w:rsid w:val="007107BB"/>
    <w:rsid w:val="00720222"/>
    <w:rsid w:val="00722F0D"/>
    <w:rsid w:val="007326F0"/>
    <w:rsid w:val="007365C2"/>
    <w:rsid w:val="007367A2"/>
    <w:rsid w:val="0074420E"/>
    <w:rsid w:val="0074488F"/>
    <w:rsid w:val="0074604E"/>
    <w:rsid w:val="00783E26"/>
    <w:rsid w:val="007A4CE7"/>
    <w:rsid w:val="007C0B26"/>
    <w:rsid w:val="007C3BC7"/>
    <w:rsid w:val="007C3BCD"/>
    <w:rsid w:val="007D4ACF"/>
    <w:rsid w:val="007F0787"/>
    <w:rsid w:val="00810B7B"/>
    <w:rsid w:val="00814E6C"/>
    <w:rsid w:val="0082358A"/>
    <w:rsid w:val="008235CD"/>
    <w:rsid w:val="008247DE"/>
    <w:rsid w:val="00840B10"/>
    <w:rsid w:val="0084185B"/>
    <w:rsid w:val="00844E1D"/>
    <w:rsid w:val="008513CB"/>
    <w:rsid w:val="00897C1F"/>
    <w:rsid w:val="008A7F84"/>
    <w:rsid w:val="008B4E62"/>
    <w:rsid w:val="008D7E72"/>
    <w:rsid w:val="009060CA"/>
    <w:rsid w:val="0091702E"/>
    <w:rsid w:val="00923B0C"/>
    <w:rsid w:val="0094021C"/>
    <w:rsid w:val="00952F86"/>
    <w:rsid w:val="00953718"/>
    <w:rsid w:val="00953826"/>
    <w:rsid w:val="009669EF"/>
    <w:rsid w:val="00982B28"/>
    <w:rsid w:val="00995745"/>
    <w:rsid w:val="009A110C"/>
    <w:rsid w:val="009C6FEB"/>
    <w:rsid w:val="009D313F"/>
    <w:rsid w:val="009F6546"/>
    <w:rsid w:val="00A0737C"/>
    <w:rsid w:val="00A44B4C"/>
    <w:rsid w:val="00A47A5A"/>
    <w:rsid w:val="00A64727"/>
    <w:rsid w:val="00A6683B"/>
    <w:rsid w:val="00A7053F"/>
    <w:rsid w:val="00A97F94"/>
    <w:rsid w:val="00AD4D59"/>
    <w:rsid w:val="00AD6CA8"/>
    <w:rsid w:val="00AE013F"/>
    <w:rsid w:val="00B03099"/>
    <w:rsid w:val="00B05BC8"/>
    <w:rsid w:val="00B56821"/>
    <w:rsid w:val="00B64B47"/>
    <w:rsid w:val="00B76777"/>
    <w:rsid w:val="00BB7213"/>
    <w:rsid w:val="00BB793C"/>
    <w:rsid w:val="00C002DE"/>
    <w:rsid w:val="00C01411"/>
    <w:rsid w:val="00C04C34"/>
    <w:rsid w:val="00C0653A"/>
    <w:rsid w:val="00C12669"/>
    <w:rsid w:val="00C45674"/>
    <w:rsid w:val="00C53BF8"/>
    <w:rsid w:val="00C60475"/>
    <w:rsid w:val="00C66157"/>
    <w:rsid w:val="00C674FE"/>
    <w:rsid w:val="00C67501"/>
    <w:rsid w:val="00C75633"/>
    <w:rsid w:val="00C8385D"/>
    <w:rsid w:val="00CC4396"/>
    <w:rsid w:val="00CE2EE1"/>
    <w:rsid w:val="00CE3349"/>
    <w:rsid w:val="00CE36E5"/>
    <w:rsid w:val="00CF27F5"/>
    <w:rsid w:val="00CF3FFD"/>
    <w:rsid w:val="00D010BA"/>
    <w:rsid w:val="00D04112"/>
    <w:rsid w:val="00D10CCF"/>
    <w:rsid w:val="00D36659"/>
    <w:rsid w:val="00D51DDD"/>
    <w:rsid w:val="00D61620"/>
    <w:rsid w:val="00D77D0F"/>
    <w:rsid w:val="00D87D77"/>
    <w:rsid w:val="00D914E4"/>
    <w:rsid w:val="00DA1CF0"/>
    <w:rsid w:val="00DA2EB3"/>
    <w:rsid w:val="00DB0B93"/>
    <w:rsid w:val="00DB3712"/>
    <w:rsid w:val="00DB733F"/>
    <w:rsid w:val="00DC1E02"/>
    <w:rsid w:val="00DC24B4"/>
    <w:rsid w:val="00DC5FB0"/>
    <w:rsid w:val="00DD5757"/>
    <w:rsid w:val="00DF16DC"/>
    <w:rsid w:val="00DF6E95"/>
    <w:rsid w:val="00E45211"/>
    <w:rsid w:val="00E473C5"/>
    <w:rsid w:val="00E47D85"/>
    <w:rsid w:val="00E667E1"/>
    <w:rsid w:val="00E90DE5"/>
    <w:rsid w:val="00E92863"/>
    <w:rsid w:val="00EB796D"/>
    <w:rsid w:val="00EC2A73"/>
    <w:rsid w:val="00EC3C34"/>
    <w:rsid w:val="00ED3141"/>
    <w:rsid w:val="00EE1571"/>
    <w:rsid w:val="00EF3F18"/>
    <w:rsid w:val="00F058DC"/>
    <w:rsid w:val="00F14F1B"/>
    <w:rsid w:val="00F24FC4"/>
    <w:rsid w:val="00F2676C"/>
    <w:rsid w:val="00F34008"/>
    <w:rsid w:val="00F37B01"/>
    <w:rsid w:val="00F4499B"/>
    <w:rsid w:val="00F56A48"/>
    <w:rsid w:val="00F84366"/>
    <w:rsid w:val="00F85089"/>
    <w:rsid w:val="00F9353A"/>
    <w:rsid w:val="00F96326"/>
    <w:rsid w:val="00F974C5"/>
    <w:rsid w:val="00F97512"/>
    <w:rsid w:val="00FA6F46"/>
    <w:rsid w:val="00FB6B1B"/>
    <w:rsid w:val="00FE5872"/>
    <w:rsid w:val="00FE6BCC"/>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E09539"/>
  <w15:chartTrackingRefBased/>
  <w15:docId w15:val="{493E64ED-C365-417D-88E4-256EF71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TableheadChar">
    <w:name w:val="Table_head Char"/>
    <w:basedOn w:val="DefaultParagraphFont"/>
    <w:link w:val="Tablehead0"/>
    <w:locked/>
    <w:rsid w:val="00F9353A"/>
    <w:rPr>
      <w:rFonts w:ascii="Dubai" w:eastAsia="Times New Roman" w:hAnsi="Dubai" w:cs="Dubai"/>
      <w:b/>
      <w:bCs/>
      <w:lang w:val="en-GB" w:eastAsia="en-US"/>
    </w:rPr>
  </w:style>
  <w:style w:type="character" w:customStyle="1" w:styleId="AnnextitleChar">
    <w:name w:val="Annex_title Char"/>
    <w:basedOn w:val="DefaultParagraphFont"/>
    <w:link w:val="Annextitle0"/>
    <w:locked/>
    <w:rsid w:val="00F9353A"/>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F9353A"/>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Headingb0">
    <w:name w:val="Heading_b"/>
    <w:basedOn w:val="Heading2"/>
    <w:rsid w:val="00F9353A"/>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Tabletext12">
    <w:name w:val="Table_text 12"/>
    <w:basedOn w:val="Normal"/>
    <w:qFormat/>
    <w:rsid w:val="00F9353A"/>
    <w:pPr>
      <w:tabs>
        <w:tab w:val="clear" w:pos="794"/>
        <w:tab w:val="left" w:pos="340"/>
      </w:tabs>
      <w:spacing w:before="60" w:after="60" w:line="280" w:lineRule="exact"/>
    </w:pPr>
    <w:rPr>
      <w:rFonts w:ascii="Calibri" w:eastAsia="Times New Roman" w:hAnsi="Calibri" w:cs="Traditional Arabic"/>
      <w:sz w:val="18"/>
      <w:szCs w:val="24"/>
      <w:lang w:val="fr-FR" w:eastAsia="en-US" w:bidi="ar-EG"/>
    </w:rPr>
  </w:style>
  <w:style w:type="paragraph" w:customStyle="1" w:styleId="TableHead12">
    <w:name w:val="Table_Head 12"/>
    <w:basedOn w:val="Normal"/>
    <w:qFormat/>
    <w:rsid w:val="00F9353A"/>
    <w:pPr>
      <w:keepNext/>
      <w:tabs>
        <w:tab w:val="clear" w:pos="794"/>
        <w:tab w:val="left" w:pos="1134"/>
      </w:tabs>
      <w:spacing w:before="60" w:after="60" w:line="260" w:lineRule="exact"/>
      <w:jc w:val="center"/>
    </w:pPr>
    <w:rPr>
      <w:rFonts w:ascii="Calibri" w:eastAsia="Times New Roman" w:hAnsi="Calibri" w:cs="Traditional Arabic"/>
      <w:b/>
      <w:bCs/>
      <w:sz w:val="18"/>
      <w:szCs w:val="24"/>
      <w:lang w:eastAsia="en-US" w:bidi="ar-EG"/>
    </w:rPr>
  </w:style>
  <w:style w:type="character" w:styleId="UnresolvedMention">
    <w:name w:val="Unresolved Mention"/>
    <w:basedOn w:val="DefaultParagraphFont"/>
    <w:uiPriority w:val="99"/>
    <w:semiHidden/>
    <w:unhideWhenUsed/>
    <w:rsid w:val="00487D93"/>
    <w:rPr>
      <w:color w:val="605E5C"/>
      <w:shd w:val="clear" w:color="auto" w:fill="E1DFDD"/>
    </w:rPr>
  </w:style>
  <w:style w:type="paragraph" w:styleId="HTMLPreformatted">
    <w:name w:val="HTML Preformatted"/>
    <w:basedOn w:val="Normal"/>
    <w:link w:val="HTMLPreformattedChar"/>
    <w:uiPriority w:val="99"/>
    <w:semiHidden/>
    <w:unhideWhenUsed/>
    <w:rsid w:val="00A44B4C"/>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4B4C"/>
    <w:rPr>
      <w:rFonts w:ascii="Consolas" w:hAnsi="Consolas" w:cs="Dubai"/>
      <w:sz w:val="20"/>
      <w:szCs w:val="20"/>
    </w:rPr>
  </w:style>
  <w:style w:type="paragraph" w:styleId="BalloonText">
    <w:name w:val="Balloon Text"/>
    <w:basedOn w:val="Normal"/>
    <w:link w:val="BalloonTextChar"/>
    <w:uiPriority w:val="99"/>
    <w:semiHidden/>
    <w:unhideWhenUsed/>
    <w:rsid w:val="00B7677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25595">
      <w:bodyDiv w:val="1"/>
      <w:marLeft w:val="0"/>
      <w:marRight w:val="0"/>
      <w:marTop w:val="0"/>
      <w:marBottom w:val="0"/>
      <w:divBdr>
        <w:top w:val="none" w:sz="0" w:space="0" w:color="auto"/>
        <w:left w:val="none" w:sz="0" w:space="0" w:color="auto"/>
        <w:bottom w:val="none" w:sz="0" w:space="0" w:color="auto"/>
        <w:right w:val="none" w:sz="0" w:space="0" w:color="auto"/>
      </w:divBdr>
    </w:div>
    <w:div w:id="243734118">
      <w:bodyDiv w:val="1"/>
      <w:marLeft w:val="0"/>
      <w:marRight w:val="0"/>
      <w:marTop w:val="0"/>
      <w:marBottom w:val="0"/>
      <w:divBdr>
        <w:top w:val="none" w:sz="0" w:space="0" w:color="auto"/>
        <w:left w:val="none" w:sz="0" w:space="0" w:color="auto"/>
        <w:bottom w:val="none" w:sz="0" w:space="0" w:color="auto"/>
        <w:right w:val="none" w:sz="0" w:space="0" w:color="auto"/>
      </w:divBdr>
    </w:div>
    <w:div w:id="278607882">
      <w:bodyDiv w:val="1"/>
      <w:marLeft w:val="0"/>
      <w:marRight w:val="0"/>
      <w:marTop w:val="0"/>
      <w:marBottom w:val="0"/>
      <w:divBdr>
        <w:top w:val="none" w:sz="0" w:space="0" w:color="auto"/>
        <w:left w:val="none" w:sz="0" w:space="0" w:color="auto"/>
        <w:bottom w:val="none" w:sz="0" w:space="0" w:color="auto"/>
        <w:right w:val="none" w:sz="0" w:space="0" w:color="auto"/>
      </w:divBdr>
    </w:div>
    <w:div w:id="311443290">
      <w:bodyDiv w:val="1"/>
      <w:marLeft w:val="0"/>
      <w:marRight w:val="0"/>
      <w:marTop w:val="0"/>
      <w:marBottom w:val="0"/>
      <w:divBdr>
        <w:top w:val="none" w:sz="0" w:space="0" w:color="auto"/>
        <w:left w:val="none" w:sz="0" w:space="0" w:color="auto"/>
        <w:bottom w:val="none" w:sz="0" w:space="0" w:color="auto"/>
        <w:right w:val="none" w:sz="0" w:space="0" w:color="auto"/>
      </w:divBdr>
    </w:div>
    <w:div w:id="380053640">
      <w:bodyDiv w:val="1"/>
      <w:marLeft w:val="0"/>
      <w:marRight w:val="0"/>
      <w:marTop w:val="0"/>
      <w:marBottom w:val="0"/>
      <w:divBdr>
        <w:top w:val="none" w:sz="0" w:space="0" w:color="auto"/>
        <w:left w:val="none" w:sz="0" w:space="0" w:color="auto"/>
        <w:bottom w:val="none" w:sz="0" w:space="0" w:color="auto"/>
        <w:right w:val="none" w:sz="0" w:space="0" w:color="auto"/>
      </w:divBdr>
    </w:div>
    <w:div w:id="468548847">
      <w:bodyDiv w:val="1"/>
      <w:marLeft w:val="0"/>
      <w:marRight w:val="0"/>
      <w:marTop w:val="0"/>
      <w:marBottom w:val="0"/>
      <w:divBdr>
        <w:top w:val="none" w:sz="0" w:space="0" w:color="auto"/>
        <w:left w:val="none" w:sz="0" w:space="0" w:color="auto"/>
        <w:bottom w:val="none" w:sz="0" w:space="0" w:color="auto"/>
        <w:right w:val="none" w:sz="0" w:space="0" w:color="auto"/>
      </w:divBdr>
    </w:div>
    <w:div w:id="750807889">
      <w:bodyDiv w:val="1"/>
      <w:marLeft w:val="0"/>
      <w:marRight w:val="0"/>
      <w:marTop w:val="0"/>
      <w:marBottom w:val="0"/>
      <w:divBdr>
        <w:top w:val="none" w:sz="0" w:space="0" w:color="auto"/>
        <w:left w:val="none" w:sz="0" w:space="0" w:color="auto"/>
        <w:bottom w:val="none" w:sz="0" w:space="0" w:color="auto"/>
        <w:right w:val="none" w:sz="0" w:space="0" w:color="auto"/>
      </w:divBdr>
    </w:div>
    <w:div w:id="1171750578">
      <w:bodyDiv w:val="1"/>
      <w:marLeft w:val="0"/>
      <w:marRight w:val="0"/>
      <w:marTop w:val="0"/>
      <w:marBottom w:val="0"/>
      <w:divBdr>
        <w:top w:val="none" w:sz="0" w:space="0" w:color="auto"/>
        <w:left w:val="none" w:sz="0" w:space="0" w:color="auto"/>
        <w:bottom w:val="none" w:sz="0" w:space="0" w:color="auto"/>
        <w:right w:val="none" w:sz="0" w:space="0" w:color="auto"/>
      </w:divBdr>
    </w:div>
    <w:div w:id="1451509836">
      <w:bodyDiv w:val="1"/>
      <w:marLeft w:val="0"/>
      <w:marRight w:val="0"/>
      <w:marTop w:val="0"/>
      <w:marBottom w:val="0"/>
      <w:divBdr>
        <w:top w:val="none" w:sz="0" w:space="0" w:color="auto"/>
        <w:left w:val="none" w:sz="0" w:space="0" w:color="auto"/>
        <w:bottom w:val="none" w:sz="0" w:space="0" w:color="auto"/>
        <w:right w:val="none" w:sz="0" w:space="0" w:color="auto"/>
      </w:divBdr>
    </w:div>
    <w:div w:id="1551722254">
      <w:bodyDiv w:val="1"/>
      <w:marLeft w:val="0"/>
      <w:marRight w:val="0"/>
      <w:marTop w:val="0"/>
      <w:marBottom w:val="0"/>
      <w:divBdr>
        <w:top w:val="none" w:sz="0" w:space="0" w:color="auto"/>
        <w:left w:val="none" w:sz="0" w:space="0" w:color="auto"/>
        <w:bottom w:val="none" w:sz="0" w:space="0" w:color="auto"/>
        <w:right w:val="none" w:sz="0" w:space="0" w:color="auto"/>
      </w:divBdr>
    </w:div>
    <w:div w:id="1826120813">
      <w:bodyDiv w:val="1"/>
      <w:marLeft w:val="0"/>
      <w:marRight w:val="0"/>
      <w:marTop w:val="0"/>
      <w:marBottom w:val="0"/>
      <w:divBdr>
        <w:top w:val="none" w:sz="0" w:space="0" w:color="auto"/>
        <w:left w:val="none" w:sz="0" w:space="0" w:color="auto"/>
        <w:bottom w:val="none" w:sz="0" w:space="0" w:color="auto"/>
        <w:right w:val="none" w:sz="0" w:space="0" w:color="auto"/>
      </w:divBdr>
    </w:div>
    <w:div w:id="1831826603">
      <w:bodyDiv w:val="1"/>
      <w:marLeft w:val="0"/>
      <w:marRight w:val="0"/>
      <w:marTop w:val="0"/>
      <w:marBottom w:val="0"/>
      <w:divBdr>
        <w:top w:val="none" w:sz="0" w:space="0" w:color="auto"/>
        <w:left w:val="none" w:sz="0" w:space="0" w:color="auto"/>
        <w:bottom w:val="none" w:sz="0" w:space="0" w:color="auto"/>
        <w:right w:val="none" w:sz="0" w:space="0" w:color="auto"/>
      </w:divBdr>
    </w:div>
    <w:div w:id="2072653428">
      <w:bodyDiv w:val="1"/>
      <w:marLeft w:val="0"/>
      <w:marRight w:val="0"/>
      <w:marTop w:val="0"/>
      <w:marBottom w:val="0"/>
      <w:divBdr>
        <w:top w:val="none" w:sz="0" w:space="0" w:color="auto"/>
        <w:left w:val="none" w:sz="0" w:space="0" w:color="auto"/>
        <w:bottom w:val="none" w:sz="0" w:space="0" w:color="auto"/>
        <w:right w:val="none" w:sz="0" w:space="0" w:color="auto"/>
      </w:divBdr>
    </w:div>
    <w:div w:id="2115902522">
      <w:bodyDiv w:val="1"/>
      <w:marLeft w:val="0"/>
      <w:marRight w:val="0"/>
      <w:marTop w:val="0"/>
      <w:marBottom w:val="0"/>
      <w:divBdr>
        <w:top w:val="none" w:sz="0" w:space="0" w:color="auto"/>
        <w:left w:val="none" w:sz="0" w:space="0" w:color="auto"/>
        <w:bottom w:val="none" w:sz="0" w:space="0" w:color="auto"/>
        <w:right w:val="none" w:sz="0" w:space="0" w:color="auto"/>
      </w:divBdr>
    </w:div>
    <w:div w:id="21329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org/en/ga/search/view_doc.asp?symbol=A/RES/64/25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en/ethics/Documents/SO-2019-009-en.pdf" TargetMode="External"/><Relationship Id="rId7" Type="http://schemas.openxmlformats.org/officeDocument/2006/relationships/endnotes" Target="endnotes.xml"/><Relationship Id="rId12" Type="http://schemas.openxmlformats.org/officeDocument/2006/relationships/hyperlink" Target="https://www.unjiu.org/en/reports-notes/JIU%20Products/JIU_REP_2016_1_English.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tu.int/en/council/Documents/Financial-Regulations/S-GEN-REG_RGTFIN-2018-PD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en/reports-notes/JIU%20Products/JIU_REP_2011_5_English.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s://www.itu.int/md/S17-CL-C-0064/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header" Target="head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00A8-EDD5-4407-B4F3-A8E6035F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1974</Words>
  <Characters>11258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dcterms:created xsi:type="dcterms:W3CDTF">2020-06-03T12:02:00Z</dcterms:created>
  <dcterms:modified xsi:type="dcterms:W3CDTF">2020-06-03T12:02:00Z</dcterms:modified>
</cp:coreProperties>
</file>